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243840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144145</wp:posOffset>
            </wp:positionV>
            <wp:extent cx="214122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ARYA SCIENCES ACQUISITION CORP III</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p>
      <w:pPr>
        <w:spacing w:after="0" w:line="40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5"/>
          <w:szCs w:val="15"/>
          <w:b w:val="1"/>
          <w:bCs w:val="1"/>
          <w:color w:val="auto"/>
        </w:rPr>
        <w:t>001-39434</w:t>
      </w:r>
    </w:p>
    <w:p>
      <w:pPr>
        <w:spacing w:after="0" w:line="2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98-1541723</w:t>
      </w:r>
    </w:p>
    <w:p>
      <w:pPr>
        <w:spacing w:after="0" w:line="2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(I.R.S. Employer</w:t>
      </w:r>
    </w:p>
    <w:p>
      <w:pPr>
        <w:spacing w:after="0" w:line="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9" w:lineRule="exact"/>
        <w:rPr>
          <w:sz w:val="24"/>
          <w:szCs w:val="24"/>
          <w:color w:val="auto"/>
        </w:rPr>
      </w:pPr>
    </w:p>
    <w:p>
      <w:pPr>
        <w:sectPr>
          <w:pgSz w:w="11900" w:h="16838" w:orient="portrait"/>
          <w:cols w:equalWidth="0" w:num="3">
            <w:col w:w="4520" w:space="720"/>
            <w:col w:w="2880" w:space="720"/>
            <w:col w:w="2440"/>
          </w:cols>
          <w:pgMar w:left="300" w:top="462" w:right="319" w:bottom="1440" w:gutter="0" w:footer="0" w:header="0"/>
          <w:type w:val="continuous"/>
        </w:sectPr>
      </w:pPr>
    </w:p>
    <w:p>
      <w:pPr>
        <w:jc w:val="center"/>
        <w:ind w:right="1760"/>
        <w:spacing w:after="0"/>
        <w:rPr>
          <w:sz w:val="20"/>
          <w:szCs w:val="20"/>
          <w:color w:val="auto"/>
        </w:rPr>
      </w:pPr>
      <w:r>
        <w:rPr>
          <w:rFonts w:ascii="Times New Roman" w:cs="Times New Roman" w:eastAsia="Times New Roman" w:hAnsi="Times New Roman"/>
          <w:sz w:val="15"/>
          <w:szCs w:val="15"/>
          <w:b w:val="1"/>
          <w:bCs w:val="1"/>
          <w:color w:val="auto"/>
        </w:rPr>
        <w:t>51 Astor Place, 10th Floor</w:t>
      </w:r>
    </w:p>
    <w:p>
      <w:pPr>
        <w:spacing w:after="0" w:line="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5"/>
          <w:szCs w:val="15"/>
          <w:b w:val="1"/>
          <w:bCs w:val="1"/>
          <w:color w:val="auto"/>
        </w:rPr>
        <w:t>New York, NY</w:t>
      </w:r>
    </w:p>
    <w:p>
      <w:pPr>
        <w:spacing w:after="0" w:line="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5"/>
          <w:szCs w:val="15"/>
          <w:b w:val="1"/>
          <w:bCs w:val="1"/>
          <w:color w:val="auto"/>
        </w:rPr>
        <w:t>10003</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2" w:lineRule="exact"/>
        <w:rPr>
          <w:sz w:val="24"/>
          <w:szCs w:val="24"/>
          <w:color w:val="auto"/>
        </w:rPr>
      </w:pPr>
    </w:p>
    <w:p>
      <w:pPr>
        <w:sectPr>
          <w:pgSz w:w="11900" w:h="16838" w:orient="portrait"/>
          <w:cols w:equalWidth="0" w:num="2">
            <w:col w:w="7380" w:space="720"/>
            <w:col w:w="3180"/>
          </w:cols>
          <w:pgMar w:left="300" w:top="462"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284-2300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72" w:lineRule="exact"/>
        <w:rPr>
          <w:sz w:val="24"/>
          <w:szCs w:val="24"/>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jc w:val="both"/>
        <w:ind w:right="5680" w:firstLine="9"/>
        <w:spacing w:after="0" w:line="180" w:lineRule="exact"/>
        <w:tabs>
          <w:tab w:leader="none" w:pos="26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Soliciting material pursuant to Rule 14a-12 under the Exchange Act (17 CFR 240.14a-12)</w:t>
      </w:r>
    </w:p>
    <w:p>
      <w:pPr>
        <w:jc w:val="both"/>
        <w:ind w:right="4360"/>
        <w:spacing w:after="0" w:line="185"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14d-2(b) under the Exchange Act (17 CFR 240.14d-2(b))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13e-4(c) under the Exchange Act (17 CFR 240.13e-4(c))</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424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780" w:type="dxa"/>
            <w:vAlign w:val="bottom"/>
            <w:tcBorders>
              <w:top w:val="single" w:sz="8" w:color="auto"/>
              <w:bottom w:val="single" w:sz="8" w:color="auto"/>
            </w:tcBorders>
          </w:tcPr>
          <w:p>
            <w:pPr>
              <w:jc w:val="center"/>
              <w:ind w:left="346"/>
              <w:spacing w:after="0"/>
              <w:rPr>
                <w:sz w:val="20"/>
                <w:szCs w:val="20"/>
                <w:color w:val="auto"/>
              </w:rPr>
            </w:pPr>
            <w:r>
              <w:rPr>
                <w:rFonts w:ascii="Times New Roman" w:cs="Times New Roman" w:eastAsia="Times New Roman" w:hAnsi="Times New Roman"/>
                <w:sz w:val="15"/>
                <w:szCs w:val="15"/>
                <w:b w:val="1"/>
                <w:bCs w:val="1"/>
                <w:color w:val="auto"/>
                <w:w w:val="96"/>
              </w:rPr>
              <w:t>Trading Symbol(s)</w:t>
            </w:r>
          </w:p>
        </w:tc>
        <w:tc>
          <w:tcPr>
            <w:tcW w:w="4260" w:type="dxa"/>
            <w:vAlign w:val="bottom"/>
            <w:tcBorders>
              <w:top w:val="single" w:sz="8" w:color="auto"/>
              <w:bottom w:val="single" w:sz="8" w:color="auto"/>
            </w:tcBorders>
          </w:tcPr>
          <w:p>
            <w:pPr>
              <w:jc w:val="center"/>
              <w:ind w:right="206"/>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Class A Ordinary Shares, par value $0.0001 per Share</w:t>
            </w:r>
          </w:p>
        </w:tc>
        <w:tc>
          <w:tcPr>
            <w:tcW w:w="278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4"/>
              </w:rPr>
              <w:t>ARYA</w:t>
            </w:r>
          </w:p>
        </w:tc>
        <w:tc>
          <w:tcPr>
            <w:tcW w:w="4260" w:type="dxa"/>
            <w:vAlign w:val="bottom"/>
          </w:tcPr>
          <w:p>
            <w:pPr>
              <w:jc w:val="center"/>
              <w:ind w:right="226"/>
              <w:spacing w:after="0"/>
              <w:rPr>
                <w:sz w:val="20"/>
                <w:szCs w:val="20"/>
                <w:color w:val="auto"/>
              </w:rPr>
            </w:pPr>
            <w:r>
              <w:rPr>
                <w:rFonts w:ascii="Times New Roman" w:cs="Times New Roman" w:eastAsia="Times New Roman" w:hAnsi="Times New Roman"/>
                <w:sz w:val="15"/>
                <w:szCs w:val="15"/>
                <w:color w:val="auto"/>
                <w:w w:val="98"/>
              </w:rPr>
              <w:t>The Nasdaq Capital Market</w:t>
            </w:r>
          </w:p>
        </w:tc>
      </w:tr>
      <w:tr>
        <w:trPr>
          <w:trHeight w:val="163"/>
        </w:trPr>
        <w:tc>
          <w:tcPr>
            <w:tcW w:w="4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bl>
    <w:p>
      <w:pPr>
        <w:spacing w:after="0" w:line="177" w:lineRule="exact"/>
        <w:rPr>
          <w:sz w:val="24"/>
          <w:szCs w:val="24"/>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1" w:lineRule="exact"/>
        <w:rPr>
          <w:sz w:val="24"/>
          <w:szCs w:val="24"/>
          <w:color w:val="auto"/>
        </w:rPr>
      </w:pPr>
    </w:p>
    <w:p>
      <w:pPr>
        <w:ind w:right="16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243205</wp:posOffset>
            </wp:positionV>
            <wp:extent cx="7157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363220</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type w:val="continuous"/>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On February 7, 2021, ARYA Sciences Acquisition Corp III, a Cayman Islands exempted company (“</w:t>
      </w:r>
      <w:r>
        <w:rPr>
          <w:rFonts w:ascii="Times New Roman" w:cs="Times New Roman" w:eastAsia="Times New Roman" w:hAnsi="Times New Roman"/>
          <w:sz w:val="18"/>
          <w:szCs w:val="18"/>
          <w:i w:val="1"/>
          <w:iCs w:val="1"/>
          <w:color w:val="auto"/>
        </w:rPr>
        <w:t>ARYA</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and Nautilus Biotechnology, Inc., a Delaware corporation (“</w:t>
      </w:r>
      <w:r>
        <w:rPr>
          <w:rFonts w:ascii="Times New Roman" w:cs="Times New Roman" w:eastAsia="Times New Roman" w:hAnsi="Times New Roman"/>
          <w:sz w:val="18"/>
          <w:szCs w:val="18"/>
          <w:i w:val="1"/>
          <w:iCs w:val="1"/>
          <w:color w:val="auto"/>
        </w:rPr>
        <w:t>Nautilus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were approved by the boards of directors of each of ARYA and Nautilus.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194"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Nautilus will changes its name to “Nautilus Subsidiary, Inc.” (or another name mutually agreed to by ARYA and Nautilus); (ii) ARYA will become a Delaware corporation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ARYA’s name will be changed to “Nautilus Biotechnology, Inc.” (“</w:t>
      </w:r>
      <w:r>
        <w:rPr>
          <w:rFonts w:ascii="Times New Roman" w:cs="Times New Roman" w:eastAsia="Times New Roman" w:hAnsi="Times New Roman"/>
          <w:sz w:val="18"/>
          <w:szCs w:val="18"/>
          <w:i w:val="1"/>
          <w:iCs w:val="1"/>
          <w:color w:val="auto"/>
        </w:rPr>
        <w:t>New Nautilus</w:t>
      </w:r>
      <w:r>
        <w:rPr>
          <w:rFonts w:ascii="Times New Roman" w:cs="Times New Roman" w:eastAsia="Times New Roman" w:hAnsi="Times New Roman"/>
          <w:sz w:val="18"/>
          <w:szCs w:val="18"/>
          <w:color w:val="auto"/>
        </w:rPr>
        <w:t>”) and (B) each outstanding Class A ordinary share of ARYA and each outstanding Class B ordinary share of ARYA will become one share of common stock of New Nautilus (the “</w:t>
      </w:r>
      <w:r>
        <w:rPr>
          <w:rFonts w:ascii="Times New Roman" w:cs="Times New Roman" w:eastAsia="Times New Roman" w:hAnsi="Times New Roman"/>
          <w:sz w:val="18"/>
          <w:szCs w:val="18"/>
          <w:i w:val="1"/>
          <w:iCs w:val="1"/>
          <w:color w:val="auto"/>
        </w:rPr>
        <w:t>New Nautilus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(iii) following the Domestication, Merger Sub will merge with and into Nautilus, with Nautilus as the surviving company in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after giving effect to such merger, continuing as a wholly-owned subsidiary of New Nautilus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The Domestication, the Merger and the other transactions contemplated by the Business Combination Agreement are hereinafter referred to as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The Business Combination is expected to close in the second quarter of 2021, following the receipt of the required approval by ARYA’s shareholders and the fulfillment of other customary closing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Consideration</w:t>
      </w:r>
    </w:p>
    <w:p>
      <w:pPr>
        <w:spacing w:after="0" w:line="194"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94"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of each of the parties thereto that are customary for transactions of this type. ARYA has also agreed to take all action as may be necessary or reasonably appropriate such that, as of the effective time of the Business Combination, the ARYA board of directors will consist of nine directors, which shall be divided into three classes and be comprised of seven individuals determined by Nautilus prior to the effectiveness of the Registration Statement, one individual determined by ARYA Sponsor prior to the effectiveness of the Registration Statement and one director that may designated by Nautilus and that is reasonably acceptable to ARYA Sciences Holdings III (“</w:t>
      </w:r>
      <w:r>
        <w:rPr>
          <w:rFonts w:ascii="Times New Roman" w:cs="Times New Roman" w:eastAsia="Times New Roman" w:hAnsi="Times New Roman"/>
          <w:sz w:val="18"/>
          <w:szCs w:val="18"/>
          <w:i w:val="1"/>
          <w:iCs w:val="1"/>
          <w:color w:val="auto"/>
        </w:rPr>
        <w:t>ARYA Sponsor</w:t>
      </w:r>
      <w:r>
        <w:rPr>
          <w:rFonts w:ascii="Times New Roman" w:cs="Times New Roman" w:eastAsia="Times New Roman" w:hAnsi="Times New Roman"/>
          <w:sz w:val="18"/>
          <w:szCs w:val="18"/>
          <w:color w:val="auto"/>
        </w:rPr>
        <w:t>”) prior to the effectiveness of the Registration Statement (provided that if no individual is designated as of such time, then such director seat shall be vacant following the effective time of the merger until an individual is elected or appointed to such directorship in accordance with the New Nautilus governing documents). In addition, ARYA has agreed to adopt an equity incentive plan and employee stock purchase plan, as described in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Each Party’s Obligations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obligation of ARYA and Nautilus to consummate the Business Combination is subject to certain closing conditions, including, but not limited to,</w:t>
      </w:r>
    </w:p>
    <w:p>
      <w:pPr>
        <w:spacing w:after="0" w:line="24" w:lineRule="exact"/>
        <w:rPr>
          <w:sz w:val="20"/>
          <w:szCs w:val="20"/>
          <w:color w:val="auto"/>
        </w:rPr>
      </w:pPr>
    </w:p>
    <w:p>
      <w:pPr>
        <w:jc w:val="both"/>
        <w:ind w:firstLine="9"/>
        <w:spacing w:after="0" w:line="233" w:lineRule="auto"/>
        <w:tabs>
          <w:tab w:leader="none" w:pos="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under the Hart-Scott-Rodino Antitrust Improvements Act of 1976, as amended, (ii) the absence of any order, law or other legal restraint or prohibition issued by any court of competent jurisdiction or other governmental entity of competent jurisdiction enjoining or prohibiting the consummation of the Domestication or the Merger, (iii) the effectiveness of the Registration Statement on Form S-4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in accordance with the provisions of the Securities Act registering the ARYA Common Stock to be issued in the Merger and the Domestication, (iv) the required approvals of ARYA’s shareholders, (v) the approval of Nautilus’s shareholders, (iv) ARYA having at least $5,000,001 of net tangible assets (as determined in accordance with Rule 3a51-1(g)(1) of the Securities Exchange Act of 1934, as amended) remaining after the closing of the Business Combination, and (vii) the approval by Nasdaq of ARYA’s initial listing application in connection with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 w:name="page3"/>
    <w:bookmarkEnd w:id="2"/>
    <w:p>
      <w:pPr>
        <w:jc w:val="both"/>
        <w:ind w:firstLine="532"/>
        <w:spacing w:after="0"/>
        <w:rPr>
          <w:sz w:val="20"/>
          <w:szCs w:val="20"/>
          <w:color w:val="auto"/>
        </w:rPr>
      </w:pPr>
      <w:r>
        <w:rPr>
          <w:rFonts w:ascii="Times New Roman" w:cs="Times New Roman" w:eastAsia="Times New Roman" w:hAnsi="Times New Roman"/>
          <w:sz w:val="18"/>
          <w:szCs w:val="18"/>
          <w:color w:val="auto"/>
        </w:rPr>
        <w:t>In addition, the obligation of Nautilus to consummate the Business Combination is subject to the fulfillment of other closing conditions, including, but not limited to, (i) the aggregate cash proceeds from ARYA’s trust account, together with the proceeds from the PIPE Financing (as defined below), equaling no less than $250,000,000 (after deducting any amounts paid to ARYA shareholders that exercise their redemption rights in connection with the Business Combination and net of ARYA’s unpaid transaction expenses and ARYA’s unpaid liabilities), and (ii) the consummation of the Domestication</w:t>
      </w:r>
      <w:r>
        <w:rPr>
          <w:rFonts w:ascii="Times New Roman" w:cs="Times New Roman" w:eastAsia="Times New Roman" w:hAnsi="Times New Roman"/>
          <w:sz w:val="18"/>
          <w:szCs w:val="18"/>
          <w:i w:val="1"/>
          <w:i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94"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prior to the closing of the Business Combination, including, but not limited to, (i) by mutual written consent of ARYA and Nautilus, (ii) by ARYA if the representations and warranties of Nautilus are not true and correct or if Nautilus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(iii) termination by Nautilus if the representations and warranties of ARYA or Merger Sub (the “</w:t>
      </w:r>
      <w:r>
        <w:rPr>
          <w:rFonts w:ascii="Times New Roman" w:cs="Times New Roman" w:eastAsia="Times New Roman" w:hAnsi="Times New Roman"/>
          <w:sz w:val="18"/>
          <w:szCs w:val="18"/>
          <w:i w:val="1"/>
          <w:iCs w:val="1"/>
          <w:color w:val="auto"/>
        </w:rPr>
        <w:t>ARYA Parties</w:t>
      </w:r>
      <w:r>
        <w:rPr>
          <w:rFonts w:ascii="Times New Roman" w:cs="Times New Roman" w:eastAsia="Times New Roman" w:hAnsi="Times New Roman"/>
          <w:sz w:val="18"/>
          <w:szCs w:val="18"/>
          <w:color w:val="auto"/>
        </w:rPr>
        <w:t>”) are not true and correct or if any ARYA Party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(iv) subject to certain limited exceptions, by either ARYA or Nautilus if the Business Combination is not consummated by 11:59 P.M. (pacific time) on August 6, 2021, (v) by either ARYA or Nautilus if certain required approvals are not obtained from ARYA shareholders after the conclusion of a meeting of ARYA’s shareholders held for such purpose at which such shareholders voted on such approvals, (vi) either ARYA or Nautilus, if any governmental entity of competent jurisdiction shall have issued an order permanently enjoining or prohibiting the Merger or the Domestication and such order shall have become final and nonappealable, and (vii) termination by ARYA if Nautilus has not delivered to ARYA a written consent of the Nautilus shareholders approving the Business Combination and the transactions contemplated thereby (including the Merger) within five business days of the Registration Statement being declared effective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If the Business Combination Agreement is validly terminated, none of the parties to the Business Combination Agreement will have any liability or any further obligation under the Business Combination Agreement, except in the case of Willful Breach or Fraud (each, as defined in the Business Combination Agreement) and for customary obligations that survive the termination thereof (such as confidentiality obligations).</w:t>
      </w:r>
    </w:p>
    <w:p>
      <w:pPr>
        <w:spacing w:after="0" w:line="16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A copy of the Business Combination Agreement is filed with this Current Report on Form 8-K as Exhibit 2.1 and is incorporated herein by reference, and the foregoing description of the Business Combination Agreement is qualified in its entirety by reference thereto. The Business Combination Agreement contains representations, warranties and covenants that the respective parties made to each other as of the date of the Business Combination Agreement or other specific dates, as specified therein.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Business Combination Agreement are also modified in important part by the underlying disclosure schedules which are not filed publicly and which are subject to a contractual standard of materiality different from that generally applicable to shareholders and were used for the purpose of allocating risk among the parties rather than establishing matters as facts. ARYA does not believe that these schedules contain information that is material to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715708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196"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ARYA Sciences Holdings III, a Cayman Islands exempted limited company (the “</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and each other holder of Class B ordinary shares of ARYA (the “</w:t>
      </w:r>
      <w:r>
        <w:rPr>
          <w:rFonts w:ascii="Times New Roman" w:cs="Times New Roman" w:eastAsia="Times New Roman" w:hAnsi="Times New Roman"/>
          <w:sz w:val="18"/>
          <w:szCs w:val="18"/>
          <w:i w:val="1"/>
          <w:iCs w:val="1"/>
          <w:color w:val="auto"/>
        </w:rPr>
        <w:t>Other Class B Shareholders</w:t>
      </w:r>
      <w:r>
        <w:rPr>
          <w:rFonts w:ascii="Times New Roman" w:cs="Times New Roman" w:eastAsia="Times New Roman" w:hAnsi="Times New Roman"/>
          <w:sz w:val="18"/>
          <w:szCs w:val="18"/>
          <w:color w:val="auto"/>
        </w:rPr>
        <w:t>”) and Nautilus entered into the Sponsor Letter Agreement (the “</w:t>
      </w:r>
      <w:r>
        <w:rPr>
          <w:rFonts w:ascii="Times New Roman" w:cs="Times New Roman" w:eastAsia="Times New Roman" w:hAnsi="Times New Roman"/>
          <w:sz w:val="18"/>
          <w:szCs w:val="18"/>
          <w:i w:val="1"/>
          <w:iCs w:val="1"/>
          <w:color w:val="auto"/>
        </w:rPr>
        <w:t>Sponsor Letter Agreement</w:t>
      </w:r>
      <w:r>
        <w:rPr>
          <w:rFonts w:ascii="Times New Roman" w:cs="Times New Roman" w:eastAsia="Times New Roman" w:hAnsi="Times New Roman"/>
          <w:sz w:val="18"/>
          <w:szCs w:val="18"/>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ARYA prior to the closing of the Business Combination, in each case, on the terms and subject to the conditions set forth in the Sponsor Letter Agreement.</w:t>
      </w:r>
    </w:p>
    <w:p>
      <w:pPr>
        <w:spacing w:after="0" w:line="173"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Sponsor Letter Agreement is filed with this Current Report on Form 8-K as Exhibit 10.1 and is incorporated herein by reference, and the foregoing description of the Sponsor Letter Agreement is qualified in its entirety by reference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 (Private Placement)</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entered into subscription agreements (the “</w:t>
      </w: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certain investors, including, among others, Perceptive Life Sciences Master Fund Ltd., a fund managed by Perceptive Advisors, an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Sponsor, as well as certain equity holders of Nautilus and additional third party investors. Pursuant to the Subscription Agreements, each investor agreed to subscribe for and purchase, and ARYA agreed to issue and sell to such investors, on the Closing Date (as defined in the Business Combination Agreement) immediately prior to the Closing (as defined in the Business Combination Agreement), an aggregate of 20,000,000 shares of ARYA Common Stock for a purchase price of $10.00 per share, for aggregate gross proceeds of $200,000,000 (the “</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closing of the PIPE Financing is contingent upon, among other things, the substantially concurrent consummation of the Business Combination.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Agreements provide that ARYA will grant the investors in the PIPE Financing certain customary registration rights.</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form of Subscription Agreement is filed with this Current Report on Form 8-K as Exhibit 10.3 and is incorporated herein by reference, and the foregoing description of the Subscription Agreements is qualified in its entirety by reference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p>
      <w:pPr>
        <w:spacing w:after="0" w:line="194"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Within 24 hours of the signing of the Business Combination Agreement, certain directors, officers and stockholders of Nautilus entered into a Transaction Support Agreement (collectively, the “</w:t>
      </w:r>
      <w:r>
        <w:rPr>
          <w:rFonts w:ascii="Times New Roman" w:cs="Times New Roman" w:eastAsia="Times New Roman" w:hAnsi="Times New Roman"/>
          <w:sz w:val="18"/>
          <w:szCs w:val="18"/>
          <w:i w:val="1"/>
          <w:iCs w:val="1"/>
          <w:color w:val="auto"/>
        </w:rPr>
        <w:t>Transaction Support Agreements</w:t>
      </w:r>
      <w:r>
        <w:rPr>
          <w:rFonts w:ascii="Times New Roman" w:cs="Times New Roman" w:eastAsia="Times New Roman" w:hAnsi="Times New Roman"/>
          <w:sz w:val="18"/>
          <w:szCs w:val="18"/>
          <w:color w:val="auto"/>
        </w:rPr>
        <w:t>”) with ARYA, pursuant to which such parties have agreed to, among other things,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form of Transaction Support Agreement is filed with this Current Report on Form 8-K as Exhibit C to Exhibit 2.1 and is incorporated herein by reference, and the foregoing description of the Transaction Support Agreements is qualified in its entirety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715708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196"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the Perceptive Shareholders, the Other Class B Shareholders and certain Nautilus shareholders entered into an amended and restated registration rights and lock-up agreement (the “</w:t>
      </w:r>
      <w:r>
        <w:rPr>
          <w:rFonts w:ascii="Times New Roman" w:cs="Times New Roman" w:eastAsia="Times New Roman" w:hAnsi="Times New Roman"/>
          <w:sz w:val="18"/>
          <w:szCs w:val="18"/>
          <w:i w:val="1"/>
          <w:iCs w:val="1"/>
          <w:color w:val="auto"/>
        </w:rPr>
        <w:t>A&amp;R Registration Rights and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among other things, the Perceptive Shareholders (as defined in the Business Combination Agreement), the Other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(as defined in the Business Combination Agreement) and the certain Nautilus shareholders agreed not to effect any sale or distribution of ARYA equity securities during the lock-up period described therein and will be granted certain customary registration rights, in each case subject to, and conditioned upon and effective as of, the effective time of the Merger.</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A&amp;R Registration Rights and Lock-Up Agreement is filed with this Current Report on Form 8-K as Exhibit 10.2 and is incorporated herein by reference, and the foregoing description of the A&amp;R Registration Rights and Lock-Up Agreement is qualified in its entirety by reference thereto.</w:t>
      </w:r>
    </w:p>
    <w:p>
      <w:pPr>
        <w:spacing w:after="0" w:line="14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94" w:lineRule="exact"/>
        <w:rPr>
          <w:sz w:val="20"/>
          <w:szCs w:val="20"/>
          <w:color w:val="auto"/>
        </w:rPr>
      </w:pPr>
    </w:p>
    <w:p>
      <w:pPr>
        <w:ind w:right="40" w:firstLine="532"/>
        <w:spacing w:after="0" w:line="246"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is incorporated by reference herein. The shares of ARYA Common Stock to be offered and sold in connection with the PIPE Financing have not been registered under the Securities Act in reliance upon the exemption provided in Section 4(a)(2) thereof.</w:t>
      </w:r>
    </w:p>
    <w:p>
      <w:pPr>
        <w:spacing w:after="0" w:line="16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9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On February 8, 2021, ARYA and Nautilus issued a press release announcing their entry into the Business Combination Agreement. The press release is attached hereto as Exhibit 99.1 and incorporated by reference herein.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Exhibits 99.2 and 99.3 hereto and incorporated into this Item 7.01 by reference is the investor presentation that ARYA and Nautilus have prepared for use in connection with the announcement of the Business Combination and a transcript of the investor presentation.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99.4 hereto and incorporated into this Item 7.01 by reference is the transcript of a conversation between Nick Nelsen, Senior Vice President and Chief Business Officer at Nautilus and Dr. Josh LaBaer, a key opinion leader and executive director of the Biodesign Institute at ASU.</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99.5 hereto and incorporated into this Item 7.01 by reference is an email that Sujal Patel has sent to Nautilus employees about the proposed Business Combination with ARYA.</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99.6 hereto and incorporated into this Item 7.01 by reference are presentation materials provided to Nautilus employees about the proposed Business Combination with ARYA.</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The foregoing (including Exhibits 99.1, 99.2, 99.3, 99.4, 99.5 and 99.6) is being furnished pursuant to Item 7.01 and will not be deemed to be filed for purposes of Section 18 of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be subject to the liabilities of that section, nor will it be deemed to be incorporated by reference in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4"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7"/>
          <w:szCs w:val="17"/>
          <w:color w:val="auto"/>
        </w:rPr>
        <w:t>In connection with the Business Combination, ARYA intends to file with the U.S. Securities and Exchange Commission’s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a Registration Statement, which will include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 </w:t>
      </w:r>
      <w:r>
        <w:rPr>
          <w:rFonts w:ascii="Times New Roman" w:cs="Times New Roman" w:eastAsia="Times New Roman" w:hAnsi="Times New Roman"/>
          <w:sz w:val="17"/>
          <w:szCs w:val="17"/>
          <w:b w:val="1"/>
          <w:bCs w:val="1"/>
          <w:color w:val="auto"/>
        </w:rPr>
        <w:t>Investors and security holders of</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Times New Roman" w:cs="Times New Roman" w:eastAsia="Times New Roman" w:hAnsi="Times New Roman"/>
          <w:sz w:val="18"/>
          <w:szCs w:val="18"/>
          <w:color w:val="auto"/>
        </w:rPr>
        <w:t>The definitive proxy statement/final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will be mailed to 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Times New Roman" w:cs="Times New Roman" w:eastAsia="Times New Roman" w:hAnsi="Times New Roman"/>
          <w:sz w:val="18"/>
          <w:szCs w:val="18"/>
          <w:color w:val="auto"/>
        </w:rPr>
        <w:t>Investors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may obtain more detailed information regarding the names and interests in the Business Combination of ARYA’s directors and officers in ARYA’s filings with the SEC, including the Registration Statement to be filed with the SEC by ARYA, which will include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94" w:lineRule="exact"/>
        <w:rPr>
          <w:sz w:val="20"/>
          <w:szCs w:val="20"/>
          <w:color w:val="auto"/>
        </w:rPr>
      </w:pPr>
    </w:p>
    <w:p>
      <w:pPr>
        <w:jc w:val="both"/>
        <w:ind w:firstLine="799"/>
        <w:spacing w:after="0" w:line="232" w:lineRule="auto"/>
        <w:rPr>
          <w:sz w:val="20"/>
          <w:szCs w:val="20"/>
          <w:color w:val="auto"/>
        </w:rPr>
      </w:pPr>
      <w:r>
        <w:rPr>
          <w:rFonts w:ascii="Times New Roman" w:cs="Times New Roman" w:eastAsia="Times New Roman" w:hAnsi="Times New Roman"/>
          <w:sz w:val="18"/>
          <w:szCs w:val="18"/>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225425</wp:posOffset>
            </wp:positionV>
            <wp:extent cx="715708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96"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80" w:type="dxa"/>
            <w:vAlign w:val="bottom"/>
          </w:tcPr>
          <w:p>
            <w:pPr>
              <w:spacing w:after="0"/>
              <w:rPr>
                <w:sz w:val="24"/>
                <w:szCs w:val="24"/>
                <w:color w:val="auto"/>
              </w:rPr>
            </w:pPr>
          </w:p>
        </w:tc>
      </w:tr>
      <w:tr>
        <w:trPr>
          <w:trHeight w:val="351"/>
        </w:trPr>
        <w:tc>
          <w:tcPr>
            <w:tcW w:w="100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6"/>
              </w:rPr>
              <w:t>Exhibit</w:t>
            </w:r>
          </w:p>
        </w:tc>
        <w:tc>
          <w:tcPr>
            <w:tcW w:w="10280" w:type="dxa"/>
            <w:vAlign w:val="bottom"/>
          </w:tcPr>
          <w:p>
            <w:pPr>
              <w:spacing w:after="0"/>
              <w:rPr>
                <w:sz w:val="24"/>
                <w:szCs w:val="24"/>
                <w:color w:val="auto"/>
              </w:rPr>
            </w:pPr>
          </w:p>
        </w:tc>
      </w:tr>
      <w:tr>
        <w:trPr>
          <w:trHeight w:val="196"/>
        </w:trPr>
        <w:tc>
          <w:tcPr>
            <w:tcW w:w="100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10280" w:type="dxa"/>
            <w:vAlign w:val="bottom"/>
            <w:tcBorders>
              <w:bottom w:val="single" w:sz="8" w:color="auto"/>
            </w:tcBorders>
          </w:tcPr>
          <w:p>
            <w:pPr>
              <w:ind w:left="48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9">
              <w:r>
                <w:rPr>
                  <w:rFonts w:ascii="Times New Roman" w:cs="Times New Roman" w:eastAsia="Times New Roman" w:hAnsi="Times New Roman"/>
                  <w:sz w:val="15"/>
                  <w:szCs w:val="15"/>
                  <w:u w:val="single" w:color="auto"/>
                  <w:color w:val="0000EE"/>
                  <w:w w:val="98"/>
                </w:rPr>
                <w:t>2.1†</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8"/>
              </w:rPr>
              <w:t>Business Combination Agreement, dated as of February 7, 2021, by and among ARYA Sciences Acquisition Corp III, Mako Merger Sub and Nautilus Biotechnology, Inc.</w:t>
            </w:r>
          </w:p>
        </w:tc>
      </w:tr>
      <w:tr>
        <w:trPr>
          <w:trHeight w:val="163"/>
        </w:trPr>
        <w:tc>
          <w:tcPr>
            <w:tcW w:w="1000" w:type="dxa"/>
            <w:vAlign w:val="bottom"/>
          </w:tcPr>
          <w:p>
            <w:pPr>
              <w:jc w:val="center"/>
              <w:ind w:left="64"/>
              <w:spacing w:after="0" w:line="163" w:lineRule="exact"/>
              <w:rPr>
                <w:rFonts w:ascii="Times New Roman" w:cs="Times New Roman" w:eastAsia="Times New Roman" w:hAnsi="Times New Roman"/>
                <w:sz w:val="15"/>
                <w:szCs w:val="15"/>
                <w:u w:val="single" w:color="auto"/>
                <w:color w:val="0000EE"/>
                <w:w w:val="98"/>
              </w:rPr>
            </w:pPr>
            <w:hyperlink w:anchor="page263">
              <w:r>
                <w:rPr>
                  <w:rFonts w:ascii="Times New Roman" w:cs="Times New Roman" w:eastAsia="Times New Roman" w:hAnsi="Times New Roman"/>
                  <w:sz w:val="15"/>
                  <w:szCs w:val="15"/>
                  <w:u w:val="single" w:color="auto"/>
                  <w:color w:val="0000EE"/>
                  <w:w w:val="98"/>
                </w:rPr>
                <w:t>10.1</w:t>
              </w:r>
            </w:hyperlink>
          </w:p>
        </w:tc>
        <w:tc>
          <w:tcPr>
            <w:tcW w:w="10280" w:type="dxa"/>
            <w:vAlign w:val="bottom"/>
          </w:tcPr>
          <w:p>
            <w:pPr>
              <w:ind w:left="140"/>
              <w:spacing w:after="0" w:line="163" w:lineRule="exact"/>
              <w:rPr>
                <w:sz w:val="20"/>
                <w:szCs w:val="20"/>
                <w:color w:val="auto"/>
              </w:rPr>
            </w:pPr>
            <w:r>
              <w:rPr>
                <w:rFonts w:ascii="Times New Roman" w:cs="Times New Roman" w:eastAsia="Times New Roman" w:hAnsi="Times New Roman"/>
                <w:sz w:val="15"/>
                <w:szCs w:val="15"/>
                <w:color w:val="auto"/>
                <w:w w:val="97"/>
              </w:rPr>
              <w:t>Sponsor Letter Agreement, dated as of February 7, 2021, by and among ARYA Sciences Holdings III, certain other holders set forth on Schedule I thereto, ARYA Sciences</w:t>
            </w:r>
          </w:p>
        </w:tc>
      </w:tr>
      <w:tr>
        <w:trPr>
          <w:trHeight w:val="192"/>
        </w:trPr>
        <w:tc>
          <w:tcPr>
            <w:tcW w:w="1000" w:type="dxa"/>
            <w:vAlign w:val="bottom"/>
          </w:tcPr>
          <w:p>
            <w:pPr>
              <w:spacing w:after="0"/>
              <w:rPr>
                <w:sz w:val="16"/>
                <w:szCs w:val="16"/>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 Corp III and Nautilus Biotechnology, Inc.</w:t>
            </w:r>
          </w:p>
        </w:tc>
      </w:tr>
      <w:tr>
        <w:trPr>
          <w:trHeight w:val="163"/>
        </w:trPr>
        <w:tc>
          <w:tcPr>
            <w:tcW w:w="1000" w:type="dxa"/>
            <w:vAlign w:val="bottom"/>
            <w:shd w:val="clear" w:color="auto" w:fill="CCEEFF"/>
          </w:tcPr>
          <w:p>
            <w:pPr>
              <w:jc w:val="center"/>
              <w:ind w:left="64"/>
              <w:spacing w:after="0" w:line="163" w:lineRule="exact"/>
              <w:rPr>
                <w:rFonts w:ascii="Times New Roman" w:cs="Times New Roman" w:eastAsia="Times New Roman" w:hAnsi="Times New Roman"/>
                <w:sz w:val="15"/>
                <w:szCs w:val="15"/>
                <w:u w:val="single" w:color="auto"/>
                <w:color w:val="0000EE"/>
                <w:w w:val="98"/>
              </w:rPr>
            </w:pPr>
            <w:hyperlink w:anchor="page278">
              <w:r>
                <w:rPr>
                  <w:rFonts w:ascii="Times New Roman" w:cs="Times New Roman" w:eastAsia="Times New Roman" w:hAnsi="Times New Roman"/>
                  <w:sz w:val="15"/>
                  <w:szCs w:val="15"/>
                  <w:u w:val="single" w:color="auto"/>
                  <w:color w:val="0000EE"/>
                  <w:w w:val="98"/>
                </w:rPr>
                <w:t>10.2</w:t>
              </w:r>
            </w:hyperlink>
          </w:p>
        </w:tc>
        <w:tc>
          <w:tcPr>
            <w:tcW w:w="1028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5"/>
                <w:szCs w:val="15"/>
                <w:color w:val="auto"/>
              </w:rPr>
              <w:t>Amended and Restated Registration Rights and Lock-Up Agreement, dated February 7, 2021, by and among ARYA Sciences Acquisition Corp III, ARYA Sciences</w:t>
            </w:r>
          </w:p>
        </w:tc>
      </w:tr>
      <w:tr>
        <w:trPr>
          <w:trHeight w:val="192"/>
        </w:trPr>
        <w:tc>
          <w:tcPr>
            <w:tcW w:w="1000" w:type="dxa"/>
            <w:vAlign w:val="bottom"/>
            <w:shd w:val="clear" w:color="auto" w:fill="CCEEFF"/>
          </w:tcPr>
          <w:p>
            <w:pPr>
              <w:spacing w:after="0"/>
              <w:rPr>
                <w:sz w:val="16"/>
                <w:szCs w:val="16"/>
                <w:color w:val="auto"/>
              </w:rPr>
            </w:pPr>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Holdings III and certain other holders set forth on Schedule A thereto.</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20">
              <w:r>
                <w:rPr>
                  <w:rFonts w:ascii="Times New Roman" w:cs="Times New Roman" w:eastAsia="Times New Roman" w:hAnsi="Times New Roman"/>
                  <w:sz w:val="15"/>
                  <w:szCs w:val="15"/>
                  <w:u w:val="single" w:color="auto"/>
                  <w:color w:val="0000EE"/>
                  <w:w w:val="98"/>
                </w:rPr>
                <w:t>10.3</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Form of Subscription Agreement.</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9">
              <w:r>
                <w:rPr>
                  <w:rFonts w:ascii="Times New Roman" w:cs="Times New Roman" w:eastAsia="Times New Roman" w:hAnsi="Times New Roman"/>
                  <w:sz w:val="15"/>
                  <w:szCs w:val="15"/>
                  <w:u w:val="single" w:color="auto"/>
                  <w:color w:val="0000EE"/>
                  <w:w w:val="98"/>
                </w:rPr>
                <w:t>10.4</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Form of Transaction Support Agreement (included as Exhibit C to Exhibit 2.1 hereto).</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37">
              <w:r>
                <w:rPr>
                  <w:rFonts w:ascii="Times New Roman" w:cs="Times New Roman" w:eastAsia="Times New Roman" w:hAnsi="Times New Roman"/>
                  <w:sz w:val="15"/>
                  <w:szCs w:val="15"/>
                  <w:u w:val="single" w:color="auto"/>
                  <w:color w:val="0000EE"/>
                  <w:w w:val="98"/>
                </w:rPr>
                <w:t>99.1</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Press Release,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343">
              <w:r>
                <w:rPr>
                  <w:rFonts w:ascii="Times New Roman" w:cs="Times New Roman" w:eastAsia="Times New Roman" w:hAnsi="Times New Roman"/>
                  <w:sz w:val="15"/>
                  <w:szCs w:val="15"/>
                  <w:u w:val="single" w:color="auto"/>
                  <w:color w:val="0000EE"/>
                  <w:w w:val="98"/>
                </w:rPr>
                <w:t>99.2</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Presentation, dated February 2021.</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88">
              <w:r>
                <w:rPr>
                  <w:rFonts w:ascii="Times New Roman" w:cs="Times New Roman" w:eastAsia="Times New Roman" w:hAnsi="Times New Roman"/>
                  <w:sz w:val="15"/>
                  <w:szCs w:val="15"/>
                  <w:u w:val="single" w:color="auto"/>
                  <w:color w:val="0000EE"/>
                  <w:w w:val="98"/>
                </w:rPr>
                <w:t>99.3</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Transcript of Conference Call,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403">
              <w:r>
                <w:rPr>
                  <w:rFonts w:ascii="Times New Roman" w:cs="Times New Roman" w:eastAsia="Times New Roman" w:hAnsi="Times New Roman"/>
                  <w:sz w:val="15"/>
                  <w:szCs w:val="15"/>
                  <w:u w:val="single" w:color="auto"/>
                  <w:color w:val="0000EE"/>
                  <w:w w:val="98"/>
                </w:rPr>
                <w:t>99.4</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Transcript of Interview with Dr. Josh LaBaer.</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411">
              <w:r>
                <w:rPr>
                  <w:rFonts w:ascii="Times New Roman" w:cs="Times New Roman" w:eastAsia="Times New Roman" w:hAnsi="Times New Roman"/>
                  <w:sz w:val="15"/>
                  <w:szCs w:val="15"/>
                  <w:u w:val="single" w:color="auto"/>
                  <w:color w:val="0000EE"/>
                  <w:w w:val="98"/>
                </w:rPr>
                <w:t>99.5</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Nautilus Employee Email,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414">
              <w:r>
                <w:rPr>
                  <w:rFonts w:ascii="Times New Roman" w:cs="Times New Roman" w:eastAsia="Times New Roman" w:hAnsi="Times New Roman"/>
                  <w:sz w:val="15"/>
                  <w:szCs w:val="15"/>
                  <w:u w:val="single" w:color="auto"/>
                  <w:color w:val="0000EE"/>
                  <w:w w:val="98"/>
                </w:rPr>
                <w:t>99.6</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Nautilus Employee Presentation Materials, dated February 8,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232410</wp:posOffset>
            </wp:positionV>
            <wp:extent cx="7042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215" cy="698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80" w:right="140" w:hanging="271"/>
        <w:spacing w:after="0" w:line="273" w:lineRule="auto"/>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of the exhibits and schedules to this exhibit have been omitted in accordance with Regulation S-K Item 601(b)(2). The Registrant agrees to furnish supplementally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15708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6" w:lineRule="exact"/>
        <w:rPr>
          <w:sz w:val="20"/>
          <w:szCs w:val="20"/>
          <w:color w:val="auto"/>
        </w:rPr>
      </w:pPr>
    </w:p>
    <w:p>
      <w:pPr>
        <w:ind w:right="600" w:firstLine="532"/>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8, 2021</w:t>
            </w: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ARYA SCIENCES ACQUISITION CORP III</w:t>
            </w:r>
          </w:p>
        </w:tc>
      </w:tr>
      <w:tr>
        <w:trPr>
          <w:trHeight w:val="358"/>
        </w:trPr>
        <w:tc>
          <w:tcPr>
            <w:tcW w:w="352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Adam Stone</w:t>
            </w:r>
          </w:p>
        </w:tc>
      </w:tr>
      <w:tr>
        <w:trPr>
          <w:trHeight w:val="163"/>
        </w:trPr>
        <w:tc>
          <w:tcPr>
            <w:tcW w:w="3520" w:type="dxa"/>
            <w:vAlign w:val="bottom"/>
          </w:tcPr>
          <w:p>
            <w:pPr>
              <w:spacing w:after="0"/>
              <w:rPr>
                <w:sz w:val="14"/>
                <w:szCs w:val="14"/>
                <w:color w:val="auto"/>
              </w:rPr>
            </w:pPr>
          </w:p>
        </w:tc>
        <w:tc>
          <w:tcPr>
            <w:tcW w:w="2680" w:type="dxa"/>
            <w:vAlign w:val="bottom"/>
          </w:tcPr>
          <w:p>
            <w:pPr>
              <w:ind w:left="2140"/>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Adam Stone</w:t>
            </w:r>
          </w:p>
        </w:tc>
      </w:tr>
      <w:tr>
        <w:trPr>
          <w:trHeight w:val="192"/>
        </w:trPr>
        <w:tc>
          <w:tcPr>
            <w:tcW w:w="3520" w:type="dxa"/>
            <w:vAlign w:val="bottom"/>
          </w:tcPr>
          <w:p>
            <w:pPr>
              <w:spacing w:after="0"/>
              <w:rPr>
                <w:sz w:val="16"/>
                <w:szCs w:val="16"/>
                <w:color w:val="auto"/>
              </w:rPr>
            </w:pPr>
          </w:p>
        </w:tc>
        <w:tc>
          <w:tcPr>
            <w:tcW w:w="268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491"/>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2.1</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ARYA SCIENCES ACQUISITION CORP III,</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MAKO MERGER SUB, INC.</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DATED AS OF FEBRUARY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102870</wp:posOffset>
            </wp:positionV>
            <wp:extent cx="715708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24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5340" w:type="dxa"/>
            <w:vAlign w:val="bottom"/>
            <w:gridSpan w:val="2"/>
          </w:tcPr>
          <w:p>
            <w:pPr>
              <w:ind w:left="34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680" w:type="dxa"/>
            <w:vAlign w:val="bottom"/>
          </w:tcPr>
          <w:p>
            <w:pPr>
              <w:spacing w:after="0"/>
              <w:rPr>
                <w:sz w:val="17"/>
                <w:szCs w:val="17"/>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w:t>
            </w:r>
            <w:r>
              <w:rPr>
                <w:rFonts w:ascii="Times New Roman" w:cs="Times New Roman" w:eastAsia="Times New Roman" w:hAnsi="Times New Roman"/>
                <w:sz w:val="9"/>
                <w:szCs w:val="9"/>
                <w:color w:val="auto"/>
              </w:rPr>
              <w:t>AGE</w:t>
            </w:r>
          </w:p>
        </w:tc>
      </w:tr>
      <w:tr>
        <w:trPr>
          <w:trHeight w:val="178"/>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ARTICLE 1 CERTAIN DEFINITIONS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1.1</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Definitions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77"/>
        </w:trPr>
        <w:tc>
          <w:tcPr>
            <w:tcW w:w="470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77"/>
        </w:trPr>
        <w:tc>
          <w:tcPr>
            <w:tcW w:w="66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ARTICLE 2 MERGER</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2.1</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Closing Transactions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2.2</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Closing of the Transactions Contemplated by this Agreement</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2.3</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Allocation Schedule; Aggregate Transaction Proceeds Schedule</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2.4</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Treatment of Company Options and Company Warrants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2.5</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Shareholder Deliverables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2.6</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Withholding</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2.7</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Dissenting Shares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77"/>
        </w:trPr>
        <w:tc>
          <w:tcPr>
            <w:tcW w:w="470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4680" w:type="dxa"/>
            <w:vAlign w:val="bottom"/>
          </w:tcPr>
          <w:p>
            <w:pPr>
              <w:spacing w:after="0"/>
              <w:rPr>
                <w:sz w:val="15"/>
                <w:szCs w:val="15"/>
                <w:color w:val="auto"/>
              </w:rPr>
            </w:pPr>
          </w:p>
        </w:tc>
      </w:tr>
      <w:tr>
        <w:trPr>
          <w:trHeight w:val="177"/>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ARTICLE 3 REPRESENTATIONS AND WARRANTIES RELATING TO THE GROUP COMPANIES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3.1</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Organization and Qualification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Capitalization of the Group Companies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3.3</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Authority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3.4</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Financial Statements; Undisclosed Liabilities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3.5</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Consents and Requisite Governmental Approvals; No Violations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3.6</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Permits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3.7</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Material Contracts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3.8</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Absence of Changes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3.9</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Litigation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3.10Compliance with Applicable Law</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3.11Employee Plans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3.12Environmental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3.13Intellectual Property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3.14Labor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3.15Insurance</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3.16Tax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3.17Brokers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3.18Real and Personal Property</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3.19Transactions with Affiliates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3.20Data Privacy and Security</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3.21Compliance with International Trade &amp; Anti-Corruption Laws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3.22Information Supplied</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3.23Regulatory Compliance</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3.24Investigation; No Other Representations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3.25EXCLUSIVITY OF REPRESENTATIONS AND WARRANTIES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77"/>
        </w:trPr>
        <w:tc>
          <w:tcPr>
            <w:tcW w:w="470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77"/>
        </w:trPr>
        <w:tc>
          <w:tcPr>
            <w:tcW w:w="66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ARTICLE 4 REPRESENTATIONS AND WARRANTIES RELATING TO THE ARYA PARTIES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Organization and Qualification</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92"/>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4.2</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Authority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4.3</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Consents and Requisite Governmental Approvals; No Violations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4.4</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Brokers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4.5</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Information Supplied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4.6</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Capitalization of the ARYA Parties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4.7</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SEC Filings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4.8</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Absence of Changes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4.9</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Contracts; No Defaults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4.10Investment Company Act</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4.11Trust Account; Financial Ability</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4.12Transactions with Affiliates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4.13Litigation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4.14Compliance with Applicable Law</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4.15ARYA Party Activities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4.16Internal Controls; Listing; Financial Statements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4.17No Undisclosed Liabilities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4.18Employees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4.19Tax Matters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4.20CFIUS Foreign Person Status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4.21Compliance with International Trade &amp; Anti-Corruption Laws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4.22Change of Control Payments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4.23PIPE Financing</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4.24Investigation; No Other Representations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4.25EXCLUSIVITY OF REPRESENTATIONS AND WARRANTIES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177"/>
        </w:trPr>
        <w:tc>
          <w:tcPr>
            <w:tcW w:w="8240" w:type="dxa"/>
            <w:vAlign w:val="bottom"/>
            <w:gridSpan w:val="2"/>
          </w:tcPr>
          <w:p>
            <w:pPr>
              <w:spacing w:after="0"/>
              <w:rPr>
                <w:sz w:val="15"/>
                <w:szCs w:val="15"/>
                <w:color w:val="auto"/>
              </w:rPr>
            </w:pPr>
          </w:p>
        </w:tc>
        <w:tc>
          <w:tcPr>
            <w:tcW w:w="3040" w:type="dxa"/>
            <w:vAlign w:val="bottom"/>
          </w:tcPr>
          <w:p>
            <w:pPr>
              <w:spacing w:after="0"/>
              <w:rPr>
                <w:sz w:val="15"/>
                <w:szCs w:val="15"/>
                <w:color w:val="auto"/>
              </w:rPr>
            </w:pP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ARTICLE 5 COVENANTS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5.1</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Conduct of Business of the Company</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Efforts to Consummate; Transaction Litigation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5.3</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Confidentiality and Access to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5.4</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Public Announcements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5.5</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Tax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5.6</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Exclusive Dealing</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5.7</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ARYA Exclusive Dealing</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5.8</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Preparation of Registration Statement / Proxy Statement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5.9</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ARYA Shareholder Approval</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5.10Merger Sub Shareholder Approval</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5.11Conduct of Business of ARYA</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5.12Nasdaq Listing; ARYA Public Filings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5.13Trust Account</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5.14Company Shareholder Approval</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5.15Financing</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5.16ARYA Indemnification; Directors’ and Officers’ Insurance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5.17Company Indemnification; Directors’ and Officers’ Insurance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5.18Post-Closing Directors and Officers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5.19PCAOB Financials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5.20ARYA Incentive Equity Plan; ARYA Employee Stock Purchase Plan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92"/>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5.21FIRPTA Certificates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5.22Employee Benefits Matters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5.23Bylaws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6 CONDITIONS TO CONSUMMATION OF THE TRANSACTIONS CONTEMPLATED BY THIS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91</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Conditions to the Obligations of the Parties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Conditions to the Obligations of the ARYA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6.3</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Conditions to the Obligations of the Company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6.4</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Frustration of Closing Conditions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7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Termination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of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8 MISCELLANEOUS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Non-Survival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Entire Agreement; Assignment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8.3 Amendment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8.4</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8.5</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Governing Law</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8.6</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Fees and 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8.7</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Construction; Interpretation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8.8</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Exhibits and Schedules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8.9</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Parties in Interest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8.10Severability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8.11Counterparts; Electronic Signatures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8.12Knowledge of Company; Knowledge of ARYA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8.13No Recourse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8.14Extension;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8.15Waiver of Jury Trial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8.16Submission to Jurisdiction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8.17Remedies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92"/>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8.18Trust Account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A-1</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Company PIPE Investors</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A-2</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Third Party PIPE Investors</w:t>
            </w:r>
          </w:p>
        </w:tc>
      </w:tr>
      <w:tr>
        <w:trPr>
          <w:trHeight w:val="192"/>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B</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Supporting Company Shareholders</w:t>
            </w:r>
          </w:p>
        </w:tc>
      </w:tr>
      <w:tr>
        <w:trPr>
          <w:trHeight w:val="363"/>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A-1</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Perceptive PIPE Subscription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A-2</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Company and Third Party PIPE Subscription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B</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Investor Rights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C</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Transaction Support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D</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Letter of Transmittal</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E</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ARYA Certificate of Incorporation</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F</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ARYA Bylaws</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G</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Company Shareholder Written Consent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H</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Incentive Equity Plan</w:t>
            </w:r>
          </w:p>
        </w:tc>
      </w:tr>
      <w:tr>
        <w:trPr>
          <w:trHeight w:val="192"/>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I</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Employee Stock Purchase Plan</w:t>
            </w:r>
          </w:p>
        </w:tc>
      </w:tr>
      <w:tr>
        <w:trPr>
          <w:trHeight w:val="147"/>
        </w:trPr>
        <w:tc>
          <w:tcPr>
            <w:tcW w:w="900" w:type="dxa"/>
            <w:vAlign w:val="bottom"/>
            <w:tcBorders>
              <w:bottom w:val="single" w:sz="8" w:color="auto"/>
            </w:tcBorders>
          </w:tcPr>
          <w:p>
            <w:pPr>
              <w:spacing w:after="0"/>
              <w:rPr>
                <w:sz w:val="12"/>
                <w:szCs w:val="12"/>
                <w:color w:val="auto"/>
              </w:rPr>
            </w:pPr>
          </w:p>
        </w:tc>
        <w:tc>
          <w:tcPr>
            <w:tcW w:w="10380" w:type="dxa"/>
            <w:vAlign w:val="bottom"/>
            <w:tcBorders>
              <w:bottom w:val="single" w:sz="8" w:color="auto"/>
            </w:tcBorders>
          </w:tcPr>
          <w:p>
            <w:pPr>
              <w:spacing w:after="0"/>
              <w:rPr>
                <w:sz w:val="12"/>
                <w:szCs w:val="12"/>
                <w:color w:val="auto"/>
              </w:rPr>
            </w:pPr>
          </w:p>
        </w:tc>
      </w:tr>
    </w:tbl>
    <w:p>
      <w:pPr>
        <w:sectPr>
          <w:pgSz w:w="11900" w:h="16838" w:orient="portrait"/>
          <w:cols w:equalWidth="0" w:num="1">
            <w:col w:w="11280"/>
          </w:cols>
          <w:pgMar w:left="300" w:top="11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6"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7, 2021, is made by and among ARYA Sciences Acquisition Corp III, an exempted company incorporated in the Cayman Islands with limited liability,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ARYA, Merger Sub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spacing w:after="0" w:line="167"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WHEREAS, as of the date of this Agreement, ARYA Sciences Holdings III, an exempted company incorporated in the Cayman Islands with limited liability (the “</w:t>
      </w:r>
      <w:r>
        <w:rPr>
          <w:rFonts w:ascii="Times New Roman" w:cs="Times New Roman" w:eastAsia="Times New Roman" w:hAnsi="Times New Roman"/>
          <w:sz w:val="18"/>
          <w:szCs w:val="18"/>
          <w:u w:val="single" w:color="auto"/>
          <w:color w:val="auto"/>
        </w:rPr>
        <w:t>ARYA Sponsor</w:t>
      </w:r>
      <w:r>
        <w:rPr>
          <w:rFonts w:ascii="Times New Roman" w:cs="Times New Roman" w:eastAsia="Times New Roman" w:hAnsi="Times New Roman"/>
          <w:sz w:val="18"/>
          <w:szCs w:val="18"/>
          <w:color w:val="auto"/>
        </w:rPr>
        <w:t>”), and the Other Class B Shareholders collectively own 3,737,500 ARYA Class B Shares;</w:t>
      </w:r>
    </w:p>
    <w:p>
      <w:pPr>
        <w:spacing w:after="0" w:line="151"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ARYA Sponsor, the Other Class B Shareholders, ARYA and the Company are entering into the sponsor letter agreement (the “</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w:t>
      </w:r>
    </w:p>
    <w:p>
      <w:pPr>
        <w:spacing w:after="0" w:line="17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Part XII of the Cayman Islands Companies Act (2020 Revision), on the terms and subject to the conditions set forth in this Agreement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 w:name="page15"/>
    <w:bookmarkEnd w:id="14"/>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WHEREAS, concurrently with the execution of this Agreement, each of Perceptive Life Sciences Master Fund Ltd., an exempted company incorporated in the Cayman Islands with limited liability (the “</w:t>
      </w:r>
      <w:r>
        <w:rPr>
          <w:rFonts w:ascii="Times New Roman" w:cs="Times New Roman" w:eastAsia="Times New Roman" w:hAnsi="Times New Roman"/>
          <w:sz w:val="18"/>
          <w:szCs w:val="18"/>
          <w:u w:val="single" w:color="auto"/>
          <w:color w:val="auto"/>
        </w:rPr>
        <w:t>Perceptive PIPE Investor</w:t>
      </w:r>
      <w:r>
        <w:rPr>
          <w:rFonts w:ascii="Times New Roman" w:cs="Times New Roman" w:eastAsia="Times New Roman" w:hAnsi="Times New Roman"/>
          <w:sz w:val="18"/>
          <w:szCs w:val="18"/>
          <w:color w:val="auto"/>
        </w:rPr>
        <w:t xml:space="preserve">”), the investors set forth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Company 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xml:space="preserve">”) and the investors set forth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Third Party PIPE Investors</w:t>
      </w:r>
      <w:r>
        <w:rPr>
          <w:rFonts w:ascii="Times New Roman" w:cs="Times New Roman" w:eastAsia="Times New Roman" w:hAnsi="Times New Roman"/>
          <w:sz w:val="18"/>
          <w:szCs w:val="18"/>
          <w:color w:val="auto"/>
        </w:rPr>
        <w:t>”, and collectively with the Perceptive PIPE Investor and the Company PIPE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xml:space="preserve">”) are entering into a subscription agreement, substantially in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in the case of the Perceptive PIPE Investor,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in the case of the Company PIPE Investors and the Third Party PIPE Investors (each, as amended, restated or otherwise modified from time to time in accordance with its terms,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 price under all PIPE Subscription Agreements, collectively, the “</w:t>
      </w:r>
      <w:r>
        <w:rPr>
          <w:rFonts w:ascii="Times New Roman" w:cs="Times New Roman" w:eastAsia="Times New Roman" w:hAnsi="Times New Roman"/>
          <w:sz w:val="18"/>
          <w:szCs w:val="18"/>
          <w:u w:val="single" w:color="auto"/>
          <w:color w:val="auto"/>
        </w:rPr>
        <w:t>PIPE Financing Amount</w:t>
      </w:r>
      <w:r>
        <w:rPr>
          <w:rFonts w:ascii="Times New Roman" w:cs="Times New Roman" w:eastAsia="Times New Roman" w:hAnsi="Times New Roman"/>
          <w:sz w:val="18"/>
          <w:szCs w:val="18"/>
          <w:color w:val="auto"/>
        </w:rPr>
        <w:t>”, and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therein;</w:t>
      </w:r>
    </w:p>
    <w:p>
      <w:pPr>
        <w:spacing w:after="0" w:line="169"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spacing w:after="0" w:line="17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the board of directors of ARYA (the “</w:t>
      </w:r>
      <w:r>
        <w:rPr>
          <w:rFonts w:ascii="Times New Roman" w:cs="Times New Roman" w:eastAsia="Times New Roman" w:hAnsi="Times New Roman"/>
          <w:sz w:val="18"/>
          <w:szCs w:val="18"/>
          <w:u w:val="single" w:color="auto"/>
          <w:color w:val="auto"/>
        </w:rPr>
        <w:t>ARYA Board</w:t>
      </w:r>
      <w:r>
        <w:rPr>
          <w:rFonts w:ascii="Times New Roman" w:cs="Times New Roman" w:eastAsia="Times New Roman" w:hAnsi="Times New Roman"/>
          <w:sz w:val="18"/>
          <w:szCs w:val="18"/>
          <w:color w:val="auto"/>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spacing w:after="0" w:line="16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 xml:space="preserve">WHEREAS, as promptly as reasonably practicable (and in any event within 24 hours) following the execution of this Agreement, each Company Shareholder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Supporting Company Shareholders</w:t>
      </w:r>
      <w:r>
        <w:rPr>
          <w:rFonts w:ascii="Times New Roman" w:cs="Times New Roman" w:eastAsia="Times New Roman" w:hAnsi="Times New Roman"/>
          <w:sz w:val="18"/>
          <w:szCs w:val="18"/>
          <w:color w:val="auto"/>
        </w:rPr>
        <w:t xml:space="preserve">”) will duly execute and deliver to ARYA a transaction support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spacing w:after="0" w:line="170"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010000"/>
        </w:rPr>
        <w:t>Section 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As used in this Agreement, the following terms have the respective meanings set forth below.</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ARYA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Equity Value</w:t>
      </w:r>
      <w:r>
        <w:rPr>
          <w:rFonts w:ascii="Times New Roman" w:cs="Times New Roman" w:eastAsia="Times New Roman" w:hAnsi="Times New Roman"/>
          <w:sz w:val="18"/>
          <w:szCs w:val="18"/>
          <w:color w:val="auto"/>
        </w:rPr>
        <w:t xml:space="preserve">” means (a) the Equity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Company Option Exercise Price.</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Transaction Share Consideration</w:t>
      </w:r>
      <w:r>
        <w:rPr>
          <w:rFonts w:ascii="Times New Roman" w:cs="Times New Roman" w:eastAsia="Times New Roman" w:hAnsi="Times New Roman"/>
          <w:sz w:val="18"/>
          <w:szCs w:val="18"/>
          <w:color w:val="auto"/>
        </w:rPr>
        <w:t xml:space="preserve">” means an aggregate number of ARYA Shares equal to (a) the Adjusted Equity Value,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(b) the ARYA Share Value.</w:t>
      </w:r>
    </w:p>
    <w:p>
      <w:pPr>
        <w:spacing w:after="0" w:line="151"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 w:name="page17"/>
    <w:bookmarkEnd w:id="16"/>
    <w:p>
      <w:pPr>
        <w:jc w:val="both"/>
        <w:ind w:firstLine="53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Closing PIPE Proceeds</w:t>
      </w:r>
      <w:r>
        <w:rPr>
          <w:rFonts w:ascii="Times New Roman" w:cs="Times New Roman" w:eastAsia="Times New Roman" w:hAnsi="Times New Roman"/>
          <w:sz w:val="17"/>
          <w:szCs w:val="17"/>
          <w:color w:val="auto"/>
        </w:rPr>
        <w:t>” 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spacing w:after="0" w:line="154" w:lineRule="exact"/>
        <w:rPr>
          <w:sz w:val="20"/>
          <w:szCs w:val="20"/>
          <w:color w:val="auto"/>
        </w:rPr>
      </w:pPr>
    </w:p>
    <w:p>
      <w:pPr>
        <w:jc w:val="both"/>
        <w:ind w:firstLine="532"/>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Company Option Exercise Price</w:t>
      </w:r>
      <w:r>
        <w:rPr>
          <w:rFonts w:ascii="Times New Roman" w:cs="Times New Roman" w:eastAsia="Times New Roman" w:hAnsi="Times New Roman"/>
          <w:sz w:val="17"/>
          <w:szCs w:val="17"/>
          <w:color w:val="auto"/>
        </w:rPr>
        <w:t>” means the aggregate exercise price that would be paid to the Company in respect of all Company Options if all Company Options were exercised in full immediately prior to the Effective Time (without giving effect to any “net” exercise or similar concept).</w:t>
      </w:r>
    </w:p>
    <w:p>
      <w:pPr>
        <w:spacing w:after="0" w:line="127"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reduced by any distribution of any such other amounts) (collectively, the “</w:t>
      </w:r>
      <w:r>
        <w:rPr>
          <w:rFonts w:ascii="Times New Roman" w:cs="Times New Roman" w:eastAsia="Times New Roman" w:hAnsi="Times New Roman"/>
          <w:sz w:val="18"/>
          <w:szCs w:val="18"/>
          <w:u w:val="single" w:color="auto"/>
          <w:color w:val="auto"/>
        </w:rPr>
        <w:t>Trust Satisfied Obligations</w:t>
      </w:r>
      <w:r>
        <w:rPr>
          <w:rFonts w:ascii="Times New Roman" w:cs="Times New Roman" w:eastAsia="Times New Roman" w:hAnsi="Times New Roman"/>
          <w:sz w:val="18"/>
          <w:szCs w:val="18"/>
          <w:color w:val="auto"/>
        </w:rPr>
        <w:t xml:space="preserve">”)) and (ii) the Aggregate Closing PIPE Proceeds,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Unpaid ARYA Expenses and the Unpaid ARYA Liabilities.</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Merger Structure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spacing w:after="0" w:line="16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5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 w:name="page18"/>
    <w:bookmarkEnd w:id="17"/>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Acquisition Proposal</w:t>
      </w:r>
      <w:r>
        <w:rPr>
          <w:rFonts w:ascii="Times New Roman" w:cs="Times New Roman" w:eastAsia="Times New Roman" w:hAnsi="Times New Roman"/>
          <w:sz w:val="18"/>
          <w:szCs w:val="18"/>
          <w:color w:val="auto"/>
        </w:rPr>
        <w:t>” 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Affiliated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Affiliated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Board</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Bylaws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Certificate of Incorporation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Change in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Change of Control Payment</w:t>
      </w:r>
      <w:r>
        <w:rPr>
          <w:rFonts w:ascii="Times New Roman" w:cs="Times New Roman" w:eastAsia="Times New Roman" w:hAnsi="Times New Roman"/>
          <w:sz w:val="18"/>
          <w:szCs w:val="18"/>
          <w:color w:val="auto"/>
        </w:rPr>
        <w:t xml:space="preserve">” 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“ARYA Change of Control Payment” shall not include any ARYA Expenses, or, for the avoidance of doubt, any Liabilities that become payable on the basis any ARYA Party has breached, defaulted or failed to comply with or perform any obligations or covenants under a Contract.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Class A Shares</w:t>
      </w:r>
      <w:r>
        <w:rPr>
          <w:rFonts w:ascii="Times New Roman" w:cs="Times New Roman" w:eastAsia="Times New Roman" w:hAnsi="Times New Roman"/>
          <w:sz w:val="18"/>
          <w:szCs w:val="18"/>
          <w:color w:val="auto"/>
        </w:rPr>
        <w:t>” means, prior to the Domestication, ARYA’s Class A ordinary shares.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Class B Shares</w:t>
      </w:r>
      <w:r>
        <w:rPr>
          <w:rFonts w:ascii="Times New Roman" w:cs="Times New Roman" w:eastAsia="Times New Roman" w:hAnsi="Times New Roman"/>
          <w:sz w:val="18"/>
          <w:szCs w:val="18"/>
          <w:color w:val="auto"/>
        </w:rPr>
        <w:t>” means, prior to the Domestication, ARYA’s Class B ordinary shares.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Disclosure Schedules</w:t>
      </w:r>
      <w:r>
        <w:rPr>
          <w:rFonts w:ascii="Times New Roman" w:cs="Times New Roman" w:eastAsia="Times New Roman" w:hAnsi="Times New Roman"/>
          <w:sz w:val="18"/>
          <w:szCs w:val="18"/>
          <w:color w:val="auto"/>
        </w:rPr>
        <w:t>” means the disclosure schedules to this Agreement delivered to the Company by ARYA on the date of this Agreement in connection with the execution of this Agreement.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Employee Stock Purchase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Excluded Cash</w:t>
      </w:r>
      <w:r>
        <w:rPr>
          <w:rFonts w:ascii="Times New Roman" w:cs="Times New Roman" w:eastAsia="Times New Roman" w:hAnsi="Times New Roman"/>
          <w:sz w:val="18"/>
          <w:szCs w:val="18"/>
          <w:color w:val="auto"/>
        </w:rPr>
        <w:t>” 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spacing w:after="0" w:line="167"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ARYA Expenses</w:t>
      </w:r>
      <w:r>
        <w:rPr>
          <w:rFonts w:ascii="Times New Roman" w:cs="Times New Roman" w:eastAsia="Times New Roman" w:hAnsi="Times New Roman"/>
          <w:sz w:val="17"/>
          <w:szCs w:val="17"/>
          <w:color w:val="auto"/>
        </w:rPr>
        <w:t>” 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w:t>
      </w:r>
    </w:p>
    <w:p>
      <w:pPr>
        <w:spacing w:after="0" w:line="1" w:lineRule="exact"/>
        <w:rPr>
          <w:sz w:val="20"/>
          <w:szCs w:val="20"/>
          <w:color w:val="auto"/>
        </w:rPr>
      </w:pPr>
    </w:p>
    <w:p>
      <w:pPr>
        <w:jc w:val="both"/>
        <w:ind w:firstLine="9"/>
        <w:spacing w:after="0" w:line="233" w:lineRule="auto"/>
        <w:tabs>
          <w:tab w:leader="none" w:pos="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Financial Statements</w:t>
      </w:r>
      <w:r>
        <w:rPr>
          <w:rFonts w:ascii="Times New Roman" w:cs="Times New Roman" w:eastAsia="Times New Roman" w:hAnsi="Times New Roman"/>
          <w:sz w:val="18"/>
          <w:szCs w:val="18"/>
          <w:color w:val="auto"/>
        </w:rPr>
        <w:t>” means all of the financial statements of ARYA included in the ARYA SEC Reports.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(Capitalization of the ARYA Parties),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4.19(h)</w:t>
      </w:r>
      <w:r>
        <w:rPr>
          <w:rFonts w:ascii="Times New Roman" w:cs="Times New Roman" w:eastAsia="Times New Roman" w:hAnsi="Times New Roman"/>
          <w:sz w:val="18"/>
          <w:szCs w:val="18"/>
          <w:color w:val="auto"/>
        </w:rPr>
        <w:t xml:space="preserve"> (Tax Matters)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(Change of Control Payments).</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Liabilities</w:t>
      </w:r>
      <w:r>
        <w:rPr>
          <w:rFonts w:ascii="Times New Roman" w:cs="Times New Roman" w:eastAsia="Times New Roman" w:hAnsi="Times New Roman"/>
          <w:sz w:val="18"/>
          <w:szCs w:val="18"/>
          <w:color w:val="auto"/>
        </w:rPr>
        <w:t xml:space="preserve">” 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w:t>
      </w:r>
    </w:p>
    <w:p>
      <w:pPr>
        <w:spacing w:after="0" w:line="173" w:lineRule="exact"/>
        <w:rPr>
          <w:sz w:val="20"/>
          <w:szCs w:val="20"/>
          <w:color w:val="auto"/>
        </w:rPr>
      </w:pPr>
    </w:p>
    <w:p>
      <w:pPr>
        <w:jc w:val="both"/>
        <w:ind w:firstLine="532"/>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change, event,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Parties</w:t>
      </w:r>
      <w:r>
        <w:rPr>
          <w:rFonts w:ascii="Times New Roman" w:cs="Times New Roman" w:eastAsia="Times New Roman" w:hAnsi="Times New Roman"/>
          <w:sz w:val="18"/>
          <w:szCs w:val="18"/>
          <w:color w:val="auto"/>
        </w:rPr>
        <w:t>” means, collectively, ARYA and Merger Sub.</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 Value</w:t>
      </w:r>
      <w:r>
        <w:rPr>
          <w:rFonts w:ascii="Times New Roman" w:cs="Times New Roman" w:eastAsia="Times New Roman" w:hAnsi="Times New Roman"/>
          <w:sz w:val="18"/>
          <w:szCs w:val="18"/>
          <w:color w:val="auto"/>
        </w:rPr>
        <w:t>” means $10.00.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 Approval</w:t>
      </w:r>
      <w:r>
        <w:rPr>
          <w:rFonts w:ascii="Times New Roman" w:cs="Times New Roman" w:eastAsia="Times New Roman" w:hAnsi="Times New Roman"/>
          <w:sz w:val="18"/>
          <w:szCs w:val="18"/>
          <w:color w:val="auto"/>
        </w:rPr>
        <w:t>” means, collectively, the Required ARYA Shareholder Approval and the Other ARYA Shareholder Approval.</w:t>
      </w:r>
    </w:p>
    <w:p>
      <w:pPr>
        <w:spacing w:after="0" w:line="192" w:lineRule="exact"/>
        <w:rPr>
          <w:sz w:val="20"/>
          <w:szCs w:val="20"/>
          <w:color w:val="auto"/>
        </w:rPr>
      </w:pPr>
    </w:p>
    <w:p>
      <w:pPr>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 Redemption</w:t>
      </w:r>
      <w:r>
        <w:rPr>
          <w:rFonts w:ascii="Times New Roman" w:cs="Times New Roman" w:eastAsia="Times New Roman" w:hAnsi="Times New Roman"/>
          <w:sz w:val="18"/>
          <w:szCs w:val="18"/>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ARYA Shares</w:t>
      </w:r>
      <w:r>
        <w:rPr>
          <w:rFonts w:ascii="Times New Roman" w:cs="Times New Roman" w:eastAsia="Times New Roman" w:hAnsi="Times New Roman"/>
          <w:sz w:val="17"/>
          <w:szCs w:val="17"/>
          <w:color w:val="auto"/>
        </w:rPr>
        <w:t>” means (a) prior to the consummation of the Domestication, collectively, the ARYA Class A Shares and the ARYA Class B Shares and</w:t>
      </w:r>
    </w:p>
    <w:p>
      <w:pPr>
        <w:spacing w:after="0" w:line="24" w:lineRule="exact"/>
        <w:rPr>
          <w:sz w:val="20"/>
          <w:szCs w:val="20"/>
          <w:color w:val="auto"/>
        </w:rPr>
      </w:pPr>
    </w:p>
    <w:p>
      <w:pPr>
        <w:jc w:val="both"/>
        <w:ind w:firstLine="9"/>
        <w:spacing w:after="0" w:line="23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Domestication, shares of common stock, par value $0.0001 per share, of ARYA as contemplated pursuant to the ARYA Certificate of Incorporation. Any reference to the ARYA Shares in this Agreement or any Ancillary Document shall be deemed to refer to clause (a) and/or clause (b) of this definition, as the context so requires.</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Sponsor</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New York and San Francisco, California are open for the general transaction of business.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labor organization, or works council.</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Proposal</w:t>
      </w:r>
      <w:r>
        <w:rPr>
          <w:rFonts w:ascii="Times New Roman" w:cs="Times New Roman" w:eastAsia="Times New Roman" w:hAnsi="Times New Roman"/>
          <w:sz w:val="17"/>
          <w:szCs w:val="17"/>
          <w:color w:val="auto"/>
        </w:rPr>
        <w:t>” means (a) any direct or indirect acquisition (or other business combination), in one or a series of related transactions,</w:t>
      </w:r>
    </w:p>
    <w:p>
      <w:pPr>
        <w:spacing w:after="0" w:line="24" w:lineRule="exact"/>
        <w:rPr>
          <w:sz w:val="20"/>
          <w:szCs w:val="20"/>
          <w:color w:val="auto"/>
        </w:rPr>
      </w:pPr>
    </w:p>
    <w:p>
      <w:pPr>
        <w:jc w:val="both"/>
        <w:ind w:firstLine="9"/>
        <w:spacing w:after="0" w:line="232" w:lineRule="auto"/>
        <w:tabs>
          <w:tab w:leader="none" w:pos="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Affiliated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Affiliated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Amended and Restated Certificate of Incorporation of the Company.</w:t>
      </w:r>
    </w:p>
    <w:p>
      <w:pPr>
        <w:spacing w:after="0" w:line="192"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Change of Control Payment</w:t>
      </w:r>
      <w:r>
        <w:rPr>
          <w:rFonts w:ascii="Times New Roman" w:cs="Times New Roman" w:eastAsia="Times New Roman" w:hAnsi="Times New Roman"/>
          <w:sz w:val="18"/>
          <w:szCs w:val="18"/>
          <w:color w:val="auto"/>
        </w:rPr>
        <w:t xml:space="preserve">” 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spacing w:after="0" w:line="17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means shares of common stock, par value $0.0001 per share, of the Company designated as “Common Stock” pursuant to the Company Certificate of Incorporation.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ARYA by the Company on the date of this Agreement.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 w:name="page24"/>
    <w:bookmarkEnd w:id="23"/>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16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Equityholders</w:t>
      </w:r>
      <w:r>
        <w:rPr>
          <w:rFonts w:ascii="Times New Roman" w:cs="Times New Roman" w:eastAsia="Times New Roman" w:hAnsi="Times New Roman"/>
          <w:sz w:val="18"/>
          <w:szCs w:val="18"/>
          <w:color w:val="auto"/>
        </w:rPr>
        <w:t>” means, collectively, the Company Shareholders and the holders of Company Equity Awards as of any determination time prior to the Effective Time.</w:t>
      </w:r>
    </w:p>
    <w:p>
      <w:pPr>
        <w:spacing w:after="0" w:line="151"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Expenses</w:t>
      </w:r>
      <w:r>
        <w:rPr>
          <w:rFonts w:ascii="Times New Roman" w:cs="Times New Roman" w:eastAsia="Times New Roman" w:hAnsi="Times New Roman"/>
          <w:sz w:val="17"/>
          <w:szCs w:val="17"/>
          <w:color w:val="auto"/>
        </w:rPr>
        <w:t xml:space="preserve">”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spacing w:after="0" w:line="164"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3.8(b)(iii)</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3.16(n)</w:t>
      </w:r>
      <w:r>
        <w:rPr>
          <w:rFonts w:ascii="Times New Roman" w:cs="Times New Roman" w:eastAsia="Times New Roman" w:hAnsi="Times New Roman"/>
          <w:sz w:val="18"/>
          <w:szCs w:val="18"/>
          <w:color w:val="auto"/>
        </w:rPr>
        <w:t xml:space="preserve"> (Tax Matters) and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communication systems, servers, network equipment and related documentation, including any outsourced systems and processes, in each case, relied on, owned, licensed or leased by a Group Company.</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any Group Company.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 w:name="page25"/>
    <w:bookmarkEnd w:id="24"/>
    <w:p>
      <w:pPr>
        <w:jc w:val="both"/>
        <w:ind w:firstLine="532"/>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change, event,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188"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as of any determination time, each option to purchase Company Common Shares that is outstanding and unexercised, whether granted under a Company Equity Plan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or purported to be owned by the Group Companies.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PIPE Investors</w:t>
      </w:r>
      <w:r>
        <w:rPr>
          <w:rFonts w:ascii="Times New Roman" w:cs="Times New Roman" w:eastAsia="Times New Roman" w:hAnsi="Times New Roman"/>
          <w:sz w:val="18"/>
          <w:szCs w:val="18"/>
          <w:color w:val="auto"/>
        </w:rPr>
        <w:t>” has the meaning set forth in the recitals to this Agreement.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 w:name="page26"/>
    <w:bookmarkEnd w:id="25"/>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Shares</w:t>
      </w:r>
      <w:r>
        <w:rPr>
          <w:rFonts w:ascii="Times New Roman" w:cs="Times New Roman" w:eastAsia="Times New Roman" w:hAnsi="Times New Roman"/>
          <w:sz w:val="18"/>
          <w:szCs w:val="18"/>
          <w:color w:val="auto"/>
        </w:rPr>
        <w:t>” means, collectively, the Company Series A Preferred Shares, the Company Series B Preferred Shares and the Company Series Seed Preferred Shares.</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each platform or product candidate that is being researched, tested, developed or manufactured by or on behalf of the Group Companies.</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Registered Intellectual Property owned or purported to be owned by or filed by or in the name of any Group Company that has not been cancelled, expired, lapsed, or been abandoned.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Shareholder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Shares</w:t>
      </w:r>
      <w:r>
        <w:rPr>
          <w:rFonts w:ascii="Times New Roman" w:cs="Times New Roman" w:eastAsia="Times New Roman" w:hAnsi="Times New Roman"/>
          <w:sz w:val="18"/>
          <w:szCs w:val="18"/>
          <w:color w:val="auto"/>
        </w:rPr>
        <w:t>” means shares of preferred stock, par value $0.0001 per share, of the Company designated as “Series A Preferred Stock” pursuant to the Company Certificate of Incorporation.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Shares</w:t>
      </w:r>
      <w:r>
        <w:rPr>
          <w:rFonts w:ascii="Times New Roman" w:cs="Times New Roman" w:eastAsia="Times New Roman" w:hAnsi="Times New Roman"/>
          <w:sz w:val="18"/>
          <w:szCs w:val="18"/>
          <w:color w:val="auto"/>
        </w:rPr>
        <w:t>” means shares of preferred stock, par value $0.0001 per share, of the Company designated as “Series B Preferred Stock” pursuant to the Company Certificate of Incorporation.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Seed Preferred Shares</w:t>
      </w:r>
      <w:r>
        <w:rPr>
          <w:rFonts w:ascii="Times New Roman" w:cs="Times New Roman" w:eastAsia="Times New Roman" w:hAnsi="Times New Roman"/>
          <w:sz w:val="18"/>
          <w:szCs w:val="18"/>
          <w:color w:val="auto"/>
        </w:rPr>
        <w:t>” means shares of preferred stock, par value $0.0001 per share, of the Company designated as “Series Seed Preferred Stock” pursuant to the Company Certificate of Incorporation.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 xml:space="preserve">” has the meaning set sort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 Deadline</w:t>
      </w:r>
      <w:r>
        <w:rPr>
          <w:rFonts w:ascii="Times New Roman" w:cs="Times New Roman" w:eastAsia="Times New Roman" w:hAnsi="Times New Roman"/>
          <w:sz w:val="18"/>
          <w:szCs w:val="18"/>
          <w:color w:val="auto"/>
        </w:rPr>
        <w:t xml:space="preserve">” has the meaning set sort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xml:space="preserve">” 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 Agreement</w:t>
      </w:r>
      <w:r>
        <w:rPr>
          <w:rFonts w:ascii="Times New Roman" w:cs="Times New Roman" w:eastAsia="Times New Roman" w:hAnsi="Times New Roman"/>
          <w:sz w:val="18"/>
          <w:szCs w:val="18"/>
          <w:color w:val="auto"/>
        </w:rPr>
        <w:t>” 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Preferred Shares, the Company Series B Preferred Shares, the Company Series Seed Preferred Shares and the Company Common Shares.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 w:name="page27"/>
    <w:bookmarkEnd w:id="26"/>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as of any determination time, each warrant to purchase Company Common Shares that is outstanding and granted pursuant to the Company Warrant Agreement.</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 Agreement</w:t>
      </w:r>
      <w:r>
        <w:rPr>
          <w:rFonts w:ascii="Times New Roman" w:cs="Times New Roman" w:eastAsia="Times New Roman" w:hAnsi="Times New Roman"/>
          <w:sz w:val="18"/>
          <w:szCs w:val="18"/>
          <w:color w:val="auto"/>
        </w:rPr>
        <w:t>” means the Warrant to Purchase Common Stock, dated as of September 7, 2017, by and between the Company and Silicon Valley Bank.</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means that certain Mutual Confidentiality Agreement, dated as of December 16, 2020, by and between the Company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that is legally binding upon a Person or any of his, her or its properties or assets.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 or disease outbreaks.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xml:space="preserve">” had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Stock Purchase Plan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 (as related to exposure to Hazardous Substances).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 w:name="page28"/>
    <w:bookmarkEnd w:id="27"/>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Value</w:t>
      </w:r>
      <w:r>
        <w:rPr>
          <w:rFonts w:ascii="Times New Roman" w:cs="Times New Roman" w:eastAsia="Times New Roman" w:hAnsi="Times New Roman"/>
          <w:sz w:val="18"/>
          <w:szCs w:val="18"/>
          <w:color w:val="auto"/>
        </w:rPr>
        <w:t>” means $900,000,000.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the quotient obtained by dividing (a) the Adjusted Transaction Share Consideration, by (b) the number of Fully-Diluted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xml:space="preserve">” means each Employee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xml:space="preserve"> maintained by any of the Group Companies for its current or former employees, officers, directors or other individual service providers located outside of the United States.</w:t>
      </w:r>
    </w:p>
    <w:p>
      <w:pPr>
        <w:spacing w:after="0" w:line="151"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73"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Fully-Diluted Shares</w:t>
      </w:r>
      <w:r>
        <w:rPr>
          <w:rFonts w:ascii="Times New Roman" w:cs="Times New Roman" w:eastAsia="Times New Roman" w:hAnsi="Times New Roman"/>
          <w:sz w:val="18"/>
          <w:szCs w:val="18"/>
          <w:color w:val="auto"/>
        </w:rPr>
        <w:t xml:space="preserve">”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number of shares of Company Common Shares issuable upon the full exercise, exchange or conversion of Company Options that are outstanding as of immediately prior to the Effective Time.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U.S. corporation are its certificate or articles of incorporation and by-laws,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of a U.S. limited partnership are its limited partnership agreement and certificate of limited partnership,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Company and its Subsidiaries.</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thereunder.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Equity Plan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 Company Option intended to be an “incentive stock option” (as defined in Section 422 of the Code).</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 w:name="page30"/>
    <w:bookmarkEnd w:id="29"/>
    <w:p>
      <w:pPr>
        <w:jc w:val="both"/>
        <w:ind w:firstLine="532"/>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Times New Roman" w:cs="Times New Roman" w:eastAsia="Times New Roman" w:hAnsi="Times New Roman"/>
          <w:sz w:val="17"/>
          <w:szCs w:val="17"/>
          <w:u w:val="single" w:color="auto"/>
          <w:color w:val="auto"/>
        </w:rPr>
        <w:t>Marks</w:t>
      </w:r>
      <w:r>
        <w:rPr>
          <w:rFonts w:ascii="Times New Roman" w:cs="Times New Roman" w:eastAsia="Times New Roman" w:hAnsi="Times New Roman"/>
          <w:sz w:val="17"/>
          <w:szCs w:val="17"/>
          <w:color w:val="auto"/>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ARYA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means the letter of transmittal, substantially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0" w:name="page31"/>
    <w:bookmarkEnd w:id="30"/>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16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has the meaning set forth in Section (3)37 or Section 4001(a)(3) of ERISA.</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settlement, decision, determination, award, ruling, subpoena, verdict or decree entered, issued or rendered by any Governmental Entity.</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ARYA Shareholder Approval</w:t>
      </w:r>
      <w:r>
        <w:rPr>
          <w:rFonts w:ascii="Times New Roman" w:cs="Times New Roman" w:eastAsia="Times New Roman" w:hAnsi="Times New Roman"/>
          <w:sz w:val="18"/>
          <w:szCs w:val="18"/>
          <w:color w:val="auto"/>
        </w:rPr>
        <w:t>”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1" w:name="page32"/>
    <w:bookmarkEnd w:id="31"/>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Class B Shareholders</w:t>
      </w:r>
      <w:r>
        <w:rPr>
          <w:rFonts w:ascii="Times New Roman" w:cs="Times New Roman" w:eastAsia="Times New Roman" w:hAnsi="Times New Roman"/>
          <w:sz w:val="18"/>
          <w:szCs w:val="18"/>
          <w:color w:val="auto"/>
        </w:rPr>
        <w:t>” means, collectively, Bradley Campbell, Saqib Islam and Todd Wider.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Governing Document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Transaction Proposal</w:t>
      </w:r>
      <w:r>
        <w:rPr>
          <w:rFonts w:ascii="Times New Roman" w:cs="Times New Roman" w:eastAsia="Times New Roman" w:hAnsi="Times New Roman"/>
          <w:sz w:val="18"/>
          <w:szCs w:val="18"/>
          <w:color w:val="auto"/>
        </w:rPr>
        <w:t>” means each Transaction Proposal, other than the Required Transaction Proposals.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w:t>
      </w:r>
      <w:r>
        <w:rPr>
          <w:rFonts w:ascii="Times New Roman" w:cs="Times New Roman" w:eastAsia="Times New Roman" w:hAnsi="Times New Roman"/>
          <w:sz w:val="18"/>
          <w:szCs w:val="18"/>
          <w:color w:val="auto"/>
        </w:rPr>
        <w:t>” means Perceptive Advisors, LLC, a Delaware limited liability company.</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 PIPE Investor</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 Shareholders</w:t>
      </w:r>
      <w:r>
        <w:rPr>
          <w:rFonts w:ascii="Times New Roman" w:cs="Times New Roman" w:eastAsia="Times New Roman" w:hAnsi="Times New Roman"/>
          <w:sz w:val="18"/>
          <w:szCs w:val="18"/>
          <w:color w:val="auto"/>
        </w:rPr>
        <w:t>” means, collectively, the ARYA Sponsor and the Perceptive PIPE Investor.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business licenses, registrations, permits or certificates of a Governmental Entity.</w:t>
      </w:r>
    </w:p>
    <w:p>
      <w:pPr>
        <w:spacing w:after="0" w:line="192"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delinquent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 Amount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ARYA Governing Documents</w:t>
      </w:r>
      <w:r>
        <w:rPr>
          <w:rFonts w:ascii="Times New Roman" w:cs="Times New Roman" w:eastAsia="Times New Roman" w:hAnsi="Times New Roman"/>
          <w:sz w:val="18"/>
          <w:szCs w:val="18"/>
          <w:color w:val="auto"/>
        </w:rPr>
        <w:t>” means, collectively, (a) the Amended and Restated Memorandum of Association of ARYA, dated as of August 6, 2020, and (b) the Amended &amp; Restated Articles of Association of ARYA, dated as of August 6, 2020.</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ARYA Shareholders</w:t>
      </w:r>
      <w:r>
        <w:rPr>
          <w:rFonts w:ascii="Times New Roman" w:cs="Times New Roman" w:eastAsia="Times New Roman" w:hAnsi="Times New Roman"/>
          <w:sz w:val="18"/>
          <w:szCs w:val="18"/>
          <w:color w:val="auto"/>
        </w:rPr>
        <w:t>” means the holders of ARYA Shares as of any determination time prior to the Effective Time.</w:t>
      </w:r>
    </w:p>
    <w:p>
      <w:pPr>
        <w:spacing w:after="0" w:line="19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Processes</w:t>
      </w:r>
      <w:r>
        <w:rPr>
          <w:rFonts w:ascii="Times New Roman" w:cs="Times New Roman" w:eastAsia="Times New Roman" w:hAnsi="Times New Roman"/>
          <w:sz w:val="18"/>
          <w:szCs w:val="18"/>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Laws</w:t>
      </w:r>
      <w:r>
        <w:rPr>
          <w:rFonts w:ascii="Times New Roman" w:cs="Times New Roman" w:eastAsia="Times New Roman" w:hAnsi="Times New Roman"/>
          <w:sz w:val="18"/>
          <w:szCs w:val="18"/>
          <w:color w:val="auto"/>
        </w:rPr>
        <w:t xml:space="preserve">”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similar federal, state or foreign Laws.</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 Proxy Statement</w:t>
      </w:r>
      <w:r>
        <w:rPr>
          <w:rFonts w:ascii="Times New Roman" w:cs="Times New Roman" w:eastAsia="Times New Roman" w:hAnsi="Times New Roman"/>
          <w:sz w:val="18"/>
          <w:szCs w:val="18"/>
          <w:color w:val="auto"/>
        </w:rPr>
        <w:t>” means a registration statement on Form S-4 relating to the transactions contemplated by this Agreement and the Ancillary Documents and containing a prospectus and proxy statement of ARYA.</w:t>
      </w:r>
    </w:p>
    <w:p>
      <w:pPr>
        <w:spacing w:after="0" w:line="15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51"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ARYA Shareholder Approval</w:t>
      </w:r>
      <w:r>
        <w:rPr>
          <w:rFonts w:ascii="Times New Roman" w:cs="Times New Roman" w:eastAsia="Times New Roman" w:hAnsi="Times New Roman"/>
          <w:sz w:val="18"/>
          <w:szCs w:val="18"/>
          <w:color w:val="auto"/>
        </w:rPr>
        <w:t>” 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Transaction Proposals</w:t>
      </w:r>
      <w:r>
        <w:rPr>
          <w:rFonts w:ascii="Times New Roman" w:cs="Times New Roman" w:eastAsia="Times New Roman" w:hAnsi="Times New Roman"/>
          <w:sz w:val="18"/>
          <w:szCs w:val="18"/>
          <w:color w:val="auto"/>
        </w:rPr>
        <w:t>” means, collectively, the Business Combination Proposal, the Domestication Proposal, the Nasdaq Proposal, the Required Governing Document Proposal, the Incentive Equity Plan Proposal and the Employee Stock Purchase Plan Proposal.</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Governing Document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and Export Control Laws</w:t>
      </w:r>
      <w:r>
        <w:rPr>
          <w:rFonts w:ascii="Times New Roman" w:cs="Times New Roman" w:eastAsia="Times New Roman" w:hAnsi="Times New Roman"/>
          <w:sz w:val="18"/>
          <w:szCs w:val="18"/>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ARYA Disclosure Schedules.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5" w:name="page36"/>
    <w:bookmarkEnd w:id="35"/>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Company Shareholders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or administration of Taxes or Tax Returns.</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information returns, statements, declarations, claims for refund, schedules, attachments and reports relating to Taxes required to be filed with any Governmental Entity, including any amendment of any of the foregoing.</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PIPE Investors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Unpaid ARYA Expenses</w:t>
      </w:r>
      <w:r>
        <w:rPr>
          <w:rFonts w:ascii="Times New Roman" w:cs="Times New Roman" w:eastAsia="Times New Roman" w:hAnsi="Times New Roman"/>
          <w:sz w:val="17"/>
          <w:szCs w:val="17"/>
          <w:color w:val="auto"/>
        </w:rPr>
        <w:t>” means the ARYA Expenses calculated as of immediately prior to the Closing, in each case, to the extent unpaid as of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6" w:name="page37"/>
    <w:bookmarkEnd w:id="36"/>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Unpaid ARYA Liabilities</w:t>
      </w:r>
      <w:r>
        <w:rPr>
          <w:rFonts w:ascii="Times New Roman" w:cs="Times New Roman" w:eastAsia="Times New Roman" w:hAnsi="Times New Roman"/>
          <w:sz w:val="17"/>
          <w:szCs w:val="17"/>
          <w:color w:val="auto"/>
        </w:rPr>
        <w:t>” means the ARYA Liabilities calculated as of immediately prior to the Closing, in each case, to the extent unpaid as of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calculated as of immediately prior to the Closing, in each case, to the extent unpaid as of such time.</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such time or will vest in connection with the consummation of the transactions contemplated hereby (whether at the Effective Time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means the Worker Adjustment Retraining and Notification Act of 1988, as well as similar foreign, state or local Laws.</w:t>
      </w:r>
    </w:p>
    <w:p>
      <w:pPr>
        <w:spacing w:after="0" w:line="192" w:lineRule="exact"/>
        <w:rPr>
          <w:sz w:val="20"/>
          <w:szCs w:val="20"/>
          <w:color w:val="auto"/>
        </w:rPr>
      </w:pPr>
    </w:p>
    <w:p>
      <w:pPr>
        <w:jc w:val="both"/>
        <w:ind w:right="20"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2.1 </w:t>
      </w:r>
      <w:r>
        <w:rPr>
          <w:rFonts w:ascii="Times New Roman" w:cs="Times New Roman" w:eastAsia="Times New Roman" w:hAnsi="Times New Roman"/>
          <w:sz w:val="18"/>
          <w:szCs w:val="18"/>
          <w:b w:val="1"/>
          <w:bCs w:val="1"/>
          <w:u w:val="single" w:color="auto"/>
          <w:color w:val="000000"/>
        </w:rPr>
        <w:t>Closing Transactions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On the terms and subject to the conditions set forth in this Agreement, the following transactions shall occur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the order set forth in this Section 2.1:</w:t>
      </w:r>
    </w:p>
    <w:p>
      <w:pPr>
        <w:spacing w:after="0" w:line="147" w:lineRule="exact"/>
        <w:rPr>
          <w:sz w:val="20"/>
          <w:szCs w:val="20"/>
          <w:color w:val="auto"/>
        </w:rPr>
      </w:pPr>
    </w:p>
    <w:p>
      <w:pPr>
        <w:jc w:val="both"/>
        <w:ind w:firstLine="1074"/>
        <w:spacing w:after="0" w:line="234" w:lineRule="auto"/>
        <w:tabs>
          <w:tab w:leader="none" w:pos="178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xml:space="preserve">.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 (ii) the Governing Documents of ARYA to become the certificate of incorporation,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such changes as may be agreed in writing by ARYA and the Company, the “</w:t>
      </w:r>
      <w:r>
        <w:rPr>
          <w:rFonts w:ascii="Times New Roman" w:cs="Times New Roman" w:eastAsia="Times New Roman" w:hAnsi="Times New Roman"/>
          <w:sz w:val="18"/>
          <w:szCs w:val="18"/>
          <w:u w:val="single" w:color="auto"/>
          <w:color w:val="auto"/>
        </w:rPr>
        <w:t>ARYA Certificate of Incorporation</w:t>
      </w:r>
      <w:r>
        <w:rPr>
          <w:rFonts w:ascii="Times New Roman" w:cs="Times New Roman" w:eastAsia="Times New Roman" w:hAnsi="Times New Roman"/>
          <w:sz w:val="18"/>
          <w:szCs w:val="18"/>
          <w:color w:val="auto"/>
        </w:rPr>
        <w:t xml:space="preserve">”), and the bylaws,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(with such changes as may be agreed in writing by ARYA and the Company, the “</w:t>
      </w:r>
      <w:r>
        <w:rPr>
          <w:rFonts w:ascii="Times New Roman" w:cs="Times New Roman" w:eastAsia="Times New Roman" w:hAnsi="Times New Roman"/>
          <w:sz w:val="18"/>
          <w:szCs w:val="18"/>
          <w:u w:val="single" w:color="auto"/>
          <w:color w:val="auto"/>
        </w:rPr>
        <w:t>ARYA Bylaws</w:t>
      </w:r>
      <w:r>
        <w:rPr>
          <w:rFonts w:ascii="Times New Roman" w:cs="Times New Roman" w:eastAsia="Times New Roman" w:hAnsi="Times New Roman"/>
          <w:sz w:val="18"/>
          <w:szCs w:val="18"/>
          <w:color w:val="auto"/>
        </w:rPr>
        <w:t>”)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 its Representatives shall give the Company and its pertinent Representatives a reasonable opportunity to review any applicable documents, certificates or filings in connection with the Domestication and will consider, in good faith, any comments thereto.</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7" w:name="page38"/>
    <w:bookmarkEnd w:id="37"/>
    <w:p>
      <w:pPr>
        <w:ind w:left="526" w:hanging="526"/>
        <w:spacing w:after="0"/>
        <w:tabs>
          <w:tab w:leader="none" w:pos="526" w:val="left"/>
        </w:tabs>
        <w:numPr>
          <w:ilvl w:val="0"/>
          <w:numId w:val="8"/>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u w:val="single" w:color="auto"/>
          <w:color w:val="auto"/>
        </w:rPr>
        <w:t>The Merger</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010000"/>
        </w:rPr>
      </w:pPr>
    </w:p>
    <w:p>
      <w:pPr>
        <w:jc w:val="both"/>
        <w:ind w:left="6" w:firstLine="526"/>
        <w:spacing w:after="0" w:line="241" w:lineRule="auto"/>
        <w:tabs>
          <w:tab w:leader="none" w:pos="995"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terms and subject to the conditions set forth in this Agreement and in accordance with the DGCL, on the Closing Date promptly following the consummation of the Domestication, Merger Sub shall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 result of the Merger, the separate existence of Merger Sub shall cease, and the Company shall continue as the surviving company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jc w:val="both"/>
        <w:ind w:left="6" w:firstLine="526"/>
        <w:spacing w:after="0" w:line="237" w:lineRule="auto"/>
        <w:tabs>
          <w:tab w:leader="none" w:pos="1133"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010000"/>
        </w:rPr>
      </w:pPr>
    </w:p>
    <w:p>
      <w:pPr>
        <w:jc w:val="both"/>
        <w:ind w:left="6" w:firstLine="526"/>
        <w:spacing w:after="0" w:line="241" w:lineRule="auto"/>
        <w:tabs>
          <w:tab w:leader="none" w:pos="1071"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66" w:lineRule="exact"/>
        <w:rPr>
          <w:rFonts w:ascii="Times New Roman" w:cs="Times New Roman" w:eastAsia="Times New Roman" w:hAnsi="Times New Roman"/>
          <w:sz w:val="18"/>
          <w:szCs w:val="18"/>
          <w:color w:val="010000"/>
        </w:rPr>
      </w:pPr>
    </w:p>
    <w:p>
      <w:pPr>
        <w:ind w:left="6" w:firstLine="526"/>
        <w:spacing w:after="0" w:line="260" w:lineRule="auto"/>
        <w:tabs>
          <w:tab w:leader="none" w:pos="1039"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the Governing Documents of Merger Sub shall be the Governing Documents of the Surviving Company, in each case, until thereafter changed or amended as provided therein or by applicable Law.</w:t>
      </w:r>
    </w:p>
    <w:p>
      <w:pPr>
        <w:spacing w:after="0" w:line="150" w:lineRule="exact"/>
        <w:rPr>
          <w:rFonts w:ascii="Times New Roman" w:cs="Times New Roman" w:eastAsia="Times New Roman" w:hAnsi="Times New Roman"/>
          <w:sz w:val="18"/>
          <w:szCs w:val="18"/>
          <w:color w:val="010000"/>
        </w:rPr>
      </w:pPr>
    </w:p>
    <w:p>
      <w:pPr>
        <w:jc w:val="both"/>
        <w:ind w:left="6" w:firstLine="526"/>
        <w:spacing w:after="0" w:line="267" w:lineRule="auto"/>
        <w:tabs>
          <w:tab w:leader="none" w:pos="1056" w:val="left"/>
        </w:tabs>
        <w:numPr>
          <w:ilvl w:val="1"/>
          <w:numId w:val="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spacing w:after="0" w:line="146" w:lineRule="exact"/>
        <w:rPr>
          <w:rFonts w:ascii="Times New Roman" w:cs="Times New Roman" w:eastAsia="Times New Roman" w:hAnsi="Times New Roman"/>
          <w:sz w:val="17"/>
          <w:szCs w:val="17"/>
          <w:color w:val="010000"/>
        </w:rPr>
      </w:pPr>
    </w:p>
    <w:p>
      <w:pPr>
        <w:jc w:val="both"/>
        <w:ind w:left="6" w:firstLine="526"/>
        <w:spacing w:after="0" w:line="241" w:lineRule="auto"/>
        <w:tabs>
          <w:tab w:leader="none" w:pos="1028"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 common stock, par value $0.0001, of the Surviving Company (each such share, a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ind w:left="4506"/>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29210</wp:posOffset>
            </wp:positionV>
            <wp:extent cx="715708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325" w:right="319" w:bottom="1440" w:gutter="0" w:footer="0" w:header="0"/>
        </w:sectPr>
      </w:pPr>
    </w:p>
    <w:bookmarkStart w:id="38" w:name="page39"/>
    <w:bookmarkEnd w:id="38"/>
    <w:p>
      <w:pPr>
        <w:jc w:val="both"/>
        <w:ind w:left="-60" w:firstLine="526"/>
        <w:spacing w:after="0" w:line="235" w:lineRule="auto"/>
        <w:tabs>
          <w:tab w:leader="none" w:pos="111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Effective Time, by virtue of the Merger and without any action on the part of any Party or any other Person, each Company Share (other than the Company Shares cancelled and extinguished pursuant to </w:t>
      </w:r>
      <w:r>
        <w:rPr>
          <w:rFonts w:ascii="Times New Roman" w:cs="Times New Roman" w:eastAsia="Times New Roman" w:hAnsi="Times New Roman"/>
          <w:sz w:val="18"/>
          <w:szCs w:val="18"/>
          <w:u w:val="single" w:color="auto"/>
          <w:color w:val="auto"/>
        </w:rPr>
        <w:t>Section 2.1(b)(x)</w:t>
      </w:r>
      <w:r>
        <w:rPr>
          <w:rFonts w:ascii="Times New Roman" w:cs="Times New Roman" w:eastAsia="Times New Roman" w:hAnsi="Times New Roman"/>
          <w:sz w:val="18"/>
          <w:szCs w:val="18"/>
          <w:color w:val="auto"/>
        </w:rPr>
        <w:t xml:space="preserve"> and any Company Dissenting Shares) issued and outstanding as of immediately prior to the Effective Time shall be automatically canceled and extinguished and converted into the right to receive a number of ARYA Shares equal to the Exchange Ratio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From and after the Effective Time, each Company Shareholder’s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if any, evidencing ownership of the Company Shares and the Company Shares held in book-entry form issued and outstanding immediately prior to the Effective Time shall each cease to have any rights with respect to such 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spacing w:after="0" w:line="172" w:lineRule="exact"/>
        <w:rPr>
          <w:rFonts w:ascii="Times New Roman" w:cs="Times New Roman" w:eastAsia="Times New Roman" w:hAnsi="Times New Roman"/>
          <w:sz w:val="18"/>
          <w:szCs w:val="18"/>
          <w:color w:val="010000"/>
        </w:rPr>
      </w:pPr>
    </w:p>
    <w:p>
      <w:pPr>
        <w:jc w:val="both"/>
        <w:ind w:left="-60" w:firstLine="526"/>
        <w:spacing w:after="0" w:line="241" w:lineRule="auto"/>
        <w:tabs>
          <w:tab w:leader="none" w:pos="107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calculating the aggregate number of ARYA Shares issuable to each holder of Company Shares pursuant to the terms of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all Company Shares held by such holder shall be aggregated, and the Exchange Ratio shall be applied to that aggregate number of shares held by such holder, and not on a share-by-share basis and the number of ARYA Shares to be issued shall be rounded down to the nearest whole share.</w:t>
      </w:r>
    </w:p>
    <w:p>
      <w:pPr>
        <w:spacing w:after="0" w:line="166" w:lineRule="exact"/>
        <w:rPr>
          <w:rFonts w:ascii="Times New Roman" w:cs="Times New Roman" w:eastAsia="Times New Roman" w:hAnsi="Times New Roman"/>
          <w:sz w:val="18"/>
          <w:szCs w:val="18"/>
          <w:color w:val="010000"/>
        </w:rPr>
      </w:pPr>
    </w:p>
    <w:p>
      <w:pPr>
        <w:jc w:val="both"/>
        <w:ind w:left="-60" w:firstLine="526"/>
        <w:spacing w:after="0" w:line="235" w:lineRule="auto"/>
        <w:tabs>
          <w:tab w:leader="none" w:pos="995"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2.1(b)(ix)</w:t>
      </w:r>
      <w:r>
        <w:rPr>
          <w:rFonts w:ascii="Times New Roman" w:cs="Times New Roman" w:eastAsia="Times New Roman" w:hAnsi="Times New Roman"/>
          <w:sz w:val="18"/>
          <w:szCs w:val="18"/>
          <w:color w:val="auto"/>
        </w:rPr>
        <w:t xml:space="preserve"> 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7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90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spacing w:after="0" w:line="3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316" w:right="319" w:bottom="1440" w:gutter="0" w:footer="0" w:header="0"/>
        </w:sectPr>
      </w:pPr>
    </w:p>
    <w:bookmarkStart w:id="39" w:name="page40"/>
    <w:bookmarkEnd w:id="39"/>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2.2 </w:t>
      </w:r>
      <w:r>
        <w:rPr>
          <w:rFonts w:ascii="Times New Roman" w:cs="Times New Roman" w:eastAsia="Times New Roman" w:hAnsi="Times New Roman"/>
          <w:sz w:val="18"/>
          <w:szCs w:val="18"/>
          <w:b w:val="1"/>
          <w:bCs w:val="1"/>
          <w:u w:val="single" w:color="auto"/>
          <w:color w:val="000000"/>
        </w:rPr>
        <w:t>Closing of the Transactions Contemplated by this Agreement</w:t>
      </w:r>
      <w:r>
        <w:rPr>
          <w:rFonts w:ascii="Times New Roman" w:cs="Times New Roman" w:eastAsia="Times New Roman" w:hAnsi="Times New Roman"/>
          <w:sz w:val="18"/>
          <w:szCs w:val="18"/>
          <w:color w:val="000000"/>
        </w:rPr>
        <w:t>. The closing of the transactions contemplated by this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“Closing”) shall take place electronically by exchange of the closing deliverables by the means provided in Section 8.11 as promptly as reasonably practicable, but in no event later than the third (3rd) Business Day, following the satisfaction (or, to the extent permitted by applicable Law, waiver) of the conditions set forth in Article 6 (other than those conditions that by their nature are to be satisfied at the Closing, but subject to satisfaction or waiver of such conditions) (the date upon which the Closing actually occurs is referred to herein as the “Closing Date”) or at such other place, date and/or time as ARYA and the Company may agree in writing.</w:t>
      </w:r>
    </w:p>
    <w:p>
      <w:pPr>
        <w:spacing w:after="0" w:line="166"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2.3</w:t>
      </w:r>
      <w:r>
        <w:rPr>
          <w:sz w:val="20"/>
          <w:szCs w:val="20"/>
          <w:color w:val="auto"/>
        </w:rPr>
        <w:tab/>
      </w:r>
      <w:r>
        <w:rPr>
          <w:rFonts w:ascii="Times New Roman" w:cs="Times New Roman" w:eastAsia="Times New Roman" w:hAnsi="Times New Roman"/>
          <w:sz w:val="17"/>
          <w:szCs w:val="17"/>
          <w:b w:val="1"/>
          <w:bCs w:val="1"/>
          <w:u w:val="single" w:color="auto"/>
          <w:color w:val="auto"/>
        </w:rPr>
        <w:t>Allocation Schedule; Aggregate Transaction Proceeds Schedule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1074"/>
        <w:spacing w:after="0" w:line="247" w:lineRule="auto"/>
        <w:tabs>
          <w:tab w:leader="none" w:pos="1739" w:val="left"/>
        </w:tabs>
        <w:numPr>
          <w:ilvl w:val="0"/>
          <w:numId w:val="1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Allocation Schedule</w:t>
      </w:r>
      <w:r>
        <w:rPr>
          <w:rFonts w:ascii="Times New Roman" w:cs="Times New Roman" w:eastAsia="Times New Roman" w:hAnsi="Times New Roman"/>
          <w:sz w:val="17"/>
          <w:szCs w:val="17"/>
          <w:color w:val="auto"/>
        </w:rPr>
        <w:t>. At least two (2) Business Days prior to the Closing Date, the Company shall deliver to ARYA an allocation schedule (the “</w:t>
      </w:r>
      <w:r>
        <w:rPr>
          <w:rFonts w:ascii="Times New Roman" w:cs="Times New Roman" w:eastAsia="Times New Roman" w:hAnsi="Times New Roman"/>
          <w:sz w:val="17"/>
          <w:szCs w:val="17"/>
          <w:u w:val="single" w:color="auto"/>
          <w:color w:val="auto"/>
        </w:rPr>
        <w:t>Allocation Schedule</w:t>
      </w:r>
      <w:r>
        <w:rPr>
          <w:rFonts w:ascii="Times New Roman" w:cs="Times New Roman" w:eastAsia="Times New Roman" w:hAnsi="Times New Roman"/>
          <w:sz w:val="17"/>
          <w:szCs w:val="17"/>
          <w:color w:val="auto"/>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2.4(b)</w:t>
      </w:r>
      <w:r>
        <w:rPr>
          <w:rFonts w:ascii="Times New Roman" w:cs="Times New Roman" w:eastAsia="Times New Roman" w:hAnsi="Times New Roman"/>
          <w:sz w:val="17"/>
          <w:szCs w:val="17"/>
          <w:color w:val="auto"/>
        </w:rPr>
        <w:t xml:space="preserve"> 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the portion of the Adjusted Transaction Share Consideration allocated to each Company Share pursuant to </w:t>
      </w:r>
      <w:r>
        <w:rPr>
          <w:rFonts w:ascii="Times New Roman" w:cs="Times New Roman" w:eastAsia="Times New Roman" w:hAnsi="Times New Roman"/>
          <w:sz w:val="17"/>
          <w:szCs w:val="17"/>
          <w:u w:val="single" w:color="auto"/>
          <w:color w:val="auto"/>
        </w:rPr>
        <w:t>Section 2.1(b)(vii)</w:t>
      </w:r>
      <w:r>
        <w:rPr>
          <w:rFonts w:ascii="Times New Roman" w:cs="Times New Roman" w:eastAsia="Times New Roman" w:hAnsi="Times New Roman"/>
          <w:sz w:val="17"/>
          <w:szCs w:val="17"/>
          <w:color w:val="auto"/>
        </w:rPr>
        <w:t xml:space="preserve"> (including, for the avoidance of doubt, each Company Share that is issued upon exercise of the Company Warrants immediately prior to the Closing pursuant to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 (and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the Company Warrant Agreement (collectively, the “</w:t>
      </w:r>
      <w:r>
        <w:rPr>
          <w:rFonts w:ascii="Times New Roman" w:cs="Times New Roman" w:eastAsia="Times New Roman" w:hAnsi="Times New Roman"/>
          <w:sz w:val="17"/>
          <w:szCs w:val="17"/>
          <w:u w:val="single" w:color="auto"/>
          <w:color w:val="auto"/>
        </w:rPr>
        <w:t>Allocation Schedule Principles</w:t>
      </w:r>
      <w:r>
        <w:rPr>
          <w:rFonts w:ascii="Times New Roman" w:cs="Times New Roman" w:eastAsia="Times New Roman" w:hAnsi="Times New Roman"/>
          <w:sz w:val="17"/>
          <w:szCs w:val="17"/>
          <w:color w:val="auto"/>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40" w:name="page41"/>
    <w:bookmarkEnd w:id="40"/>
    <w:p>
      <w:pPr>
        <w:jc w:val="both"/>
        <w:ind w:firstLine="1074"/>
        <w:spacing w:after="0" w:line="250" w:lineRule="auto"/>
        <w:tabs>
          <w:tab w:leader="none" w:pos="1860" w:val="left"/>
        </w:tabs>
        <w:numPr>
          <w:ilvl w:val="1"/>
          <w:numId w:val="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Aggregate Transaction Proceeds Schedule</w:t>
      </w:r>
      <w:r>
        <w:rPr>
          <w:rFonts w:ascii="Times New Roman" w:cs="Times New Roman" w:eastAsia="Times New Roman" w:hAnsi="Times New Roman"/>
          <w:sz w:val="17"/>
          <w:szCs w:val="17"/>
          <w:color w:val="auto"/>
        </w:rPr>
        <w:t>. At least two (2) Business Days prior to the Closing Date, ARYA shall deliver to the Company a reasonably detailed calculation of the Aggregate Transaction Proceeds (the “</w:t>
      </w:r>
      <w:r>
        <w:rPr>
          <w:rFonts w:ascii="Times New Roman" w:cs="Times New Roman" w:eastAsia="Times New Roman" w:hAnsi="Times New Roman"/>
          <w:sz w:val="17"/>
          <w:szCs w:val="17"/>
          <w:u w:val="single" w:color="auto"/>
          <w:color w:val="auto"/>
        </w:rPr>
        <w:t>Aggregate Transaction Proceeds Schedule</w:t>
      </w:r>
      <w:r>
        <w:rPr>
          <w:rFonts w:ascii="Times New Roman" w:cs="Times New Roman" w:eastAsia="Times New Roman" w:hAnsi="Times New Roman"/>
          <w:sz w:val="17"/>
          <w:szCs w:val="17"/>
          <w:color w:val="auto"/>
        </w:rPr>
        <w:t>”),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w:t>
      </w:r>
    </w:p>
    <w:p>
      <w:pPr>
        <w:jc w:val="both"/>
        <w:ind w:firstLine="9"/>
        <w:spacing w:after="0" w:line="234"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w:t>
      </w:r>
    </w:p>
    <w:p>
      <w:pPr>
        <w:spacing w:after="0" w:line="175"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2.4</w:t>
      </w:r>
      <w:r>
        <w:rPr>
          <w:sz w:val="20"/>
          <w:szCs w:val="20"/>
          <w:color w:val="auto"/>
        </w:rPr>
        <w:tab/>
      </w:r>
      <w:r>
        <w:rPr>
          <w:rFonts w:ascii="Times New Roman" w:cs="Times New Roman" w:eastAsia="Times New Roman" w:hAnsi="Times New Roman"/>
          <w:sz w:val="14"/>
          <w:szCs w:val="14"/>
          <w:b w:val="1"/>
          <w:bCs w:val="1"/>
          <w:u w:val="single" w:color="auto"/>
          <w:color w:val="auto"/>
        </w:rPr>
        <w:t>Treatment of Company Options and Company Warrants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717" w:val="left"/>
        </w:tabs>
        <w:numPr>
          <w:ilvl w:val="1"/>
          <w:numId w:val="1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At the Effective Time, by virtue of the Merger and without any action of any Party or any other Person (but subject to, in the case of the Company,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Times New Roman" w:cs="Times New Roman" w:eastAsia="Times New Roman" w:hAnsi="Times New Roman"/>
          <w:sz w:val="17"/>
          <w:szCs w:val="17"/>
          <w:u w:val="single" w:color="auto"/>
          <w:color w:val="auto"/>
        </w:rPr>
        <w:t>Rollover Option</w:t>
      </w:r>
      <w:r>
        <w:rPr>
          <w:rFonts w:ascii="Times New Roman" w:cs="Times New Roman" w:eastAsia="Times New Roman" w:hAnsi="Times New Roman"/>
          <w:sz w:val="17"/>
          <w:szCs w:val="17"/>
          <w:color w:val="auto"/>
        </w:rPr>
        <w:t xml:space="preserve">”) equal to the product (rounded down to the nearest whole number) of (x) the number of Company Common Shares subject to such Company Option immediately prior to the Effective Time, </w:t>
      </w:r>
      <w:r>
        <w:rPr>
          <w:rFonts w:ascii="Times New Roman" w:cs="Times New Roman" w:eastAsia="Times New Roman" w:hAnsi="Times New Roman"/>
          <w:sz w:val="17"/>
          <w:szCs w:val="17"/>
          <w:u w:val="single" w:color="auto"/>
          <w:color w:val="auto"/>
        </w:rPr>
        <w:t>multiplied</w:t>
      </w:r>
      <w:r>
        <w:rPr>
          <w:rFonts w:ascii="Times New Roman" w:cs="Times New Roman" w:eastAsia="Times New Roman" w:hAnsi="Times New Roman"/>
          <w:sz w:val="17"/>
          <w:szCs w:val="17"/>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w:t>
      </w:r>
    </w:p>
    <w:p>
      <w:pPr>
        <w:spacing w:after="0" w:line="1" w:lineRule="exact"/>
        <w:rPr>
          <w:rFonts w:ascii="Times New Roman" w:cs="Times New Roman" w:eastAsia="Times New Roman" w:hAnsi="Times New Roman"/>
          <w:sz w:val="17"/>
          <w:szCs w:val="17"/>
          <w:color w:val="010000"/>
        </w:rPr>
      </w:pPr>
    </w:p>
    <w:p>
      <w:pPr>
        <w:jc w:val="both"/>
        <w:ind w:firstLine="9"/>
        <w:spacing w:after="0" w:line="233"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w:t>
      </w:r>
    </w:p>
    <w:p>
      <w:pPr>
        <w:spacing w:after="0" w:line="170" w:lineRule="exact"/>
        <w:rPr>
          <w:rFonts w:ascii="Times New Roman" w:cs="Times New Roman" w:eastAsia="Times New Roman" w:hAnsi="Times New Roman"/>
          <w:sz w:val="18"/>
          <w:szCs w:val="18"/>
          <w:color w:val="auto"/>
        </w:rPr>
      </w:pPr>
    </w:p>
    <w:p>
      <w:pPr>
        <w:jc w:val="both"/>
        <w:ind w:firstLine="1074"/>
        <w:spacing w:after="0" w:line="241" w:lineRule="auto"/>
        <w:tabs>
          <w:tab w:leader="none" w:pos="176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Immediately prior to the Closing, all Company Warrants shall be “net” exercised in exchange for Company Common Shares in accordance with the terms of the Company Warrant Agreement and shall 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1" w:name="page42"/>
    <w:bookmarkEnd w:id="41"/>
    <w:p>
      <w:pPr>
        <w:ind w:firstLine="1074"/>
        <w:spacing w:after="0" w:line="289" w:lineRule="auto"/>
        <w:tabs>
          <w:tab w:leader="none" w:pos="1905" w:val="left"/>
        </w:tabs>
        <w:numPr>
          <w:ilvl w:val="0"/>
          <w:numId w:val="1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As of immediately prior to the Effective Time, all Company Equity Plans shall terminate,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Rollover Options shall continue to be governed by the terms of the Company Equity Plan under which the Rollover Option was granted subject to the adjustments in </w:t>
      </w:r>
      <w:r>
        <w:rPr>
          <w:rFonts w:ascii="Times New Roman" w:cs="Times New Roman" w:eastAsia="Times New Roman" w:hAnsi="Times New Roman"/>
          <w:sz w:val="17"/>
          <w:szCs w:val="17"/>
          <w:u w:val="single" w:color="auto"/>
          <w:color w:val="auto"/>
        </w:rPr>
        <w:t>Section 2.4(a).</w:t>
      </w:r>
    </w:p>
    <w:p>
      <w:pPr>
        <w:spacing w:after="0" w:line="127"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527"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2.5</w:t>
      </w:r>
      <w:r>
        <w:rPr>
          <w:sz w:val="20"/>
          <w:szCs w:val="20"/>
          <w:color w:val="auto"/>
        </w:rPr>
        <w:tab/>
      </w:r>
      <w:r>
        <w:rPr>
          <w:rFonts w:ascii="Times New Roman" w:cs="Times New Roman" w:eastAsia="Times New Roman" w:hAnsi="Times New Roman"/>
          <w:sz w:val="14"/>
          <w:szCs w:val="14"/>
          <w:b w:val="1"/>
          <w:bCs w:val="1"/>
          <w:u w:val="single" w:color="auto"/>
          <w:color w:val="auto"/>
        </w:rPr>
        <w:t>Company Shareholder Deliverables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4" w:lineRule="auto"/>
        <w:tabs>
          <w:tab w:leader="none" w:pos="168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reasonably practicable following the date of this Agreement, but in no event later than ten (10) Business Days prior to the Closing Date, ARYA shall appoint an exchange agent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76" w:lineRule="exact"/>
        <w:rPr>
          <w:rFonts w:ascii="Times New Roman" w:cs="Times New Roman" w:eastAsia="Times New Roman" w:hAnsi="Times New Roman"/>
          <w:sz w:val="18"/>
          <w:szCs w:val="18"/>
          <w:color w:val="010000"/>
        </w:rPr>
      </w:pPr>
    </w:p>
    <w:p>
      <w:pPr>
        <w:ind w:firstLine="1074"/>
        <w:spacing w:after="0" w:line="260" w:lineRule="auto"/>
        <w:tabs>
          <w:tab w:leader="none" w:pos="169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least three (3) Business Days prior to the Closing Date, the Company shall mail or otherwise deliver, or shall cause to be mailed or otherwise delivered, to the Company Shareholders a Letter of Transmittal.</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88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Effective Time, ARYA shall deposit, or cause to be deposited, with the Exchange Agent, for the benefit of the Company Shareholders and for exchange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through the Exchange Agent, evidence of ARYA Shares in book-entry form representing the portion of the Adjusted Transaction Share Consideration issuable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in exchange for the Company Shares outstanding immediately prior to the Effective Time. All shares in book-entry form representing the portion of the Adjusted Transaction Share Consideration issuable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deposited with the Exchange Agent shall be referred to in this Agreement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jc w:val="both"/>
        <w:ind w:firstLine="1074"/>
        <w:spacing w:after="0" w:line="236" w:lineRule="auto"/>
        <w:tabs>
          <w:tab w:leader="none" w:pos="199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Company Shareholder whose Company Shares have been converted into the right to receive a portion of the Adjusted Transaction Share Consideration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shall be entitled to receive the portion of the Adjusted Transaction Share Consideration to which he, she or it is entitled on the date provided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w:t>
      </w:r>
    </w:p>
    <w:p>
      <w:pPr>
        <w:spacing w:after="0" w:line="171"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72"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6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6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interest will be paid or accrued on the Adjusted Transaction Share Consideration (or any portion thereof). From and after the Effective Time, until surrendered or transferred, as applicable,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each Company Share (other than, for the avoidance of doubt, the Company Shares cancelled and extinguished pursuant to </w:t>
      </w:r>
      <w:r>
        <w:rPr>
          <w:rFonts w:ascii="Times New Roman" w:cs="Times New Roman" w:eastAsia="Times New Roman" w:hAnsi="Times New Roman"/>
          <w:sz w:val="18"/>
          <w:szCs w:val="18"/>
          <w:u w:val="single" w:color="auto"/>
          <w:color w:val="auto"/>
        </w:rPr>
        <w:t>Section 2.1(b)(x)</w:t>
      </w:r>
      <w:r>
        <w:rPr>
          <w:rFonts w:ascii="Times New Roman" w:cs="Times New Roman" w:eastAsia="Times New Roman" w:hAnsi="Times New Roman"/>
          <w:sz w:val="18"/>
          <w:szCs w:val="18"/>
          <w:color w:val="auto"/>
        </w:rPr>
        <w:t xml:space="preserve"> or any Company Dissenting Shares) shall solely represent the right to receive a portion of the Adjusted Transaction Share Consideration to which such Company Share is entitled to receive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ind w:right="20" w:firstLine="1074"/>
        <w:spacing w:after="0" w:line="259" w:lineRule="auto"/>
        <w:tabs>
          <w:tab w:leader="none" w:pos="1682"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the stock transfer books of the Company shall be closed and there shall be no transfers of Company Shares that were outstanding immediately prior to the Effective Time.</w:t>
      </w:r>
    </w:p>
    <w:p>
      <w:pPr>
        <w:spacing w:after="0" w:line="151"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09"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spacing w:after="0" w:line="171"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2.6 </w:t>
      </w:r>
      <w:r>
        <w:rPr>
          <w:rFonts w:ascii="Times New Roman" w:cs="Times New Roman" w:eastAsia="Times New Roman" w:hAnsi="Times New Roman"/>
          <w:sz w:val="18"/>
          <w:szCs w:val="18"/>
          <w:b w:val="1"/>
          <w:bCs w:val="1"/>
          <w:u w:val="single" w:color="auto"/>
          <w:color w:val="000000"/>
        </w:rPr>
        <w:t>Withholding</w:t>
      </w:r>
      <w:r>
        <w:rPr>
          <w:rFonts w:ascii="Times New Roman" w:cs="Times New Roman" w:eastAsia="Times New Roman" w:hAnsi="Times New Roman"/>
          <w:sz w:val="18"/>
          <w:szCs w:val="18"/>
          <w:color w:val="000000"/>
        </w:rPr>
        <w:t>. ARYA, the Group Companies and the Exchange Agent shall be entitled to deduct and withhold (or cause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66"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2.7 </w:t>
      </w:r>
      <w:r>
        <w:rPr>
          <w:rFonts w:ascii="Times New Roman" w:cs="Times New Roman" w:eastAsia="Times New Roman" w:hAnsi="Times New Roman"/>
          <w:sz w:val="18"/>
          <w:szCs w:val="18"/>
          <w:b w:val="1"/>
          <w:bCs w:val="1"/>
          <w:u w:val="single" w:color="auto"/>
          <w:color w:val="000000"/>
        </w:rPr>
        <w:t>Company Dissenting Shares</w:t>
      </w:r>
      <w:r>
        <w:rPr>
          <w:rFonts w:ascii="Times New Roman" w:cs="Times New Roman" w:eastAsia="Times New Roman" w:hAnsi="Times New Roman"/>
          <w:sz w:val="18"/>
          <w:szCs w:val="18"/>
          <w:color w:val="000000"/>
        </w:rPr>
        <w:t>. Notwithstanding anything to the contrary herein, any Company Shares for which a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Shareholder (a) has not voted in favor of the Merger or consented to it in writing and (b) has demanded the appraisal of such Company Shares in accordance with, and has complied in all respects with, Section 262 of the DGCL (collectively, such shareholders, the “Company Dissenting Shareholders”, and such shares, the “Company Dissenting Shares”) shall not be converted into the right to receive the Per Share Merger Consideration pursuant to Section 2.1(b)(vii). From and after the Effective Time, (i) the Company Dissenting Shares shall be cancelled and extinguished and shall cease to exist and (ii) the Company Dissenting Shareholders shall be entitled only to such rights as may be granted to them under Section 262 of the DGCL and shall not be entitled to exercise any of the voting rights or other rights of a stockholder of ARYA, the Surviving Company or any of its Affiliates (including ARYA); provided,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Section 2.1(b)(vii) upon delivery of a properly completed and duly executed Letter of Transmittal (including, for the avoidance of doubt, any other documents or agreements required by the Letter of Transmittal) and the surrender of the applicable documents and other deliverables set forth in Section 2.5(d).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010000"/>
        </w:rPr>
        <w:t>ARTICLE 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 COMPANIES</w:t>
      </w:r>
    </w:p>
    <w:p>
      <w:pPr>
        <w:spacing w:after="0" w:line="17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 xml:space="preserve">Except as set forth in the Company Disclosure Schedules (which shall only qualify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the Company hereby represents and warrants to the ARYA Parties, in each case, as of the date of this Agreement and as of the Closing, as follows:</w:t>
      </w:r>
    </w:p>
    <w:p>
      <w:pPr>
        <w:spacing w:after="0" w:line="16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w:t>
      </w:r>
      <w:r>
        <w:rPr>
          <w:sz w:val="20"/>
          <w:szCs w:val="20"/>
          <w:color w:val="auto"/>
        </w:rPr>
        <w:tab/>
      </w:r>
      <w:r>
        <w:rPr>
          <w:rFonts w:ascii="Times New Roman" w:cs="Times New Roman" w:eastAsia="Times New Roman" w:hAnsi="Times New Roman"/>
          <w:sz w:val="14"/>
          <w:szCs w:val="14"/>
          <w:b w:val="1"/>
          <w:bCs w:val="1"/>
          <w:u w:val="single" w:color="auto"/>
          <w:color w:val="auto"/>
        </w:rPr>
        <w:t>Organization and Qualification</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61"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6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spacing w:after="0" w:line="166"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972"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45" w:name="page46"/>
    <w:bookmarkEnd w:id="45"/>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w:t>
      </w:r>
      <w:r>
        <w:rPr>
          <w:sz w:val="20"/>
          <w:szCs w:val="20"/>
          <w:color w:val="auto"/>
        </w:rPr>
        <w:tab/>
      </w:r>
      <w:r>
        <w:rPr>
          <w:rFonts w:ascii="Times New Roman" w:cs="Times New Roman" w:eastAsia="Times New Roman" w:hAnsi="Times New Roman"/>
          <w:sz w:val="14"/>
          <w:szCs w:val="14"/>
          <w:b w:val="1"/>
          <w:bCs w:val="1"/>
          <w:u w:val="single" w:color="auto"/>
          <w:color w:val="auto"/>
        </w:rPr>
        <w:t>Capitalization of the Group Companies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5" w:lineRule="auto"/>
        <w:tabs>
          <w:tab w:leader="none" w:pos="170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or for Equity Securities issued or granted after the date hereof either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as set forth in Section 5.1(b)(v) of the Company Disclosure Schedules), or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value of the Adjusted Transaction Share Consideration allocated to each Company Option (determined by reference to, for the avoidance of doubt, the ARYA Share Value) is in excess of the exercise (or similar) price applicable to such Company Option).</w:t>
      </w:r>
    </w:p>
    <w:p>
      <w:pPr>
        <w:spacing w:after="0" w:line="17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16"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for the Company Options and Company Warrants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and those either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as set forth in Section 5.1(b)(v) of the Company Disclosure Schedules), or issued, granted or entered into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69"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0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46" w:name="page47"/>
    <w:bookmarkEnd w:id="46"/>
    <w:p>
      <w:pPr>
        <w:ind w:firstLine="1074"/>
        <w:spacing w:after="0" w:line="260" w:lineRule="auto"/>
        <w:tabs>
          <w:tab w:leader="none" w:pos="1693"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 there are no voting trusts, proxies or other Contracts with respect to the voting or transfer of the Company’s Equity Securities between the Company and any other Person.</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961"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62" w:lineRule="exact"/>
        <w:rPr>
          <w:rFonts w:ascii="Times New Roman" w:cs="Times New Roman" w:eastAsia="Times New Roman" w:hAnsi="Times New Roman"/>
          <w:sz w:val="18"/>
          <w:szCs w:val="18"/>
          <w:color w:val="010000"/>
        </w:rPr>
      </w:pPr>
    </w:p>
    <w:p>
      <w:pPr>
        <w:ind w:left="1700" w:hanging="626"/>
        <w:spacing w:after="0"/>
        <w:tabs>
          <w:tab w:leader="none" w:pos="1700" w:val="left"/>
        </w:tabs>
        <w:numPr>
          <w:ilvl w:val="0"/>
          <w:numId w:val="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 xml:space="preserve"> of the Company Disclosure Schedules sets forth a list of all Company Change of Control Payments as of the date of this</w:t>
      </w:r>
    </w:p>
    <w:p>
      <w:pPr>
        <w:spacing w:after="0" w:line="24"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Agreement.</w:t>
      </w:r>
    </w:p>
    <w:p>
      <w:pPr>
        <w:spacing w:after="0" w:line="172"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649"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82"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3.3 </w:t>
      </w:r>
      <w:r>
        <w:rPr>
          <w:rFonts w:ascii="Times New Roman" w:cs="Times New Roman" w:eastAsia="Times New Roman" w:hAnsi="Times New Roman"/>
          <w:sz w:val="17"/>
          <w:szCs w:val="17"/>
          <w:b w:val="1"/>
          <w:bCs w:val="1"/>
          <w:u w:val="single" w:color="auto"/>
          <w:color w:val="000000"/>
        </w:rPr>
        <w:t>Authority</w:t>
      </w:r>
      <w:r>
        <w:rPr>
          <w:rFonts w:ascii="Times New Roman" w:cs="Times New Roman" w:eastAsia="Times New Roman" w:hAnsi="Times New Roman"/>
          <w:sz w:val="17"/>
          <w:szCs w:val="17"/>
          <w:color w:val="000000"/>
        </w:rPr>
        <w:t>. The Company has the requisite corporate power and authority to execute and deliver this Agreement and each Ancillary</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“Company Required Shareholder Approval”)),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ind w:left="520"/>
        <w:spacing w:after="0"/>
        <w:tabs>
          <w:tab w:leader="none" w:pos="1560" w:val="left"/>
        </w:tabs>
        <w:rPr>
          <w:sz w:val="20"/>
          <w:szCs w:val="20"/>
          <w:color w:val="auto"/>
        </w:rPr>
      </w:pPr>
      <w:r>
        <w:rPr>
          <w:rFonts w:ascii="Times New Roman" w:cs="Times New Roman" w:eastAsia="Times New Roman" w:hAnsi="Times New Roman"/>
          <w:sz w:val="15"/>
          <w:szCs w:val="15"/>
          <w:b w:val="1"/>
          <w:bCs w:val="1"/>
          <w:color w:val="010000"/>
        </w:rPr>
        <w:t>Section 3.4</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Undisclosed Liabilities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left="-20" w:firstLine="1074"/>
        <w:spacing w:after="0" w:line="237" w:lineRule="auto"/>
        <w:tabs>
          <w:tab w:leader="none" w:pos="1708"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made available to ARYA a true and complete copy of the audited consolidated balance sheet of the Company as of December 31, 2019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audited consolidated statements of operations and comprehensive loss, convertible preferred stock and stockholders’ deficit and cash flows of the Company for the year then ended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spacing w:after="0" w:line="171" w:lineRule="exact"/>
        <w:rPr>
          <w:rFonts w:ascii="Times New Roman" w:cs="Times New Roman" w:eastAsia="Times New Roman" w:hAnsi="Times New Roman"/>
          <w:sz w:val="18"/>
          <w:szCs w:val="18"/>
          <w:color w:val="010000"/>
        </w:rPr>
      </w:pPr>
    </w:p>
    <w:p>
      <w:pPr>
        <w:jc w:val="both"/>
        <w:ind w:left="-20" w:firstLine="1074"/>
        <w:spacing w:after="0" w:line="235" w:lineRule="auto"/>
        <w:tabs>
          <w:tab w:leader="none" w:pos="1618"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(including as set forth in Section </w:t>
      </w:r>
      <w:r>
        <w:rPr>
          <w:rFonts w:ascii="Times New Roman" w:cs="Times New Roman" w:eastAsia="Times New Roman" w:hAnsi="Times New Roman"/>
          <w:sz w:val="18"/>
          <w:szCs w:val="18"/>
          <w:u w:val="single" w:color="auto"/>
          <w:color w:val="auto"/>
        </w:rPr>
        <w:t>5.1(b)(i)-(vi)</w:t>
      </w:r>
      <w:r>
        <w:rPr>
          <w:rFonts w:ascii="Times New Roman" w:cs="Times New Roman" w:eastAsia="Times New Roman" w:hAnsi="Times New Roman"/>
          <w:sz w:val="18"/>
          <w:szCs w:val="18"/>
          <w:color w:val="auto"/>
        </w:rPr>
        <w:t xml:space="preserve"> of the Company Disclosure Schedules) and (vi) for Liabilities that are not and would not reasonably be expected to be, individually or in the aggregate, material to the Group Companies, taken as a whole, no Group Company has any Liabilities.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48" w:name="page49"/>
    <w:bookmarkEnd w:id="48"/>
    <w:p>
      <w:pPr>
        <w:jc w:val="both"/>
        <w:ind w:firstLine="1074"/>
        <w:spacing w:after="0" w:line="237" w:lineRule="auto"/>
        <w:tabs>
          <w:tab w:leader="none" w:pos="1828"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7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693"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spacing w:after="0" w:line="174"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3.5</w:t>
      </w:r>
      <w:r>
        <w:rPr>
          <w:sz w:val="20"/>
          <w:szCs w:val="20"/>
          <w:color w:val="auto"/>
        </w:rPr>
        <w:tab/>
      </w:r>
      <w:r>
        <w:rPr>
          <w:rFonts w:ascii="Times New Roman" w:cs="Times New Roman" w:eastAsia="Times New Roman" w:hAnsi="Times New Roman"/>
          <w:sz w:val="14"/>
          <w:szCs w:val="14"/>
          <w:b w:val="1"/>
          <w:bCs w:val="1"/>
          <w:u w:val="single" w:color="auto"/>
          <w:color w:val="auto"/>
        </w:rPr>
        <w:t>Consents and Requisite Governmental Approvals; No Violations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83"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spacing w:after="0" w:line="168" w:lineRule="exact"/>
        <w:rPr>
          <w:rFonts w:ascii="Times New Roman" w:cs="Times New Roman" w:eastAsia="Times New Roman" w:hAnsi="Times New Roman"/>
          <w:sz w:val="18"/>
          <w:szCs w:val="18"/>
          <w:color w:val="010000"/>
        </w:rPr>
      </w:pPr>
    </w:p>
    <w:p>
      <w:pPr>
        <w:jc w:val="both"/>
        <w:ind w:firstLine="1074"/>
        <w:spacing w:after="0" w:line="253" w:lineRule="auto"/>
        <w:tabs>
          <w:tab w:leader="none" w:pos="1693" w:val="left"/>
        </w:tabs>
        <w:numPr>
          <w:ilvl w:val="1"/>
          <w:numId w:val="2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w:t>
      </w:r>
    </w:p>
    <w:p>
      <w:pPr>
        <w:jc w:val="both"/>
        <w:ind w:firstLine="9"/>
        <w:spacing w:after="0" w:line="234" w:lineRule="auto"/>
        <w:tabs>
          <w:tab w:leader="none" w:pos="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 Company Material Adverse Effect.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3.6 </w:t>
      </w:r>
      <w:r>
        <w:rPr>
          <w:rFonts w:ascii="Times New Roman" w:cs="Times New Roman" w:eastAsia="Times New Roman" w:hAnsi="Times New Roman"/>
          <w:sz w:val="18"/>
          <w:szCs w:val="18"/>
          <w:b w:val="1"/>
          <w:bCs w:val="1"/>
          <w:u w:val="single" w:color="auto"/>
          <w:color w:val="000000"/>
        </w:rPr>
        <w:t>Permits</w:t>
      </w:r>
      <w:r>
        <w:rPr>
          <w:rFonts w:ascii="Times New Roman" w:cs="Times New Roman" w:eastAsia="Times New Roman" w:hAnsi="Times New Roman"/>
          <w:sz w:val="18"/>
          <w:szCs w:val="18"/>
          <w:color w:val="000000"/>
        </w:rPr>
        <w:t>. Each of the Group Companies has all Permits (the “Material Permits”) that are required to own, lease or operate its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3.7</w:t>
      </w:r>
      <w:r>
        <w:rPr>
          <w:sz w:val="20"/>
          <w:szCs w:val="20"/>
          <w:color w:val="auto"/>
        </w:rPr>
        <w:tab/>
      </w:r>
      <w:r>
        <w:rPr>
          <w:rFonts w:ascii="Times New Roman" w:cs="Times New Roman" w:eastAsia="Times New Roman" w:hAnsi="Times New Roman"/>
          <w:sz w:val="14"/>
          <w:szCs w:val="14"/>
          <w:b w:val="1"/>
          <w:bCs w:val="1"/>
          <w:u w:val="single" w:color="auto"/>
          <w:color w:val="auto"/>
        </w:rPr>
        <w:t>Material Contracts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1" w:lineRule="auto"/>
        <w:tabs>
          <w:tab w:leader="none" w:pos="1761"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ind w:left="1080" w:firstLine="526"/>
        <w:spacing w:after="0" w:line="260" w:lineRule="auto"/>
        <w:tabs>
          <w:tab w:leader="none" w:pos="2157"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relating to Indebtedness for borrowed money of any Group Company or to the placing of a Lien (other than a Permitted Lien) on any material assets or properties of any Group Company;</w:t>
      </w:r>
    </w:p>
    <w:p>
      <w:pPr>
        <w:spacing w:after="0" w:line="150"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129"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$2,000,000;</w:t>
      </w:r>
    </w:p>
    <w:p>
      <w:pPr>
        <w:spacing w:after="0" w:line="162"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45"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spacing w:after="0" w:line="162" w:lineRule="exact"/>
        <w:rPr>
          <w:rFonts w:ascii="Times New Roman" w:cs="Times New Roman" w:eastAsia="Times New Roman" w:hAnsi="Times New Roman"/>
          <w:sz w:val="18"/>
          <w:szCs w:val="18"/>
          <w:color w:val="010000"/>
        </w:rPr>
      </w:pPr>
    </w:p>
    <w:p>
      <w:pPr>
        <w:jc w:val="both"/>
        <w:ind w:left="1080" w:firstLine="526"/>
        <w:spacing w:after="0" w:line="260" w:lineRule="auto"/>
        <w:tabs>
          <w:tab w:leader="none" w:pos="2168" w:val="left"/>
        </w:tabs>
        <w:numPr>
          <w:ilvl w:val="1"/>
          <w:numId w:val="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spacing w:after="0" w:line="151" w:lineRule="exact"/>
        <w:rPr>
          <w:rFonts w:ascii="Times New Roman" w:cs="Times New Roman" w:eastAsia="Times New Roman" w:hAnsi="Times New Roman"/>
          <w:sz w:val="17"/>
          <w:szCs w:val="17"/>
          <w:color w:val="010000"/>
        </w:rPr>
      </w:pPr>
    </w:p>
    <w:p>
      <w:pPr>
        <w:jc w:val="both"/>
        <w:ind w:left="1080" w:firstLine="526"/>
        <w:spacing w:after="0" w:line="236" w:lineRule="auto"/>
        <w:tabs>
          <w:tab w:leader="none" w:pos="2152"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0" w:name="page51"/>
    <w:bookmarkEnd w:id="50"/>
    <w:p>
      <w:pPr>
        <w:ind w:left="-60" w:firstLine="526"/>
        <w:spacing w:after="0" w:line="260" w:lineRule="auto"/>
        <w:tabs>
          <w:tab w:leader="none" w:pos="101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$2,000,000 annually or (B) $5,000,000 over the life of the agreement;</w:t>
      </w:r>
    </w:p>
    <w:p>
      <w:pPr>
        <w:spacing w:after="0" w:line="150"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96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$2,000,000;</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1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spacing w:after="0" w:line="162" w:lineRule="exact"/>
        <w:rPr>
          <w:rFonts w:ascii="Times New Roman" w:cs="Times New Roman" w:eastAsia="Times New Roman" w:hAnsi="Times New Roman"/>
          <w:sz w:val="18"/>
          <w:szCs w:val="18"/>
          <w:color w:val="010000"/>
        </w:rPr>
      </w:pPr>
    </w:p>
    <w:p>
      <w:pPr>
        <w:ind w:left="940" w:hanging="474"/>
        <w:spacing w:after="0"/>
        <w:tabs>
          <w:tab w:leader="none" w:pos="9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39" w:lineRule="auto"/>
        <w:tabs>
          <w:tab w:leader="none" w:pos="968"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spacing w:after="0" w:line="167" w:lineRule="exact"/>
        <w:rPr>
          <w:rFonts w:ascii="Times New Roman" w:cs="Times New Roman" w:eastAsia="Times New Roman" w:hAnsi="Times New Roman"/>
          <w:sz w:val="18"/>
          <w:szCs w:val="18"/>
          <w:color w:val="010000"/>
        </w:rPr>
      </w:pPr>
    </w:p>
    <w:p>
      <w:pPr>
        <w:ind w:left="980" w:hanging="514"/>
        <w:spacing w:after="0"/>
        <w:tabs>
          <w:tab w:leader="none" w:pos="9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providing for any Company Change of Control Payment;</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41" w:lineRule="auto"/>
        <w:tabs>
          <w:tab w:leader="none" w:pos="1055"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66"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2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w:t>
      </w:r>
    </w:p>
    <w:p>
      <w:pPr>
        <w:spacing w:after="0" w:line="3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316" w:right="319" w:bottom="1440" w:gutter="0" w:footer="0" w:header="0"/>
        </w:sectPr>
      </w:pPr>
    </w:p>
    <w:bookmarkStart w:id="51" w:name="page52"/>
    <w:bookmarkEnd w:id="51"/>
    <w:p>
      <w:pPr>
        <w:jc w:val="both"/>
        <w:ind w:left="1080" w:firstLine="526"/>
        <w:spacing w:after="0" w:line="245" w:lineRule="auto"/>
        <w:tabs>
          <w:tab w:leader="none" w:pos="220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spacing w:after="0" w:line="164"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594"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68"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3.8 </w:t>
      </w:r>
      <w:r>
        <w:rPr>
          <w:rFonts w:ascii="Times New Roman" w:cs="Times New Roman" w:eastAsia="Times New Roman" w:hAnsi="Times New Roman"/>
          <w:sz w:val="18"/>
          <w:szCs w:val="18"/>
          <w:b w:val="1"/>
          <w:bCs w:val="1"/>
          <w:u w:val="single" w:color="auto"/>
          <w:color w:val="000000"/>
        </w:rPr>
        <w:t>Absence of Changes</w:t>
      </w:r>
      <w:r>
        <w:rPr>
          <w:rFonts w:ascii="Times New Roman" w:cs="Times New Roman" w:eastAsia="Times New Roman" w:hAnsi="Times New Roman"/>
          <w:sz w:val="18"/>
          <w:szCs w:val="18"/>
          <w:color w:val="000000"/>
        </w:rPr>
        <w:t>. During the period beginning on January 1, 2020 and ending on the date of this Agreement, (a) no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Section 5.1(b)(iv)(A), Section 5.1(b)(viii), Section 5.1(b)(xii) or Section 5.1(b)(xvi) (to the extent related to any of the foregoing) and (iii) no Group Company has taken any action that would require the consent of ARYA if taken during the period from the date of this Agreement until the Closing pursuant to Section 5.1(b)(i), Section 5.1(b)(xv) or Section 5.1(b)(xvi) (to the extent related to Section 5.1(b)(i) or Section 5.1(b)(xv)).</w:t>
      </w:r>
    </w:p>
    <w:p>
      <w:pPr>
        <w:spacing w:after="0" w:line="167"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3.9 </w:t>
      </w:r>
      <w:r>
        <w:rPr>
          <w:rFonts w:ascii="Times New Roman" w:cs="Times New Roman" w:eastAsia="Times New Roman" w:hAnsi="Times New Roman"/>
          <w:sz w:val="18"/>
          <w:szCs w:val="18"/>
          <w:b w:val="1"/>
          <w:bCs w:val="1"/>
          <w:u w:val="single" w:color="auto"/>
          <w:color w:val="000000"/>
        </w:rPr>
        <w:t>Litigation</w:t>
      </w:r>
      <w:r>
        <w:rPr>
          <w:rFonts w:ascii="Times New Roman" w:cs="Times New Roman" w:eastAsia="Times New Roman" w:hAnsi="Times New Roman"/>
          <w:sz w:val="18"/>
          <w:szCs w:val="18"/>
          <w:color w:val="000000"/>
        </w:rPr>
        <w:t>. There is (and since January 1, 2018 there has been) no Proceeding, by any counterparty not a Party hereto, pending or,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3.10 </w:t>
      </w:r>
      <w:r>
        <w:rPr>
          <w:rFonts w:ascii="Times New Roman" w:cs="Times New Roman" w:eastAsia="Times New Roman" w:hAnsi="Times New Roman"/>
          <w:sz w:val="18"/>
          <w:szCs w:val="18"/>
          <w:b w:val="1"/>
          <w:bCs w:val="1"/>
          <w:u w:val="single" w:color="auto"/>
          <w:color w:val="000000"/>
        </w:rPr>
        <w:t>Compliance with Applicable Law</w:t>
      </w:r>
      <w:r>
        <w:rPr>
          <w:rFonts w:ascii="Times New Roman" w:cs="Times New Roman" w:eastAsia="Times New Roman" w:hAnsi="Times New Roman"/>
          <w:sz w:val="18"/>
          <w:szCs w:val="18"/>
          <w:color w:val="000000"/>
        </w:rPr>
        <w:t>. Each Group Company (a) conducts (and since January 1, 2018 has conducted) its business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3.11</w:t>
      </w:r>
      <w:r>
        <w:rPr>
          <w:sz w:val="20"/>
          <w:szCs w:val="20"/>
          <w:color w:val="auto"/>
        </w:rPr>
        <w:tab/>
      </w:r>
      <w:r>
        <w:rPr>
          <w:rFonts w:ascii="Times New Roman" w:cs="Times New Roman" w:eastAsia="Times New Roman" w:hAnsi="Times New Roman"/>
          <w:sz w:val="14"/>
          <w:szCs w:val="14"/>
          <w:b w:val="1"/>
          <w:bCs w:val="1"/>
          <w:u w:val="single" w:color="auto"/>
          <w:color w:val="auto"/>
        </w:rPr>
        <w:t>Employee Plans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6" w:lineRule="auto"/>
        <w:tabs>
          <w:tab w:leader="none" w:pos="188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38"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7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5"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6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89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spacing w:after="0" w:line="166"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61"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3" w:name="page54"/>
    <w:bookmarkEnd w:id="53"/>
    <w:p>
      <w:pPr>
        <w:jc w:val="both"/>
        <w:ind w:firstLine="1074"/>
        <w:spacing w:after="0" w:line="236" w:lineRule="auto"/>
        <w:tabs>
          <w:tab w:leader="none" w:pos="1775"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27"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62" w:lineRule="exact"/>
        <w:rPr>
          <w:rFonts w:ascii="Times New Roman" w:cs="Times New Roman" w:eastAsia="Times New Roman" w:hAnsi="Times New Roman"/>
          <w:sz w:val="18"/>
          <w:szCs w:val="18"/>
          <w:color w:val="010000"/>
        </w:rPr>
      </w:pPr>
    </w:p>
    <w:p>
      <w:pPr>
        <w:ind w:firstLine="1074"/>
        <w:spacing w:after="0" w:line="260" w:lineRule="auto"/>
        <w:tabs>
          <w:tab w:leader="none" w:pos="1716"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Group Companies have no material obligation to make a “gross-up” or similar payment in respect of any taxes that may become payable under Section 4999 or 409A of the Code.</w:t>
      </w:r>
    </w:p>
    <w:p>
      <w:pPr>
        <w:spacing w:after="0" w:line="150"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98"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6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3.12</w:t>
      </w:r>
      <w:r>
        <w:rPr>
          <w:sz w:val="20"/>
          <w:szCs w:val="20"/>
          <w:color w:val="auto"/>
        </w:rPr>
        <w:tab/>
      </w:r>
      <w:r>
        <w:rPr>
          <w:rFonts w:ascii="Times New Roman" w:cs="Times New Roman" w:eastAsia="Times New Roman" w:hAnsi="Times New Roman"/>
          <w:sz w:val="17"/>
          <w:szCs w:val="17"/>
          <w:b w:val="1"/>
          <w:bCs w:val="1"/>
          <w:u w:val="single" w:color="auto"/>
          <w:color w:val="auto"/>
        </w:rPr>
        <w:t>Environmental Matters</w:t>
      </w:r>
      <w:r>
        <w:rPr>
          <w:rFonts w:ascii="Times New Roman" w:cs="Times New Roman" w:eastAsia="Times New Roman" w:hAnsi="Times New Roman"/>
          <w:sz w:val="17"/>
          <w:szCs w:val="17"/>
          <w:color w:val="auto"/>
        </w:rPr>
        <w:t>. Except as would not have a Company Material Adverse Effect:</w:t>
      </w:r>
    </w:p>
    <w:p>
      <w:pPr>
        <w:spacing w:after="0" w:line="194" w:lineRule="exact"/>
        <w:rPr>
          <w:sz w:val="20"/>
          <w:szCs w:val="20"/>
          <w:color w:val="auto"/>
        </w:rPr>
      </w:pPr>
    </w:p>
    <w:p>
      <w:pPr>
        <w:ind w:firstLine="1074"/>
        <w:spacing w:after="0" w:line="260" w:lineRule="auto"/>
        <w:tabs>
          <w:tab w:leader="none" w:pos="1705"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 w:name="page55"/>
    <w:bookmarkEnd w:id="54"/>
    <w:p>
      <w:pPr>
        <w:ind w:right="20" w:firstLine="1074"/>
        <w:spacing w:after="0" w:line="259" w:lineRule="auto"/>
        <w:tabs>
          <w:tab w:leader="none" w:pos="1738"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Proceeding pending or, to the Company’s knowledge, threatened in writing against or involving any Group Company in respect to any Environmental Laws.</w:t>
      </w:r>
    </w:p>
    <w:p>
      <w:pPr>
        <w:spacing w:after="0" w:line="151" w:lineRule="exact"/>
        <w:rPr>
          <w:rFonts w:ascii="Times New Roman" w:cs="Times New Roman" w:eastAsia="Times New Roman" w:hAnsi="Times New Roman"/>
          <w:sz w:val="18"/>
          <w:szCs w:val="18"/>
          <w:color w:val="010000"/>
        </w:rPr>
      </w:pPr>
    </w:p>
    <w:p>
      <w:pPr>
        <w:ind w:right="20" w:firstLine="1074"/>
        <w:spacing w:after="0" w:line="260" w:lineRule="auto"/>
        <w:tabs>
          <w:tab w:leader="none" w:pos="1661"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6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3.13</w:t>
      </w:r>
      <w:r>
        <w:rPr>
          <w:sz w:val="20"/>
          <w:szCs w:val="20"/>
          <w:color w:val="auto"/>
        </w:rPr>
        <w:tab/>
      </w:r>
      <w:r>
        <w:rPr>
          <w:rFonts w:ascii="Times New Roman" w:cs="Times New Roman" w:eastAsia="Times New Roman" w:hAnsi="Times New Roman"/>
          <w:sz w:val="14"/>
          <w:szCs w:val="14"/>
          <w:b w:val="1"/>
          <w:bCs w:val="1"/>
          <w:u w:val="single" w:color="auto"/>
          <w:color w:val="auto"/>
        </w:rPr>
        <w:t>Intellectual Property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9" w:lineRule="auto"/>
        <w:tabs>
          <w:tab w:leader="none" w:pos="1938"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date of this Agreement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67"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27"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jc w:val="both"/>
        <w:ind w:firstLine="1074"/>
        <w:spacing w:after="0" w:line="233" w:lineRule="auto"/>
        <w:tabs>
          <w:tab w:leader="none" w:pos="1672"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Times New Roman" w:cs="Times New Roman" w:eastAsia="Times New Roman" w:hAnsi="Times New Roman"/>
          <w:sz w:val="18"/>
          <w:szCs w:val="18"/>
          <w:u w:val="single" w:color="auto"/>
          <w:color w:val="auto"/>
        </w:rPr>
        <w:t>Section 3.13(c)</w:t>
      </w:r>
      <w:r>
        <w:rPr>
          <w:rFonts w:ascii="Times New Roman" w:cs="Times New Roman" w:eastAsia="Times New Roman" w:hAnsi="Times New Roman"/>
          <w:sz w:val="18"/>
          <w:szCs w:val="18"/>
          <w:color w:val="auto"/>
        </w:rPr>
        <w:t xml:space="preserve"> 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Times New Roman" w:cs="Times New Roman" w:eastAsia="Times New Roman" w:hAnsi="Times New Roman"/>
          <w:sz w:val="18"/>
          <w:szCs w:val="18"/>
          <w:u w:val="single" w:color="auto"/>
          <w:color w:val="auto"/>
        </w:rPr>
        <w:t>Non-Scheduled Contracts</w:t>
      </w:r>
      <w:r>
        <w:rPr>
          <w:rFonts w:ascii="Times New Roman" w:cs="Times New Roman" w:eastAsia="Times New Roman" w:hAnsi="Times New Roman"/>
          <w:sz w:val="18"/>
          <w:szCs w:val="18"/>
          <w:color w:val="auto"/>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49"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other engagement with such Group Company, other than such Intellectual Property Rights that cannot be assigned under applicable Law.</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94"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6" w:name="page57"/>
    <w:bookmarkEnd w:id="56"/>
    <w:p>
      <w:pPr>
        <w:jc w:val="both"/>
        <w:ind w:firstLine="1074"/>
        <w:spacing w:after="0"/>
        <w:tabs>
          <w:tab w:leader="none" w:pos="173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69"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66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71"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27"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spacing w:after="0" w:line="17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76"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6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32"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7" w:name="page58"/>
    <w:bookmarkEnd w:id="57"/>
    <w:p>
      <w:pPr>
        <w:jc w:val="both"/>
        <w:ind w:firstLine="1074"/>
        <w:spacing w:after="0" w:line="234" w:lineRule="auto"/>
        <w:tabs>
          <w:tab w:leader="none" w:pos="1849"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82"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3.14</w:t>
      </w:r>
      <w:r>
        <w:rPr>
          <w:sz w:val="20"/>
          <w:szCs w:val="20"/>
          <w:color w:val="auto"/>
        </w:rPr>
        <w:tab/>
      </w:r>
      <w:r>
        <w:rPr>
          <w:rFonts w:ascii="Times New Roman" w:cs="Times New Roman" w:eastAsia="Times New Roman" w:hAnsi="Times New Roman"/>
          <w:sz w:val="14"/>
          <w:szCs w:val="14"/>
          <w:b w:val="1"/>
          <w:bCs w:val="1"/>
          <w:u w:val="single" w:color="auto"/>
          <w:color w:val="auto"/>
        </w:rPr>
        <w:t>Labor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75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spacing w:after="0" w:line="168"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8"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jc w:val="both"/>
        <w:ind w:firstLine="1074"/>
        <w:spacing w:after="0" w:line="236" w:lineRule="auto"/>
        <w:tabs>
          <w:tab w:leader="none" w:pos="162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spacing w:after="0" w:line="167"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6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169"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3.15 </w:t>
      </w:r>
      <w:r>
        <w:rPr>
          <w:rFonts w:ascii="Times New Roman" w:cs="Times New Roman" w:eastAsia="Times New Roman" w:hAnsi="Times New Roman"/>
          <w:sz w:val="18"/>
          <w:szCs w:val="18"/>
          <w:b w:val="1"/>
          <w:bCs w:val="1"/>
          <w:u w:val="single" w:color="auto"/>
          <w:color w:val="000000"/>
        </w:rPr>
        <w:t>Insurance</w:t>
      </w:r>
      <w:r>
        <w:rPr>
          <w:rFonts w:ascii="Times New Roman" w:cs="Times New Roman" w:eastAsia="Times New Roman" w:hAnsi="Times New Roman"/>
          <w:sz w:val="18"/>
          <w:szCs w:val="18"/>
          <w:color w:val="000000"/>
        </w:rPr>
        <w:t>. Section 3.15 of the Company Disclosure Schedules sets forth a list of all material policies of fire, liability, workers’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spacing w:after="0" w:line="174"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3.16</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right="20" w:firstLine="1074"/>
        <w:spacing w:after="0" w:line="246" w:lineRule="auto"/>
        <w:tabs>
          <w:tab w:leader="none" w:pos="1683"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62" w:lineRule="exact"/>
        <w:rPr>
          <w:rFonts w:ascii="Times New Roman" w:cs="Times New Roman" w:eastAsia="Times New Roman" w:hAnsi="Times New Roman"/>
          <w:sz w:val="18"/>
          <w:szCs w:val="18"/>
          <w:color w:val="010000"/>
        </w:rPr>
      </w:pPr>
    </w:p>
    <w:p>
      <w:pPr>
        <w:jc w:val="both"/>
        <w:ind w:firstLine="1074"/>
        <w:spacing w:after="0" w:line="220" w:lineRule="exact"/>
        <w:tabs>
          <w:tab w:leader="none" w:pos="1782"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9" w:name="page60"/>
    <w:bookmarkEnd w:id="59"/>
    <w:p>
      <w:pPr>
        <w:ind w:firstLine="1074"/>
        <w:spacing w:after="0" w:line="259" w:lineRule="auto"/>
        <w:tabs>
          <w:tab w:leader="none" w:pos="1728"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5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1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62" w:lineRule="exact"/>
        <w:rPr>
          <w:rFonts w:ascii="Times New Roman" w:cs="Times New Roman" w:eastAsia="Times New Roman" w:hAnsi="Times New Roman"/>
          <w:sz w:val="18"/>
          <w:szCs w:val="18"/>
          <w:color w:val="010000"/>
        </w:rPr>
      </w:pPr>
    </w:p>
    <w:p>
      <w:pPr>
        <w:ind w:right="20" w:firstLine="1074"/>
        <w:spacing w:after="0" w:line="260" w:lineRule="auto"/>
        <w:tabs>
          <w:tab w:leader="none" w:pos="193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50"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192" w:lineRule="exact"/>
        <w:rPr>
          <w:rFonts w:ascii="Times New Roman" w:cs="Times New Roman" w:eastAsia="Times New Roman" w:hAnsi="Times New Roman"/>
          <w:sz w:val="18"/>
          <w:szCs w:val="18"/>
          <w:color w:val="010000"/>
        </w:rPr>
      </w:pPr>
    </w:p>
    <w:p>
      <w:pPr>
        <w:ind w:right="20" w:firstLine="1074"/>
        <w:spacing w:after="0" w:line="260" w:lineRule="auto"/>
        <w:tabs>
          <w:tab w:leader="none" w:pos="1627"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67" w:lineRule="exact"/>
        <w:rPr>
          <w:rFonts w:ascii="Times New Roman" w:cs="Times New Roman" w:eastAsia="Times New Roman" w:hAnsi="Times New Roman"/>
          <w:sz w:val="18"/>
          <w:szCs w:val="18"/>
          <w:color w:val="010000"/>
        </w:rPr>
      </w:pPr>
    </w:p>
    <w:p>
      <w:pPr>
        <w:ind w:firstLine="1074"/>
        <w:spacing w:after="0" w:line="260" w:lineRule="auto"/>
        <w:tabs>
          <w:tab w:leader="none" w:pos="1731"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2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is tax resident only in its jurisdiction of formation.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ind w:firstLine="1074"/>
        <w:spacing w:after="0" w:line="260" w:lineRule="auto"/>
        <w:tabs>
          <w:tab w:leader="none" w:pos="1787"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830"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spacing w:after="0" w:line="165"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3.17 </w:t>
      </w:r>
      <w:r>
        <w:rPr>
          <w:rFonts w:ascii="Times New Roman" w:cs="Times New Roman" w:eastAsia="Times New Roman" w:hAnsi="Times New Roman"/>
          <w:sz w:val="18"/>
          <w:szCs w:val="18"/>
          <w:b w:val="1"/>
          <w:bCs w:val="1"/>
          <w:u w:val="single" w:color="auto"/>
          <w:color w:val="000000"/>
        </w:rPr>
        <w:t>Brokers</w:t>
      </w:r>
      <w:r>
        <w:rPr>
          <w:rFonts w:ascii="Times New Roman" w:cs="Times New Roman" w:eastAsia="Times New Roman" w:hAnsi="Times New Roman"/>
          <w:sz w:val="18"/>
          <w:szCs w:val="18"/>
          <w:color w:val="000000"/>
        </w:rPr>
        <w:t>. Except for fees (including a good faith estimate of the amounts due and payable assuming the Closing occurs) set forth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Section 3.17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164" w:lineRule="exact"/>
        <w:rPr>
          <w:sz w:val="20"/>
          <w:szCs w:val="20"/>
          <w:color w:val="auto"/>
        </w:rPr>
      </w:pPr>
    </w:p>
    <w:p>
      <w:pPr>
        <w:ind w:left="5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010000"/>
        </w:rPr>
        <w:t>Section 3.18</w:t>
      </w:r>
      <w:r>
        <w:rPr>
          <w:sz w:val="20"/>
          <w:szCs w:val="20"/>
          <w:color w:val="auto"/>
        </w:rPr>
        <w:tab/>
      </w:r>
      <w:r>
        <w:rPr>
          <w:rFonts w:ascii="Times New Roman" w:cs="Times New Roman" w:eastAsia="Times New Roman" w:hAnsi="Times New Roman"/>
          <w:sz w:val="17"/>
          <w:szCs w:val="17"/>
          <w:b w:val="1"/>
          <w:bCs w:val="1"/>
          <w:u w:val="single" w:color="auto"/>
          <w:color w:val="auto"/>
        </w:rPr>
        <w:t>Real and Personal Property</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ind w:left="1720" w:hanging="646"/>
        <w:spacing w:after="0"/>
        <w:tabs>
          <w:tab w:leader="none" w:pos="172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owns any real property.</w:t>
      </w:r>
    </w:p>
    <w:p>
      <w:pPr>
        <w:spacing w:after="0" w:line="192"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86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spacing w:after="0" w:line="17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17"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1" w:name="page62"/>
    <w:bookmarkEnd w:id="61"/>
    <w:p>
      <w:pPr>
        <w:jc w:val="both"/>
        <w:ind w:firstLine="1074"/>
        <w:spacing w:after="0" w:line="241" w:lineRule="auto"/>
        <w:tabs>
          <w:tab w:leader="none" w:pos="170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spacing w:after="0" w:line="165"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3.19 </w:t>
      </w:r>
      <w:r>
        <w:rPr>
          <w:rFonts w:ascii="Times New Roman" w:cs="Times New Roman" w:eastAsia="Times New Roman" w:hAnsi="Times New Roman"/>
          <w:sz w:val="18"/>
          <w:szCs w:val="18"/>
          <w:b w:val="1"/>
          <w:bCs w:val="1"/>
          <w:u w:val="single" w:color="auto"/>
          <w:color w:val="000000"/>
        </w:rPr>
        <w:t>Transactions with Affiliates</w:t>
      </w:r>
      <w:r>
        <w:rPr>
          <w:rFonts w:ascii="Times New Roman" w:cs="Times New Roman" w:eastAsia="Times New Roman" w:hAnsi="Times New Roman"/>
          <w:sz w:val="18"/>
          <w:szCs w:val="18"/>
          <w:color w:val="000000"/>
        </w:rPr>
        <w:t>. Section 3.19 of the Company Disclosure Schedules sets forth all Contracts between (a) any Group</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on the one hand, and (b) any employee, officer, director, equityholder or Affiliate of any Group Company or any spouse, child or member of the same household of any officer, director or employee of any Group Company or any Affiliate of any Group Company, on the other hand (each Person identified in this clause (b), a “Company Affiliated Party”),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Section 5.1(b) (including as set forth in Section 5.1(b)(i)-(vi) of the Company Disclosure Schedules) or entered into in accordance with Section 5.1(b), (iii) Contracts with respect to a Company Shareholder’s or a holder of Company Equity Award’s status as a holder of Equity Securities of the Company, and (iv) customary director and officer indemnification agreements that have been made available to ARYA.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Section 3.19 (including, for the avoidance of doubt, pursuant to the second sentence of this Section 3.19) are referred to herein as “Company Affiliated Party Transactions”.</w:t>
      </w:r>
    </w:p>
    <w:p>
      <w:pPr>
        <w:spacing w:after="0" w:line="17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3.20</w:t>
      </w:r>
      <w:r>
        <w:rPr>
          <w:sz w:val="20"/>
          <w:szCs w:val="20"/>
          <w:color w:val="auto"/>
        </w:rPr>
        <w:tab/>
      </w:r>
      <w:r>
        <w:rPr>
          <w:rFonts w:ascii="Times New Roman" w:cs="Times New Roman" w:eastAsia="Times New Roman" w:hAnsi="Times New Roman"/>
          <w:sz w:val="14"/>
          <w:szCs w:val="14"/>
          <w:b w:val="1"/>
          <w:bCs w:val="1"/>
          <w:u w:val="single" w:color="auto"/>
          <w:color w:val="auto"/>
        </w:rPr>
        <w:t>Data Privacy and Security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1" w:lineRule="auto"/>
        <w:tabs>
          <w:tab w:leader="none" w:pos="1572"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spacing w:after="0" w:line="166" w:lineRule="exact"/>
        <w:rPr>
          <w:rFonts w:ascii="Times New Roman" w:cs="Times New Roman" w:eastAsia="Times New Roman" w:hAnsi="Times New Roman"/>
          <w:sz w:val="18"/>
          <w:szCs w:val="18"/>
          <w:color w:val="010000"/>
        </w:rPr>
      </w:pPr>
    </w:p>
    <w:p>
      <w:pPr>
        <w:jc w:val="both"/>
        <w:ind w:firstLine="1074"/>
        <w:spacing w:after="0" w:line="257" w:lineRule="auto"/>
        <w:tabs>
          <w:tab w:leader="none" w:pos="1660" w:val="left"/>
        </w:tabs>
        <w:numPr>
          <w:ilvl w:val="1"/>
          <w:numId w:val="4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w:t>
      </w:r>
    </w:p>
    <w:p>
      <w:pPr>
        <w:jc w:val="both"/>
        <w:ind w:firstLine="9"/>
        <w:spacing w:after="0" w:line="236" w:lineRule="auto"/>
        <w:tabs>
          <w:tab w:leader="none" w:pos="2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2" w:name="page63"/>
    <w:bookmarkEnd w:id="62"/>
    <w:p>
      <w:pPr>
        <w:jc w:val="both"/>
        <w:ind w:firstLine="1074"/>
        <w:spacing w:after="0" w:line="236" w:lineRule="auto"/>
        <w:tabs>
          <w:tab w:leader="none" w:pos="1661"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spacing w:after="0" w:line="170"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010000"/>
        </w:rPr>
        <w:t>Section 3.21</w:t>
      </w:r>
      <w:r>
        <w:rPr>
          <w:sz w:val="20"/>
          <w:szCs w:val="20"/>
          <w:color w:val="auto"/>
        </w:rPr>
        <w:tab/>
      </w:r>
      <w:r>
        <w:rPr>
          <w:rFonts w:ascii="Times New Roman" w:cs="Times New Roman" w:eastAsia="Times New Roman" w:hAnsi="Times New Roman"/>
          <w:sz w:val="17"/>
          <w:szCs w:val="17"/>
          <w:b w:val="1"/>
          <w:bCs w:val="1"/>
          <w:u w:val="single" w:color="auto"/>
          <w:color w:val="auto"/>
        </w:rPr>
        <w:t>Compliance with International Trade &amp; Anti-Corruption Laws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65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49"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65"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3.22 </w:t>
      </w:r>
      <w:r>
        <w:rPr>
          <w:rFonts w:ascii="Times New Roman" w:cs="Times New Roman" w:eastAsia="Times New Roman" w:hAnsi="Times New Roman"/>
          <w:sz w:val="18"/>
          <w:szCs w:val="18"/>
          <w:b w:val="1"/>
          <w:bCs w:val="1"/>
          <w:u w:val="single" w:color="auto"/>
          <w:color w:val="000000"/>
        </w:rPr>
        <w:t>Information Supplied</w:t>
      </w:r>
      <w:r>
        <w:rPr>
          <w:rFonts w:ascii="Times New Roman" w:cs="Times New Roman" w:eastAsia="Times New Roman" w:hAnsi="Times New Roman"/>
          <w:sz w:val="18"/>
          <w:szCs w:val="18"/>
          <w:color w:val="000000"/>
        </w:rPr>
        <w:t>. None of the information supplied or to be supplied by or on behalf of the Group Companies expressly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provided, however, notwithstanding the foregoing provisions of this Section 3.22,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 w:name="page64"/>
    <w:bookmarkEnd w:id="63"/>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3.23</w:t>
      </w:r>
      <w:r>
        <w:rPr>
          <w:sz w:val="20"/>
          <w:szCs w:val="20"/>
          <w:color w:val="auto"/>
        </w:rPr>
        <w:tab/>
      </w:r>
      <w:r>
        <w:rPr>
          <w:rFonts w:ascii="Times New Roman" w:cs="Times New Roman" w:eastAsia="Times New Roman" w:hAnsi="Times New Roman"/>
          <w:sz w:val="14"/>
          <w:szCs w:val="14"/>
          <w:b w:val="1"/>
          <w:bCs w:val="1"/>
          <w:u w:val="single" w:color="auto"/>
          <w:color w:val="auto"/>
        </w:rPr>
        <w:t>Regulatory Compliance</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739"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6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572"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spacing w:after="0" w:line="162" w:lineRule="exact"/>
        <w:rPr>
          <w:rFonts w:ascii="Times New Roman" w:cs="Times New Roman" w:eastAsia="Times New Roman" w:hAnsi="Times New Roman"/>
          <w:sz w:val="18"/>
          <w:szCs w:val="18"/>
          <w:color w:val="010000"/>
        </w:rPr>
      </w:pPr>
    </w:p>
    <w:p>
      <w:pPr>
        <w:ind w:right="20" w:firstLine="1074"/>
        <w:spacing w:after="0" w:line="260" w:lineRule="auto"/>
        <w:tabs>
          <w:tab w:leader="none" w:pos="1882"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no Group Company has undergone, or is currently undergoing, any inspection related to any Company Product or any other Governmental Entity investigation under any Public Health Law.</w:t>
      </w:r>
    </w:p>
    <w:p>
      <w:pPr>
        <w:spacing w:after="0" w:line="15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3.24</w:t>
      </w:r>
      <w:r>
        <w:rPr>
          <w:sz w:val="20"/>
          <w:szCs w:val="20"/>
          <w:color w:val="auto"/>
        </w:rPr>
        <w:tab/>
      </w:r>
      <w:r>
        <w:rPr>
          <w:rFonts w:ascii="Times New Roman" w:cs="Times New Roman" w:eastAsia="Times New Roman" w:hAnsi="Times New Roman"/>
          <w:sz w:val="14"/>
          <w:szCs w:val="14"/>
          <w:b w:val="1"/>
          <w:bCs w:val="1"/>
          <w:u w:val="single" w:color="auto"/>
          <w:color w:val="auto"/>
        </w:rPr>
        <w:t>Investigation; No Other Representations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9" w:lineRule="auto"/>
        <w:tabs>
          <w:tab w:leader="none" w:pos="1728"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7"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71"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64" w:name="page65"/>
    <w:bookmarkEnd w:id="64"/>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3.25 </w:t>
      </w:r>
      <w:r>
        <w:rPr>
          <w:rFonts w:ascii="Times New Roman" w:cs="Times New Roman" w:eastAsia="Times New Roman" w:hAnsi="Times New Roman"/>
          <w:sz w:val="18"/>
          <w:szCs w:val="18"/>
          <w:b w:val="1"/>
          <w:bCs w:val="1"/>
          <w:u w:val="single" w:color="auto"/>
          <w:color w:val="000000"/>
        </w:rPr>
        <w:t>EXCLUSIVITY OF REPRESENTATIONS AND WARRANTIES</w:t>
      </w:r>
      <w:r>
        <w:rPr>
          <w:rFonts w:ascii="Times New Roman" w:cs="Times New Roman" w:eastAsia="Times New Roman" w:hAnsi="Times New Roman"/>
          <w:sz w:val="18"/>
          <w:szCs w:val="18"/>
          <w:color w:val="000000"/>
        </w:rPr>
        <w:t>. NOTWITHSTANDING THE DELIVERY OR DISCLOSURE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ARTICLE 3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ARYA PARTIES</w:t>
      </w:r>
    </w:p>
    <w:p>
      <w:pPr>
        <w:spacing w:after="0" w:line="17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 xml:space="preserve">Except (a) as set forth on the ARYA Disclosure Schedules, (which will only qualify the representations and warranties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set forth in or disclosed in the ARYA SEC Reports will qualify, or been deemed to qualify, the representations and warranties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each ARYA Party hereby represents and warrants to the Company, in each case, as of the date of this Agreement and as of the Closing, as follows: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5" w:name="page66"/>
    <w:bookmarkEnd w:id="65"/>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4.1 </w:t>
      </w:r>
      <w:r>
        <w:rPr>
          <w:rFonts w:ascii="Times New Roman" w:cs="Times New Roman" w:eastAsia="Times New Roman" w:hAnsi="Times New Roman"/>
          <w:sz w:val="18"/>
          <w:szCs w:val="18"/>
          <w:b w:val="1"/>
          <w:bCs w:val="1"/>
          <w:u w:val="single" w:color="auto"/>
          <w:color w:val="000000"/>
        </w:rPr>
        <w:t>Organization and Qualification</w:t>
      </w:r>
      <w:r>
        <w:rPr>
          <w:rFonts w:ascii="Times New Roman" w:cs="Times New Roman" w:eastAsia="Times New Roman" w:hAnsi="Times New Roman"/>
          <w:sz w:val="18"/>
          <w:szCs w:val="18"/>
          <w:color w:val="000000"/>
        </w:rPr>
        <w:t>. Each ARYA Party is an exempted company, corporation, limited liability company or other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4.2 </w:t>
      </w:r>
      <w:r>
        <w:rPr>
          <w:rFonts w:ascii="Times New Roman" w:cs="Times New Roman" w:eastAsia="Times New Roman" w:hAnsi="Times New Roman"/>
          <w:sz w:val="17"/>
          <w:szCs w:val="17"/>
          <w:b w:val="1"/>
          <w:bCs w:val="1"/>
          <w:u w:val="single" w:color="auto"/>
          <w:color w:val="000000"/>
        </w:rPr>
        <w:t>Authority</w:t>
      </w:r>
      <w:r>
        <w:rPr>
          <w:rFonts w:ascii="Times New Roman" w:cs="Times New Roman" w:eastAsia="Times New Roman" w:hAnsi="Times New Roman"/>
          <w:sz w:val="17"/>
          <w:szCs w:val="17"/>
          <w:color w:val="000000"/>
        </w:rPr>
        <w:t>. Each ARYA Party has the requisite exempted company, corporate, limited liability company or other similar power and</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Section 5.10 (which,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Section 5.10 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6" w:name="page67"/>
    <w:bookmarkEnd w:id="66"/>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4.3</w:t>
      </w:r>
      <w:r>
        <w:rPr>
          <w:sz w:val="20"/>
          <w:szCs w:val="20"/>
          <w:color w:val="auto"/>
        </w:rPr>
        <w:tab/>
      </w:r>
      <w:r>
        <w:rPr>
          <w:rFonts w:ascii="Times New Roman" w:cs="Times New Roman" w:eastAsia="Times New Roman" w:hAnsi="Times New Roman"/>
          <w:sz w:val="14"/>
          <w:szCs w:val="14"/>
          <w:b w:val="1"/>
          <w:bCs w:val="1"/>
          <w:u w:val="single" w:color="auto"/>
          <w:color w:val="auto"/>
        </w:rPr>
        <w:t>Consents and Requisite Governmental Approvals; No Violations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8" w:lineRule="auto"/>
        <w:tabs>
          <w:tab w:leader="none" w:pos="1495" w:val="left"/>
        </w:tabs>
        <w:numPr>
          <w:ilvl w:val="1"/>
          <w:numId w:val="5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w:t>
      </w:r>
    </w:p>
    <w:p>
      <w:pPr>
        <w:spacing w:after="0" w:line="3" w:lineRule="exact"/>
        <w:rPr>
          <w:rFonts w:ascii="Times New Roman" w:cs="Times New Roman" w:eastAsia="Times New Roman" w:hAnsi="Times New Roman"/>
          <w:sz w:val="17"/>
          <w:szCs w:val="17"/>
          <w:color w:val="010000"/>
        </w:rPr>
      </w:pPr>
    </w:p>
    <w:p>
      <w:pPr>
        <w:ind w:firstLine="9"/>
        <w:spacing w:after="0" w:line="238" w:lineRule="auto"/>
        <w:tabs>
          <w:tab w:leader="none" w:pos="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Certificate of Merger, or (vi) any other consents, approvals, authorizations, designations, declarations, waivers or filings, the absence of which would not have an ARYA Material Adverse Effect. ARYA is its own ultimate parent entity (as such term is defined in the HSR Act).</w:t>
      </w:r>
    </w:p>
    <w:p>
      <w:pPr>
        <w:spacing w:after="0" w:line="168" w:lineRule="exact"/>
        <w:rPr>
          <w:rFonts w:ascii="Times New Roman" w:cs="Times New Roman" w:eastAsia="Times New Roman" w:hAnsi="Times New Roman"/>
          <w:sz w:val="18"/>
          <w:szCs w:val="18"/>
          <w:color w:val="auto"/>
        </w:rPr>
      </w:pPr>
    </w:p>
    <w:p>
      <w:pPr>
        <w:jc w:val="both"/>
        <w:ind w:firstLine="1074"/>
        <w:spacing w:after="0" w:line="236" w:lineRule="auto"/>
        <w:tabs>
          <w:tab w:leader="none" w:pos="1516" w:val="left"/>
        </w:tabs>
        <w:numPr>
          <w:ilvl w:val="1"/>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ARYA Material Adverse Effect.</w:t>
      </w:r>
    </w:p>
    <w:p>
      <w:pPr>
        <w:spacing w:after="0" w:line="167"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4.4 </w:t>
      </w:r>
      <w:r>
        <w:rPr>
          <w:rFonts w:ascii="Times New Roman" w:cs="Times New Roman" w:eastAsia="Times New Roman" w:hAnsi="Times New Roman"/>
          <w:sz w:val="18"/>
          <w:szCs w:val="18"/>
          <w:b w:val="1"/>
          <w:bCs w:val="1"/>
          <w:u w:val="single" w:color="auto"/>
          <w:color w:val="000000"/>
        </w:rPr>
        <w:t>Brokers</w:t>
      </w:r>
      <w:r>
        <w:rPr>
          <w:rFonts w:ascii="Times New Roman" w:cs="Times New Roman" w:eastAsia="Times New Roman" w:hAnsi="Times New Roman"/>
          <w:sz w:val="18"/>
          <w:szCs w:val="18"/>
          <w:color w:val="000000"/>
        </w:rPr>
        <w:t>. Except for fees (including a good faith estimate of the amounts due and payable assuming the Closing occurs) set forth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Section 4.4 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67" w:name="page68"/>
    <w:bookmarkEnd w:id="67"/>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4.5 </w:t>
      </w:r>
      <w:r>
        <w:rPr>
          <w:rFonts w:ascii="Times New Roman" w:cs="Times New Roman" w:eastAsia="Times New Roman" w:hAnsi="Times New Roman"/>
          <w:sz w:val="18"/>
          <w:szCs w:val="18"/>
          <w:b w:val="1"/>
          <w:bCs w:val="1"/>
          <w:u w:val="single" w:color="auto"/>
          <w:color w:val="000000"/>
        </w:rPr>
        <w:t>Information Supplied</w:t>
      </w:r>
      <w:r>
        <w:rPr>
          <w:rFonts w:ascii="Times New Roman" w:cs="Times New Roman" w:eastAsia="Times New Roman" w:hAnsi="Times New Roman"/>
          <w:sz w:val="18"/>
          <w:szCs w:val="18"/>
          <w:color w:val="000000"/>
        </w:rPr>
        <w:t>. None of the information supplied or to be supplied by or on behalf of either ARYA Party expressly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provided, however, notwithstanding the foregoing provisions of this Section 4.5, no representation or warranty is made by either ARYA Party with respect to information or statements made or incorporated by reference in the Registration Statement / Proxy Statement that were not supplied by or on behalf of the ARYA Parties for use therein.</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4.6</w:t>
      </w:r>
      <w:r>
        <w:rPr>
          <w:sz w:val="20"/>
          <w:szCs w:val="20"/>
          <w:color w:val="auto"/>
        </w:rPr>
        <w:tab/>
      </w:r>
      <w:r>
        <w:rPr>
          <w:rFonts w:ascii="Times New Roman" w:cs="Times New Roman" w:eastAsia="Times New Roman" w:hAnsi="Times New Roman"/>
          <w:sz w:val="14"/>
          <w:szCs w:val="14"/>
          <w:b w:val="1"/>
          <w:bCs w:val="1"/>
          <w:u w:val="single" w:color="auto"/>
          <w:color w:val="auto"/>
        </w:rPr>
        <w:t>Capitalization of the ARYA Parties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872" w:val="left"/>
        </w:tabs>
        <w:numPr>
          <w:ilvl w:val="0"/>
          <w:numId w:val="5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Section 4.6(a)</w:t>
      </w:r>
      <w:r>
        <w:rPr>
          <w:rFonts w:ascii="Times New Roman" w:cs="Times New Roman" w:eastAsia="Times New Roman" w:hAnsi="Times New Roman"/>
          <w:sz w:val="17"/>
          <w:szCs w:val="17"/>
          <w:color w:val="auto"/>
        </w:rPr>
        <w:t xml:space="preserve"> 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Times New Roman" w:cs="Times New Roman" w:eastAsia="Times New Roman" w:hAnsi="Times New Roman"/>
          <w:sz w:val="17"/>
          <w:szCs w:val="17"/>
          <w:u w:val="single" w:color="auto"/>
          <w:color w:val="auto"/>
        </w:rPr>
        <w:t>Section 4.6(a)</w:t>
      </w:r>
      <w:r>
        <w:rPr>
          <w:rFonts w:ascii="Times New Roman" w:cs="Times New Roman" w:eastAsia="Times New Roman" w:hAnsi="Times New Roman"/>
          <w:sz w:val="17"/>
          <w:szCs w:val="17"/>
          <w:color w:val="auto"/>
        </w:rPr>
        <w:t xml:space="preserve"> 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spacing w:after="0" w:line="162" w:lineRule="exact"/>
        <w:rPr>
          <w:rFonts w:ascii="Times New Roman" w:cs="Times New Roman" w:eastAsia="Times New Roman" w:hAnsi="Times New Roman"/>
          <w:sz w:val="17"/>
          <w:szCs w:val="17"/>
          <w:color w:val="010000"/>
        </w:rPr>
      </w:pPr>
    </w:p>
    <w:p>
      <w:pPr>
        <w:jc w:val="both"/>
        <w:ind w:firstLine="1074"/>
        <w:spacing w:after="0" w:line="248" w:lineRule="auto"/>
        <w:tabs>
          <w:tab w:leader="none" w:pos="1804" w:val="left"/>
        </w:tabs>
        <w:numPr>
          <w:ilvl w:val="0"/>
          <w:numId w:val="5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and the Company has complied in all respects with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5.1(b)(v)</w:t>
      </w:r>
      <w:r>
        <w:rPr>
          <w:rFonts w:ascii="Times New Roman" w:cs="Times New Roman" w:eastAsia="Times New Roman" w:hAnsi="Times New Roman"/>
          <w:sz w:val="17"/>
          <w:szCs w:val="17"/>
          <w:color w:val="auto"/>
        </w:rPr>
        <w:t xml:space="preserve"> and (B) other than the Rollover Options, any Equity Securities either permitted to be issued or granted pursuant to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xml:space="preserve"> (including as set forth in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xml:space="preserve"> of the ARYA Disclosure Schedules or in accordance with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8" w:name="page69"/>
    <w:bookmarkEnd w:id="68"/>
    <w:p>
      <w:pPr>
        <w:jc w:val="both"/>
        <w:ind w:firstLine="1074"/>
        <w:spacing w:after="0" w:line="234" w:lineRule="auto"/>
        <w:tabs>
          <w:tab w:leader="none" w:pos="1761"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(w) as set forth on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(including as set forth in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of the ARYA Disclosure Schedules) in accordance with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168"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82"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9" w:name="page70"/>
    <w:bookmarkEnd w:id="69"/>
    <w:p>
      <w:pPr>
        <w:jc w:val="both"/>
        <w:ind w:firstLine="1074"/>
        <w:spacing w:after="0" w:line="245" w:lineRule="auto"/>
        <w:tabs>
          <w:tab w:leader="none" w:pos="176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spacing w:after="0" w:line="16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4.7 </w:t>
      </w:r>
      <w:r>
        <w:rPr>
          <w:rFonts w:ascii="Times New Roman" w:cs="Times New Roman" w:eastAsia="Times New Roman" w:hAnsi="Times New Roman"/>
          <w:sz w:val="17"/>
          <w:szCs w:val="17"/>
          <w:b w:val="1"/>
          <w:bCs w:val="1"/>
          <w:u w:val="single" w:color="auto"/>
          <w:color w:val="000000"/>
        </w:rPr>
        <w:t>SEC Filings</w:t>
      </w:r>
      <w:r>
        <w:rPr>
          <w:rFonts w:ascii="Times New Roman" w:cs="Times New Roman" w:eastAsia="Times New Roman" w:hAnsi="Times New Roman"/>
          <w:sz w:val="17"/>
          <w:szCs w:val="17"/>
          <w:color w:val="000000"/>
        </w:rPr>
        <w:t>. ARYA has timely filed or furnished all statements, forms, reports and documents required to be filed or furnished by it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“ARYA SEC Reports”),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“Additional ARYA SEC Reports”).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Section 3.22 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Section 3.22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w:t>
      </w:r>
    </w:p>
    <w:p>
      <w:pPr>
        <w:spacing w:after="0" w:line="37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4.8 </w:t>
      </w:r>
      <w:r>
        <w:rPr>
          <w:rFonts w:ascii="Times New Roman" w:cs="Times New Roman" w:eastAsia="Times New Roman" w:hAnsi="Times New Roman"/>
          <w:sz w:val="18"/>
          <w:szCs w:val="18"/>
          <w:b w:val="1"/>
          <w:bCs w:val="1"/>
          <w:u w:val="single" w:color="auto"/>
          <w:color w:val="000000"/>
        </w:rPr>
        <w:t>Absence of Changes</w:t>
      </w:r>
      <w:r>
        <w:rPr>
          <w:rFonts w:ascii="Times New Roman" w:cs="Times New Roman" w:eastAsia="Times New Roman" w:hAnsi="Times New Roman"/>
          <w:sz w:val="18"/>
          <w:szCs w:val="18"/>
          <w:color w:val="000000"/>
        </w:rPr>
        <w:t>. During the period beginning on March 27, 2020 and ending on the date of this Agreement, no ARYA Material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Adverse Effect has occurred.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0" w:name="page71"/>
    <w:bookmarkEnd w:id="70"/>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4.9</w:t>
      </w:r>
      <w:r>
        <w:rPr>
          <w:sz w:val="20"/>
          <w:szCs w:val="20"/>
          <w:color w:val="auto"/>
        </w:rPr>
        <w:tab/>
      </w:r>
      <w:r>
        <w:rPr>
          <w:rFonts w:ascii="Times New Roman" w:cs="Times New Roman" w:eastAsia="Times New Roman" w:hAnsi="Times New Roman"/>
          <w:sz w:val="14"/>
          <w:szCs w:val="14"/>
          <w:b w:val="1"/>
          <w:bCs w:val="1"/>
          <w:u w:val="single" w:color="auto"/>
          <w:color w:val="auto"/>
        </w:rPr>
        <w:t>Contracts; No Defaults.</w:t>
      </w:r>
    </w:p>
    <w:p>
      <w:pPr>
        <w:spacing w:after="0" w:line="198" w:lineRule="exact"/>
        <w:rPr>
          <w:sz w:val="20"/>
          <w:szCs w:val="20"/>
          <w:color w:val="auto"/>
        </w:rPr>
      </w:pPr>
    </w:p>
    <w:p>
      <w:pPr>
        <w:jc w:val="both"/>
        <w:ind w:firstLine="1074"/>
        <w:spacing w:after="0" w:line="246" w:lineRule="auto"/>
        <w:tabs>
          <w:tab w:leader="none" w:pos="1506"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spacing w:after="0" w:line="162" w:lineRule="exact"/>
        <w:rPr>
          <w:rFonts w:ascii="Times New Roman" w:cs="Times New Roman" w:eastAsia="Times New Roman" w:hAnsi="Times New Roman"/>
          <w:sz w:val="18"/>
          <w:szCs w:val="18"/>
          <w:color w:val="010000"/>
        </w:rPr>
      </w:pPr>
    </w:p>
    <w:p>
      <w:pPr>
        <w:ind w:left="1520" w:hanging="446"/>
        <w:spacing w:after="0"/>
        <w:tabs>
          <w:tab w:leader="none" w:pos="1520" w:val="left"/>
        </w:tabs>
        <w:numPr>
          <w:ilvl w:val="1"/>
          <w:numId w:val="5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Each Contract of a type required to be listed on </w:t>
      </w:r>
      <w:r>
        <w:rPr>
          <w:rFonts w:ascii="Times New Roman" w:cs="Times New Roman" w:eastAsia="Times New Roman" w:hAnsi="Times New Roman"/>
          <w:sz w:val="17"/>
          <w:szCs w:val="17"/>
          <w:u w:val="single" w:color="auto"/>
          <w:color w:val="auto"/>
        </w:rPr>
        <w:t>Section 4.9(a)</w:t>
      </w:r>
      <w:r>
        <w:rPr>
          <w:rFonts w:ascii="Times New Roman" w:cs="Times New Roman" w:eastAsia="Times New Roman" w:hAnsi="Times New Roman"/>
          <w:sz w:val="17"/>
          <w:szCs w:val="17"/>
          <w:color w:val="auto"/>
        </w:rPr>
        <w:t xml:space="preserve"> of the ARYA Disclosure Schedules (each, an “</w:t>
      </w:r>
      <w:r>
        <w:rPr>
          <w:rFonts w:ascii="Times New Roman" w:cs="Times New Roman" w:eastAsia="Times New Roman" w:hAnsi="Times New Roman"/>
          <w:sz w:val="17"/>
          <w:szCs w:val="17"/>
          <w:u w:val="single" w:color="auto"/>
          <w:color w:val="auto"/>
        </w:rPr>
        <w:t>ARYA Material Contract</w:t>
      </w:r>
      <w:r>
        <w:rPr>
          <w:rFonts w:ascii="Times New Roman" w:cs="Times New Roman" w:eastAsia="Times New Roman" w:hAnsi="Times New Roman"/>
          <w:sz w:val="17"/>
          <w:szCs w:val="17"/>
          <w:color w:val="auto"/>
        </w:rPr>
        <w:t>”),</w:t>
      </w:r>
    </w:p>
    <w:p>
      <w:pPr>
        <w:spacing w:after="0" w:line="24" w:lineRule="exact"/>
        <w:rPr>
          <w:rFonts w:ascii="Times New Roman" w:cs="Times New Roman" w:eastAsia="Times New Roman" w:hAnsi="Times New Roman"/>
          <w:sz w:val="17"/>
          <w:szCs w:val="17"/>
          <w:color w:val="010000"/>
        </w:rPr>
      </w:pPr>
    </w:p>
    <w:p>
      <w:pPr>
        <w:jc w:val="both"/>
        <w:ind w:firstLine="9"/>
        <w:spacing w:after="0" w:line="233" w:lineRule="auto"/>
        <w:tabs>
          <w:tab w:leader="none" w:pos="2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spacing w:after="0" w:line="166"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010000"/>
        </w:rPr>
        <w:t>Section 4.10</w:t>
      </w:r>
      <w:r>
        <w:rPr>
          <w:sz w:val="20"/>
          <w:szCs w:val="20"/>
          <w:color w:val="auto"/>
        </w:rPr>
        <w:tab/>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No ARYA Party is an “investment company” within the meaning of the Investment Company Act.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4.11 </w:t>
      </w:r>
      <w:r>
        <w:rPr>
          <w:rFonts w:ascii="Times New Roman" w:cs="Times New Roman" w:eastAsia="Times New Roman" w:hAnsi="Times New Roman"/>
          <w:sz w:val="17"/>
          <w:szCs w:val="17"/>
          <w:b w:val="1"/>
          <w:bCs w:val="1"/>
          <w:u w:val="single" w:color="auto"/>
          <w:color w:val="000000"/>
        </w:rPr>
        <w:t>Trust Account; Financial Ability</w:t>
      </w:r>
      <w:r>
        <w:rPr>
          <w:rFonts w:ascii="Times New Roman" w:cs="Times New Roman" w:eastAsia="Times New Roman" w:hAnsi="Times New Roman"/>
          <w:sz w:val="17"/>
          <w:szCs w:val="17"/>
          <w:color w:val="000000"/>
        </w:rPr>
        <w:t>. As of the date of this Agreement, ARYA has an amount in cash in the Trust Account equal to at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“Trust Agreement”), between ARYA and Continental Stock Transfer &amp; Trust Company, as trustee (the “Trustee”).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71" w:name="page72"/>
    <w:bookmarkEnd w:id="71"/>
    <w:p>
      <w:pPr>
        <w:jc w:val="both"/>
        <w:ind w:firstLine="532"/>
        <w:spacing w:after="0" w:line="249" w:lineRule="auto"/>
        <w:rPr>
          <w:sz w:val="20"/>
          <w:szCs w:val="20"/>
          <w:color w:val="auto"/>
        </w:rPr>
      </w:pPr>
      <w:r>
        <w:rPr>
          <w:rFonts w:ascii="Times New Roman" w:cs="Times New Roman" w:eastAsia="Times New Roman" w:hAnsi="Times New Roman"/>
          <w:sz w:val="17"/>
          <w:szCs w:val="17"/>
          <w:b w:val="1"/>
          <w:bCs w:val="1"/>
          <w:color w:val="010000"/>
        </w:rPr>
        <w:t xml:space="preserve">Section 4.12 </w:t>
      </w:r>
      <w:r>
        <w:rPr>
          <w:rFonts w:ascii="Times New Roman" w:cs="Times New Roman" w:eastAsia="Times New Roman" w:hAnsi="Times New Roman"/>
          <w:sz w:val="17"/>
          <w:szCs w:val="17"/>
          <w:b w:val="1"/>
          <w:bCs w:val="1"/>
          <w:u w:val="single" w:color="auto"/>
          <w:color w:val="000000"/>
        </w:rPr>
        <w:t>Transactions with Affiliates</w:t>
      </w:r>
      <w:r>
        <w:rPr>
          <w:rFonts w:ascii="Times New Roman" w:cs="Times New Roman" w:eastAsia="Times New Roman" w:hAnsi="Times New Roman"/>
          <w:sz w:val="17"/>
          <w:szCs w:val="17"/>
          <w:color w:val="000000"/>
        </w:rPr>
        <w:t>. Section 4.12 of the ARYA Disclosure Schedules sets forth all Contracts between (a) ARYA, on the one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“ARYA Affiliated Party”),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Section 5.11 (including as set forth in Section 5.11(a)-(r) of the ARYA Disclosure Schedules) or entered into in accordance with Section 5.11, (iii) Contracts with respect to a Person’s status as a holder of ARYA Shares and</w:t>
      </w:r>
    </w:p>
    <w:p>
      <w:pPr>
        <w:spacing w:after="0" w:line="1" w:lineRule="exact"/>
        <w:rPr>
          <w:sz w:val="20"/>
          <w:szCs w:val="20"/>
          <w:color w:val="auto"/>
        </w:rPr>
      </w:pPr>
    </w:p>
    <w:p>
      <w:pPr>
        <w:jc w:val="both"/>
        <w:ind w:firstLine="9"/>
        <w:spacing w:after="0" w:line="233" w:lineRule="auto"/>
        <w:tabs>
          <w:tab w:leader="none" w:pos="3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Section 4.12 (including, for the avoidance of doubt, pursuant to the second sentence of this Section 4.12) are referred to herein as “ARYA Affiliated Party Transactions”.</w:t>
      </w:r>
    </w:p>
    <w:p>
      <w:pPr>
        <w:spacing w:after="0" w:line="170"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4.13 </w:t>
      </w:r>
      <w:r>
        <w:rPr>
          <w:rFonts w:ascii="Times New Roman" w:cs="Times New Roman" w:eastAsia="Times New Roman" w:hAnsi="Times New Roman"/>
          <w:sz w:val="18"/>
          <w:szCs w:val="18"/>
          <w:b w:val="1"/>
          <w:bCs w:val="1"/>
          <w:u w:val="single" w:color="auto"/>
          <w:color w:val="000000"/>
        </w:rPr>
        <w:t>Litigation</w:t>
      </w:r>
      <w:r>
        <w:rPr>
          <w:rFonts w:ascii="Times New Roman" w:cs="Times New Roman" w:eastAsia="Times New Roman" w:hAnsi="Times New Roman"/>
          <w:sz w:val="18"/>
          <w:szCs w:val="18"/>
          <w:color w:val="000000"/>
        </w:rPr>
        <w:t>. There is (and since its organization, incorporation or formation, as applicable, there has been) no Proceeding by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counterparty not a Party hereto, pending or, to ARYA’s knowledge, threatened 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2" w:name="page73"/>
    <w:bookmarkEnd w:id="72"/>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4.14 </w:t>
      </w:r>
      <w:r>
        <w:rPr>
          <w:rFonts w:ascii="Times New Roman" w:cs="Times New Roman" w:eastAsia="Times New Roman" w:hAnsi="Times New Roman"/>
          <w:sz w:val="18"/>
          <w:szCs w:val="18"/>
          <w:b w:val="1"/>
          <w:bCs w:val="1"/>
          <w:u w:val="single" w:color="auto"/>
          <w:color w:val="000000"/>
        </w:rPr>
        <w:t>Compliance with Applicable Law</w:t>
      </w:r>
      <w:r>
        <w:rPr>
          <w:rFonts w:ascii="Times New Roman" w:cs="Times New Roman" w:eastAsia="Times New Roman" w:hAnsi="Times New Roman"/>
          <w:sz w:val="18"/>
          <w:szCs w:val="18"/>
          <w:color w:val="000000"/>
        </w:rPr>
        <w:t>. Each ARYA Party (a) is (and since its organization, incorporation or formation, as applicable,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spacing w:after="0" w:line="16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4.15</w:t>
      </w:r>
      <w:r>
        <w:rPr>
          <w:sz w:val="20"/>
          <w:szCs w:val="20"/>
          <w:color w:val="auto"/>
        </w:rPr>
        <w:tab/>
      </w:r>
      <w:r>
        <w:rPr>
          <w:rFonts w:ascii="Times New Roman" w:cs="Times New Roman" w:eastAsia="Times New Roman" w:hAnsi="Times New Roman"/>
          <w:sz w:val="17"/>
          <w:szCs w:val="17"/>
          <w:b w:val="1"/>
          <w:bCs w:val="1"/>
          <w:u w:val="single" w:color="auto"/>
          <w:color w:val="auto"/>
        </w:rPr>
        <w:t>ARYA Party Activities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7" w:lineRule="auto"/>
        <w:tabs>
          <w:tab w:leader="none" w:pos="1761"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spacing w:after="0" w:line="171"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815"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67"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4.16</w:t>
      </w:r>
      <w:r>
        <w:rPr>
          <w:sz w:val="20"/>
          <w:szCs w:val="20"/>
          <w:color w:val="auto"/>
        </w:rPr>
        <w:tab/>
      </w:r>
      <w:r>
        <w:rPr>
          <w:rFonts w:ascii="Times New Roman" w:cs="Times New Roman" w:eastAsia="Times New Roman" w:hAnsi="Times New Roman"/>
          <w:sz w:val="17"/>
          <w:szCs w:val="17"/>
          <w:b w:val="1"/>
          <w:bCs w:val="1"/>
          <w:u w:val="single" w:color="auto"/>
          <w:color w:val="auto"/>
        </w:rPr>
        <w:t>Internal Controls; Listing; Financial Statements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72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3" w:name="page74"/>
    <w:bookmarkEnd w:id="73"/>
    <w:p>
      <w:pPr>
        <w:ind w:left="-9" w:firstLine="1074"/>
        <w:spacing w:after="0" w:line="259" w:lineRule="auto"/>
        <w:tabs>
          <w:tab w:leader="none" w:pos="181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not taken any action prohibited by Section 402 of the Sarbanes-Oxley Act. There are no outstanding loans or other extensions of credit made by ARYA to any executive officer (as defined in Rule 3b-7 under the Exchange Act) or director of ARYA.</w:t>
      </w:r>
    </w:p>
    <w:p>
      <w:pPr>
        <w:spacing w:after="0" w:line="151" w:lineRule="exact"/>
        <w:rPr>
          <w:rFonts w:ascii="Times New Roman" w:cs="Times New Roman" w:eastAsia="Times New Roman" w:hAnsi="Times New Roman"/>
          <w:sz w:val="18"/>
          <w:szCs w:val="18"/>
          <w:color w:val="010000"/>
        </w:rPr>
      </w:pPr>
    </w:p>
    <w:p>
      <w:pPr>
        <w:jc w:val="both"/>
        <w:ind w:left="-9" w:firstLine="1074"/>
        <w:spacing w:after="0" w:line="237" w:lineRule="auto"/>
        <w:tabs>
          <w:tab w:leader="none" w:pos="1752"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Since its initial public offering, except as set forth on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 xml:space="preserve"> of the ARYA Disclosure Schedules, ARYA has complied in all material respects with all applicable listing and corporate 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71" w:lineRule="exact"/>
        <w:rPr>
          <w:rFonts w:ascii="Times New Roman" w:cs="Times New Roman" w:eastAsia="Times New Roman" w:hAnsi="Times New Roman"/>
          <w:sz w:val="18"/>
          <w:szCs w:val="18"/>
          <w:color w:val="010000"/>
        </w:rPr>
      </w:pPr>
    </w:p>
    <w:p>
      <w:pPr>
        <w:jc w:val="both"/>
        <w:ind w:left="-9" w:firstLine="1074"/>
        <w:spacing w:after="0" w:line="205" w:lineRule="exact"/>
        <w:tabs>
          <w:tab w:leader="none" w:pos="179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8"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8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spacing w:after="0" w:line="167" w:lineRule="exact"/>
        <w:rPr>
          <w:rFonts w:ascii="Times New Roman" w:cs="Times New Roman" w:eastAsia="Times New Roman" w:hAnsi="Times New Roman"/>
          <w:sz w:val="18"/>
          <w:szCs w:val="18"/>
          <w:color w:val="010000"/>
        </w:rPr>
      </w:pPr>
    </w:p>
    <w:p>
      <w:pPr>
        <w:jc w:val="both"/>
        <w:ind w:left="-9" w:firstLine="1074"/>
        <w:spacing w:after="0" w:line="257" w:lineRule="auto"/>
        <w:tabs>
          <w:tab w:leader="none" w:pos="1810" w:val="left"/>
        </w:tabs>
        <w:numPr>
          <w:ilvl w:val="1"/>
          <w:numId w:val="6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w:t>
      </w:r>
    </w:p>
    <w:p>
      <w:pPr>
        <w:ind w:left="-9" w:right="20" w:firstLine="9"/>
        <w:spacing w:after="0" w:line="238" w:lineRule="auto"/>
        <w:tabs>
          <w:tab w:leader="none" w:pos="3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whether or not material, that involves management or other employees of ARYA who have a significant role in the internal controls over financial reporting of ARYA.</w:t>
      </w:r>
    </w:p>
    <w:p>
      <w:pPr>
        <w:spacing w:after="0" w:line="3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708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74" w:name="page75"/>
    <w:bookmarkEnd w:id="74"/>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4.17 </w:t>
      </w:r>
      <w:r>
        <w:rPr>
          <w:rFonts w:ascii="Times New Roman" w:cs="Times New Roman" w:eastAsia="Times New Roman" w:hAnsi="Times New Roman"/>
          <w:sz w:val="18"/>
          <w:szCs w:val="18"/>
          <w:b w:val="1"/>
          <w:bCs w:val="1"/>
          <w:u w:val="single" w:color="auto"/>
          <w:color w:val="000000"/>
        </w:rPr>
        <w:t>No Undisclosed Liabilities</w:t>
      </w:r>
      <w:r>
        <w:rPr>
          <w:rFonts w:ascii="Times New Roman" w:cs="Times New Roman" w:eastAsia="Times New Roman" w:hAnsi="Times New Roman"/>
          <w:sz w:val="18"/>
          <w:szCs w:val="18"/>
          <w:color w:val="000000"/>
        </w:rPr>
        <w:t>. Except for the Liabilities (a) set forth in Section 4.17 of the ARYA Disclosure Schedules, (b) ARYA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Section 4.17 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 (e) set forth on (or in the notes to) the balance sheet of ARYA contained in the Quarterly Report on Form 10-Q, filed with the SEC on November 13, 2020 (the “Latest ARYA Balance Sheet”),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Section 5.11 (including as set forth in Section 5.11(a)-(r) of the ARYA Disclosure Schedules), or incurred in accordance with Section 5.11 or (h) that are not, and would not reasonably be expected to be, individually or in the aggregate, material to the ARYA Parties, taken as a whole, the ARYA Parties do not have any Liabilities.</w:t>
      </w:r>
    </w:p>
    <w:p>
      <w:pPr>
        <w:spacing w:after="0" w:line="173"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4.18 </w:t>
      </w:r>
      <w:r>
        <w:rPr>
          <w:rFonts w:ascii="Times New Roman" w:cs="Times New Roman" w:eastAsia="Times New Roman" w:hAnsi="Times New Roman"/>
          <w:sz w:val="18"/>
          <w:szCs w:val="18"/>
          <w:b w:val="1"/>
          <w:bCs w:val="1"/>
          <w:u w:val="single" w:color="auto"/>
          <w:color w:val="000000"/>
        </w:rPr>
        <w:t>Employees</w:t>
      </w:r>
      <w:r>
        <w:rPr>
          <w:rFonts w:ascii="Times New Roman" w:cs="Times New Roman" w:eastAsia="Times New Roman" w:hAnsi="Times New Roman"/>
          <w:sz w:val="18"/>
          <w:szCs w:val="18"/>
          <w:color w:val="000000"/>
        </w:rPr>
        <w:t>. Other than any officers as described in the ARYA SEC Reports, ARYA and Merger Sub have never employed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employees or retained any contractors. ARYA and Merger Sub have never 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409A(a)(1)(B) of the Code. There is no contract, agreement, plan or arrangement to which ARYA or Merger Sub is a party which requires payment by any party of a Tax gross-up or Tax reimbursement payment to any person, including under Section 4999 or 409A of the Code.</w:t>
      </w:r>
    </w:p>
    <w:p>
      <w:pPr>
        <w:spacing w:after="0" w:line="180"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4.19</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6" w:lineRule="auto"/>
        <w:tabs>
          <w:tab w:leader="none" w:pos="1729"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5" w:name="page76"/>
    <w:bookmarkEnd w:id="75"/>
    <w:p>
      <w:pPr>
        <w:jc w:val="both"/>
        <w:ind w:firstLine="1074"/>
        <w:spacing w:after="0" w:line="230" w:lineRule="exact"/>
        <w:tabs>
          <w:tab w:leader="none" w:pos="1704" w:val="left"/>
        </w:tabs>
        <w:numPr>
          <w:ilvl w:val="0"/>
          <w:numId w:val="6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w:t>
      </w:r>
    </w:p>
    <w:p>
      <w:pPr>
        <w:spacing w:after="0" w:line="149" w:lineRule="exact"/>
        <w:rPr>
          <w:rFonts w:ascii="Times New Roman" w:cs="Times New Roman" w:eastAsia="Times New Roman" w:hAnsi="Times New Roman"/>
          <w:sz w:val="17"/>
          <w:szCs w:val="17"/>
          <w:color w:val="010000"/>
        </w:rPr>
      </w:pPr>
    </w:p>
    <w:p>
      <w:pPr>
        <w:ind w:firstLine="1074"/>
        <w:spacing w:after="0" w:line="260" w:lineRule="auto"/>
        <w:tabs>
          <w:tab w:leader="none" w:pos="1828"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71"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61"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spacing w:after="0" w:line="162" w:lineRule="exact"/>
        <w:rPr>
          <w:rFonts w:ascii="Times New Roman" w:cs="Times New Roman" w:eastAsia="Times New Roman" w:hAnsi="Times New Roman"/>
          <w:sz w:val="18"/>
          <w:szCs w:val="18"/>
          <w:color w:val="010000"/>
        </w:rPr>
      </w:pPr>
    </w:p>
    <w:p>
      <w:pPr>
        <w:ind w:firstLine="1074"/>
        <w:spacing w:after="0" w:line="260" w:lineRule="auto"/>
        <w:tabs>
          <w:tab w:leader="none" w:pos="1653"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spacing w:after="0" w:line="150" w:lineRule="exact"/>
        <w:rPr>
          <w:rFonts w:ascii="Times New Roman" w:cs="Times New Roman" w:eastAsia="Times New Roman" w:hAnsi="Times New Roman"/>
          <w:sz w:val="18"/>
          <w:szCs w:val="18"/>
          <w:color w:val="010000"/>
        </w:rPr>
      </w:pPr>
    </w:p>
    <w:p>
      <w:pPr>
        <w:ind w:left="1680" w:hanging="606"/>
        <w:spacing w:after="0"/>
        <w:tabs>
          <w:tab w:leader="none" w:pos="1680"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ARYA Party is tax resident only in its jurisdiction of organization, incorporation or formation, as applicable.</w:t>
      </w:r>
    </w:p>
    <w:p>
      <w:pPr>
        <w:spacing w:after="0" w:line="19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38"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spacing w:after="0" w:line="165"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4.20 </w:t>
      </w:r>
      <w:r>
        <w:rPr>
          <w:rFonts w:ascii="Times New Roman" w:cs="Times New Roman" w:eastAsia="Times New Roman" w:hAnsi="Times New Roman"/>
          <w:sz w:val="18"/>
          <w:szCs w:val="18"/>
          <w:b w:val="1"/>
          <w:bCs w:val="1"/>
          <w:u w:val="single" w:color="auto"/>
          <w:color w:val="000000"/>
        </w:rPr>
        <w:t>CFIUS Foreign Person Status</w:t>
      </w:r>
      <w:r>
        <w:rPr>
          <w:rFonts w:ascii="Times New Roman" w:cs="Times New Roman" w:eastAsia="Times New Roman" w:hAnsi="Times New Roman"/>
          <w:sz w:val="18"/>
          <w:szCs w:val="18"/>
          <w:color w:val="000000"/>
        </w:rPr>
        <w:t>. No ARYA Party is a “foreign person” or a “foreign entity,” as defined in Section 721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Defense Production Act of 1950, including all implementing regulations thereof (the “DPA”).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w:t>
      </w:r>
    </w:p>
    <w:p>
      <w:pPr>
        <w:spacing w:after="0" w:line="3" w:lineRule="exact"/>
        <w:rPr>
          <w:sz w:val="20"/>
          <w:szCs w:val="20"/>
          <w:color w:val="auto"/>
        </w:rPr>
      </w:pPr>
    </w:p>
    <w:p>
      <w:pPr>
        <w:jc w:val="both"/>
        <w:ind w:firstLine="9"/>
        <w:spacing w:after="0" w:line="233" w:lineRule="auto"/>
        <w:tabs>
          <w:tab w:leader="none" w:pos="2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or observer rights on the Board 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6" w:name="page77"/>
    <w:bookmarkEnd w:id="76"/>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4.21</w:t>
      </w:r>
      <w:r>
        <w:rPr>
          <w:sz w:val="20"/>
          <w:szCs w:val="20"/>
          <w:color w:val="auto"/>
        </w:rPr>
        <w:tab/>
      </w:r>
      <w:r>
        <w:rPr>
          <w:rFonts w:ascii="Times New Roman" w:cs="Times New Roman" w:eastAsia="Times New Roman" w:hAnsi="Times New Roman"/>
          <w:sz w:val="14"/>
          <w:szCs w:val="14"/>
          <w:b w:val="1"/>
          <w:bCs w:val="1"/>
          <w:u w:val="single" w:color="auto"/>
          <w:color w:val="auto"/>
        </w:rPr>
        <w:t>Compliance with International Trade &amp; Anti-Corruption Laws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61"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spacing w:after="0" w:line="172" w:lineRule="exact"/>
        <w:rPr>
          <w:rFonts w:ascii="Times New Roman" w:cs="Times New Roman" w:eastAsia="Times New Roman" w:hAnsi="Times New Roman"/>
          <w:sz w:val="18"/>
          <w:szCs w:val="18"/>
          <w:color w:val="010000"/>
        </w:rPr>
      </w:pPr>
    </w:p>
    <w:p>
      <w:pPr>
        <w:jc w:val="both"/>
        <w:ind w:firstLine="1074"/>
        <w:spacing w:after="0" w:line="260" w:lineRule="auto"/>
        <w:tabs>
          <w:tab w:leader="none" w:pos="1716" w:val="left"/>
        </w:tabs>
        <w:numPr>
          <w:ilvl w:val="0"/>
          <w:numId w:val="6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49"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4.22 </w:t>
      </w:r>
      <w:r>
        <w:rPr>
          <w:rFonts w:ascii="Times New Roman" w:cs="Times New Roman" w:eastAsia="Times New Roman" w:hAnsi="Times New Roman"/>
          <w:sz w:val="18"/>
          <w:szCs w:val="18"/>
          <w:b w:val="1"/>
          <w:bCs w:val="1"/>
          <w:u w:val="single" w:color="auto"/>
          <w:color w:val="000000"/>
        </w:rPr>
        <w:t>Change of Control Payments</w:t>
      </w:r>
      <w:r>
        <w:rPr>
          <w:rFonts w:ascii="Times New Roman" w:cs="Times New Roman" w:eastAsia="Times New Roman" w:hAnsi="Times New Roman"/>
          <w:sz w:val="18"/>
          <w:szCs w:val="18"/>
          <w:color w:val="000000"/>
        </w:rPr>
        <w:t>. Section 4.22 of the ARYA Disclosure Schedules sets forth a list of all ARYA Change of Control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Payments as of the date of this Agreement.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77" w:name="page78"/>
    <w:bookmarkEnd w:id="77"/>
    <w:p>
      <w:pPr>
        <w:jc w:val="both"/>
        <w:ind w:firstLine="532"/>
        <w:spacing w:after="0" w:line="232" w:lineRule="auto"/>
        <w:rPr>
          <w:sz w:val="20"/>
          <w:szCs w:val="20"/>
          <w:color w:val="auto"/>
        </w:rPr>
      </w:pPr>
      <w:r>
        <w:rPr>
          <w:rFonts w:ascii="Times New Roman" w:cs="Times New Roman" w:eastAsia="Times New Roman" w:hAnsi="Times New Roman"/>
          <w:sz w:val="18"/>
          <w:szCs w:val="18"/>
          <w:b w:val="1"/>
          <w:bCs w:val="1"/>
          <w:color w:val="010000"/>
        </w:rPr>
        <w:t xml:space="preserve">Section 4.23 </w:t>
      </w:r>
      <w:r>
        <w:rPr>
          <w:rFonts w:ascii="Times New Roman" w:cs="Times New Roman" w:eastAsia="Times New Roman" w:hAnsi="Times New Roman"/>
          <w:sz w:val="18"/>
          <w:szCs w:val="18"/>
          <w:b w:val="1"/>
          <w:bCs w:val="1"/>
          <w:u w:val="single" w:color="auto"/>
          <w:color w:val="000000"/>
        </w:rPr>
        <w:t>PIPE Financing</w:t>
      </w:r>
      <w:r>
        <w:rPr>
          <w:rFonts w:ascii="Times New Roman" w:cs="Times New Roman" w:eastAsia="Times New Roman" w:hAnsi="Times New Roman"/>
          <w:sz w:val="18"/>
          <w:szCs w:val="18"/>
          <w:color w:val="000000"/>
        </w:rPr>
        <w:t>. ARYA has delivered to the Company a true, correct and complete copy of the fully executed PIPE Subscription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Agreements as in effect as of the date hereof, each of which is substantially in the form as Exhibit A-1, in the case of the Perceptive PIPE Investor, or Exhibit A-2,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Article 3 in all material respects and, with respect to each PIPE Investor (other than the Perceptive PIPE Investor), the representations and 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89"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4.24</w:t>
      </w:r>
      <w:r>
        <w:rPr>
          <w:sz w:val="20"/>
          <w:szCs w:val="20"/>
          <w:color w:val="auto"/>
        </w:rPr>
        <w:tab/>
      </w:r>
      <w:r>
        <w:rPr>
          <w:rFonts w:ascii="Times New Roman" w:cs="Times New Roman" w:eastAsia="Times New Roman" w:hAnsi="Times New Roman"/>
          <w:sz w:val="17"/>
          <w:szCs w:val="17"/>
          <w:b w:val="1"/>
          <w:bCs w:val="1"/>
          <w:u w:val="single" w:color="auto"/>
          <w:color w:val="auto"/>
        </w:rPr>
        <w:t>Investigation; No Other Representations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56" w:lineRule="auto"/>
        <w:tabs>
          <w:tab w:leader="none" w:pos="1717" w:val="left"/>
        </w:tabs>
        <w:numPr>
          <w:ilvl w:val="0"/>
          <w:numId w:val="6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8" w:name="page79"/>
    <w:bookmarkEnd w:id="78"/>
    <w:p>
      <w:pPr>
        <w:jc w:val="both"/>
        <w:ind w:firstLine="1074"/>
        <w:spacing w:after="0" w:line="236" w:lineRule="auto"/>
        <w:tabs>
          <w:tab w:leader="none" w:pos="1682"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4.25 </w:t>
      </w:r>
      <w:r>
        <w:rPr>
          <w:rFonts w:ascii="Times New Roman" w:cs="Times New Roman" w:eastAsia="Times New Roman" w:hAnsi="Times New Roman"/>
          <w:sz w:val="17"/>
          <w:szCs w:val="17"/>
          <w:b w:val="1"/>
          <w:bCs w:val="1"/>
          <w:u w:val="single" w:color="auto"/>
          <w:color w:val="000000"/>
        </w:rPr>
        <w:t>EXCLUSIVITY OF REPRESENTATIONS AND WARRANTIES</w:t>
      </w:r>
      <w:r>
        <w:rPr>
          <w:rFonts w:ascii="Times New Roman" w:cs="Times New Roman" w:eastAsia="Times New Roman" w:hAnsi="Times New Roman"/>
          <w:sz w:val="17"/>
          <w:szCs w:val="17"/>
          <w:color w:val="000000"/>
        </w:rPr>
        <w:t>. NOTWITHSTANDING THE DELIVERY OR DISCLOSURE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TO THE COMPANY OR ANY OF ITS REPRESENTATIVES OF ANY DOCUMENTATION OR OTHER INFORMATION (INCLUDING ANY FINANCIAL PROJECTIONS OR OTHER SUPPLEMENTAL DATA), EXCEPT AS OTHERWISE EXPRESSLY SET FORTH IN THIS </w:t>
      </w:r>
      <w:r>
        <w:rPr>
          <w:rFonts w:ascii="Times New Roman" w:cs="Times New Roman" w:eastAsia="Times New Roman" w:hAnsi="Times New Roman"/>
          <w:sz w:val="17"/>
          <w:szCs w:val="17"/>
          <w:u w:val="single" w:color="auto"/>
          <w:color w:val="000000"/>
        </w:rPr>
        <w:t>ARTICLE 4</w:t>
      </w:r>
      <w:r>
        <w:rPr>
          <w:rFonts w:ascii="Times New Roman" w:cs="Times New Roman" w:eastAsia="Times New Roman" w:hAnsi="Times New Roman"/>
          <w:sz w:val="17"/>
          <w:szCs w:val="17"/>
          <w:color w:val="000000"/>
        </w:rPr>
        <w:t xml:space="preserve"> 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7"/>
          <w:szCs w:val="17"/>
          <w:u w:val="single" w:color="auto"/>
          <w:color w:val="000000"/>
        </w:rPr>
        <w:t>ARTICLE 4</w:t>
      </w:r>
      <w:r>
        <w:rPr>
          <w:rFonts w:ascii="Times New Roman" w:cs="Times New Roman" w:eastAsia="Times New Roman" w:hAnsi="Times New Roman"/>
          <w:sz w:val="17"/>
          <w:szCs w:val="17"/>
          <w:color w:val="000000"/>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010000"/>
        </w:rPr>
        <w:t>ARTICLE 5</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9"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5.1</w:t>
      </w:r>
      <w:r>
        <w:rPr>
          <w:sz w:val="20"/>
          <w:szCs w:val="20"/>
          <w:color w:val="auto"/>
        </w:rPr>
        <w:tab/>
      </w:r>
      <w:r>
        <w:rPr>
          <w:rFonts w:ascii="Times New Roman" w:cs="Times New Roman" w:eastAsia="Times New Roman" w:hAnsi="Times New Roman"/>
          <w:sz w:val="14"/>
          <w:szCs w:val="14"/>
          <w:b w:val="1"/>
          <w:bCs w:val="1"/>
          <w:u w:val="single" w:color="auto"/>
          <w:color w:val="auto"/>
        </w:rPr>
        <w:t>Conduct of Business of the Company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717"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spacing w:after="0" w:line="171"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26"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ARYA (such consent, other than in the case of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5.1(b)(xvi)</w:t>
      </w:r>
      <w:r>
        <w:rPr>
          <w:rFonts w:ascii="Times New Roman" w:cs="Times New Roman" w:eastAsia="Times New Roman" w:hAnsi="Times New Roman"/>
          <w:sz w:val="18"/>
          <w:szCs w:val="18"/>
          <w:color w:val="auto"/>
        </w:rPr>
        <w:t xml:space="preserve"> (to the extent related to any of the foregoing) not to be unreasonably withheld, conditioned or delayed), not do any of the following:</w:t>
      </w:r>
    </w:p>
    <w:p>
      <w:pPr>
        <w:spacing w:after="0" w:line="171" w:lineRule="exact"/>
        <w:rPr>
          <w:rFonts w:ascii="Times New Roman" w:cs="Times New Roman" w:eastAsia="Times New Roman" w:hAnsi="Times New Roman"/>
          <w:sz w:val="18"/>
          <w:szCs w:val="18"/>
          <w:color w:val="010000"/>
        </w:rPr>
      </w:pPr>
    </w:p>
    <w:p>
      <w:pPr>
        <w:jc w:val="both"/>
        <w:ind w:left="1080" w:firstLine="526"/>
        <w:spacing w:after="0" w:line="241" w:lineRule="auto"/>
        <w:tabs>
          <w:tab w:leader="none" w:pos="2168"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166"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151"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62" w:lineRule="exact"/>
        <w:rPr>
          <w:rFonts w:ascii="Times New Roman" w:cs="Times New Roman" w:eastAsia="Times New Roman" w:hAnsi="Times New Roman"/>
          <w:sz w:val="18"/>
          <w:szCs w:val="18"/>
          <w:color w:val="010000"/>
        </w:rPr>
      </w:pPr>
    </w:p>
    <w:p>
      <w:pPr>
        <w:ind w:left="1080" w:firstLine="526"/>
        <w:spacing w:after="0" w:line="260" w:lineRule="auto"/>
        <w:tabs>
          <w:tab w:leader="none" w:pos="2211"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Shareholders Agreement;</w:t>
      </w:r>
    </w:p>
    <w:p>
      <w:pPr>
        <w:spacing w:after="0" w:line="150"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13"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sell, assign, abandon, lease, exclusively license or otherwise dispose of any material assets or properties of the Group Companies, other than inventory or obsolete equipment in the ordinary course of business, or (B) subject any material assets or properties of the Group Companies to any Lien (other than any Permitted Liens);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0" w:name="page81"/>
    <w:bookmarkEnd w:id="80"/>
    <w:p>
      <w:pPr>
        <w:jc w:val="both"/>
        <w:ind w:left="-60" w:firstLine="526"/>
        <w:spacing w:after="0" w:line="237" w:lineRule="auto"/>
        <w:tabs>
          <w:tab w:leader="none" w:pos="979"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spacing w:after="0" w:line="170" w:lineRule="exact"/>
        <w:rPr>
          <w:rFonts w:ascii="Times New Roman" w:cs="Times New Roman" w:eastAsia="Times New Roman" w:hAnsi="Times New Roman"/>
          <w:sz w:val="18"/>
          <w:szCs w:val="18"/>
          <w:color w:val="010000"/>
        </w:rPr>
      </w:pPr>
    </w:p>
    <w:p>
      <w:pPr>
        <w:ind w:left="940" w:hanging="474"/>
        <w:spacing w:after="0"/>
        <w:tabs>
          <w:tab w:leader="none" w:pos="94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incur, create or assume any Indebtedness, other than ordinary course trade payables, or guarantee any Liability of any Person;</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36" w:lineRule="auto"/>
        <w:tabs>
          <w:tab w:leader="none" w:pos="1033"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amend or modify, in either case in a manner materially adverse to the Company, or terminate any Material Contract of the type described in </w:t>
      </w:r>
      <w:r>
        <w:rPr>
          <w:rFonts w:ascii="Times New Roman" w:cs="Times New Roman" w:eastAsia="Times New Roman" w:hAnsi="Times New Roman"/>
          <w:sz w:val="18"/>
          <w:szCs w:val="18"/>
          <w:u w:val="single" w:color="auto"/>
          <w:color w:val="auto"/>
        </w:rPr>
        <w:t>Section 3.7(a)(iv)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3.7(a)(xi)</w:t>
      </w:r>
      <w:r>
        <w:rPr>
          <w:rFonts w:ascii="Times New Roman" w:cs="Times New Roman" w:eastAsia="Times New Roman" w:hAnsi="Times New Roman"/>
          <w:sz w:val="18"/>
          <w:szCs w:val="18"/>
          <w:color w:val="auto"/>
        </w:rPr>
        <w:t xml:space="preserve"> (such types of Material Contracts, collectively, the “</w:t>
      </w:r>
      <w:r>
        <w:rPr>
          <w:rFonts w:ascii="Times New Roman" w:cs="Times New Roman" w:eastAsia="Times New Roman" w:hAnsi="Times New Roman"/>
          <w:sz w:val="18"/>
          <w:szCs w:val="18"/>
          <w:u w:val="single" w:color="auto"/>
          <w:color w:val="auto"/>
        </w:rPr>
        <w:t>Designated Material Contracts</w:t>
      </w:r>
      <w:r>
        <w:rPr>
          <w:rFonts w:ascii="Times New Roman" w:cs="Times New Roman" w:eastAsia="Times New Roman" w:hAnsi="Times New Roman"/>
          <w:sz w:val="18"/>
          <w:szCs w:val="18"/>
          <w:color w:val="auto"/>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spacing w:after="0" w:line="168"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71"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062"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3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81" w:name="page82"/>
    <w:bookmarkEnd w:id="81"/>
    <w:p>
      <w:pPr>
        <w:jc w:val="both"/>
        <w:ind w:left="-60" w:firstLine="526"/>
        <w:spacing w:after="0"/>
        <w:tabs>
          <w:tab w:leader="none" w:pos="91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69" w:lineRule="exact"/>
        <w:rPr>
          <w:rFonts w:ascii="Times New Roman" w:cs="Times New Roman" w:eastAsia="Times New Roman" w:hAnsi="Times New Roman"/>
          <w:sz w:val="18"/>
          <w:szCs w:val="18"/>
          <w:color w:val="010000"/>
        </w:rPr>
      </w:pPr>
    </w:p>
    <w:p>
      <w:pPr>
        <w:jc w:val="both"/>
        <w:ind w:left="-60" w:right="20" w:firstLine="526"/>
        <w:spacing w:after="0" w:line="246" w:lineRule="auto"/>
        <w:tabs>
          <w:tab w:leader="none" w:pos="1006"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2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162" w:lineRule="exact"/>
        <w:rPr>
          <w:rFonts w:ascii="Times New Roman" w:cs="Times New Roman" w:eastAsia="Times New Roman" w:hAnsi="Times New Roman"/>
          <w:sz w:val="18"/>
          <w:szCs w:val="18"/>
          <w:color w:val="010000"/>
        </w:rPr>
      </w:pPr>
    </w:p>
    <w:p>
      <w:pPr>
        <w:ind w:left="-60" w:firstLine="526"/>
        <w:spacing w:after="0" w:line="260" w:lineRule="auto"/>
        <w:tabs>
          <w:tab w:leader="none" w:pos="108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change any Group Company’s methods of accounting in any material respect, other than changes that are made in accordance with PCAOB standards;</w:t>
      </w:r>
    </w:p>
    <w:p>
      <w:pPr>
        <w:spacing w:after="0" w:line="150"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15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1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any material Company Change of Control Payment that is not set forth on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of the Company Disclosure Schedules or make any material payment with respect to a Company Affiliated Party Transaction that is not set forth on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of the Company Disclosure Schedules; or</w:t>
      </w:r>
    </w:p>
    <w:p>
      <w:pPr>
        <w:spacing w:after="0" w:line="162" w:lineRule="exact"/>
        <w:rPr>
          <w:rFonts w:ascii="Times New Roman" w:cs="Times New Roman" w:eastAsia="Times New Roman" w:hAnsi="Times New Roman"/>
          <w:sz w:val="18"/>
          <w:szCs w:val="18"/>
          <w:color w:val="010000"/>
        </w:rPr>
      </w:pPr>
    </w:p>
    <w:p>
      <w:pPr>
        <w:ind w:left="1040" w:hanging="574"/>
        <w:spacing w:after="0"/>
        <w:tabs>
          <w:tab w:leader="none" w:pos="104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82" w:name="page83"/>
    <w:bookmarkEnd w:id="82"/>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5.1(b)(xvi)</w:t>
      </w:r>
      <w:r>
        <w:rPr>
          <w:rFonts w:ascii="Times New Roman" w:cs="Times New Roman" w:eastAsia="Times New Roman" w:hAnsi="Times New Roman"/>
          <w:sz w:val="18"/>
          <w:szCs w:val="18"/>
          <w:color w:val="auto"/>
        </w:rPr>
        <w:t xml:space="preserve"> (to the extent related to any of the foregoing).</w:t>
      </w:r>
    </w:p>
    <w:p>
      <w:pPr>
        <w:spacing w:after="0" w:line="167"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5.2</w:t>
      </w:r>
      <w:r>
        <w:rPr>
          <w:sz w:val="20"/>
          <w:szCs w:val="20"/>
          <w:color w:val="auto"/>
        </w:rPr>
        <w:tab/>
      </w:r>
      <w:r>
        <w:rPr>
          <w:rFonts w:ascii="Times New Roman" w:cs="Times New Roman" w:eastAsia="Times New Roman" w:hAnsi="Times New Roman"/>
          <w:sz w:val="17"/>
          <w:szCs w:val="17"/>
          <w:b w:val="1"/>
          <w:bCs w:val="1"/>
          <w:u w:val="single" w:color="auto"/>
          <w:color w:val="auto"/>
        </w:rPr>
        <w:t>Efforts to Consummate; Transaction Litigation</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2" w:lineRule="auto"/>
        <w:tabs>
          <w:tab w:leader="none" w:pos="1739"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the terms and conditions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by using reasonable best efforts with respect to the satisfaction, but not waiver, of the closing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 (ii) 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p>
      <w:pPr>
        <w:jc w:val="both"/>
        <w:ind w:firstLine="1074"/>
        <w:spacing w:after="0" w:line="236" w:lineRule="auto"/>
        <w:tabs>
          <w:tab w:leader="none" w:pos="184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spacing w:after="0" w:line="167"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3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that is intended to specifically address any subject matter, then such other covenant or agreement shall govern and control solely to the extent of such conflict.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4" w:name="page85"/>
    <w:bookmarkEnd w:id="84"/>
    <w:p>
      <w:pPr>
        <w:jc w:val="both"/>
        <w:ind w:firstLine="1074"/>
        <w:spacing w:after="0" w:line="234" w:lineRule="auto"/>
        <w:tabs>
          <w:tab w:leader="none" w:pos="1844"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5.3</w:t>
      </w:r>
      <w:r>
        <w:rPr>
          <w:sz w:val="20"/>
          <w:szCs w:val="20"/>
          <w:color w:val="auto"/>
        </w:rPr>
        <w:tab/>
      </w:r>
      <w:r>
        <w:rPr>
          <w:rFonts w:ascii="Times New Roman" w:cs="Times New Roman" w:eastAsia="Times New Roman" w:hAnsi="Times New Roman"/>
          <w:sz w:val="14"/>
          <w:szCs w:val="14"/>
          <w:b w:val="1"/>
          <w:bCs w:val="1"/>
          <w:u w:val="single" w:color="auto"/>
          <w:color w:val="auto"/>
        </w:rPr>
        <w:t>Confidentiality and Access to Information</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927"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71"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638"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to provide, or caused to be provided, to ARYA or any of its Representatives any information (i) if and to the extent doing so would (A) 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5" w:name="page86"/>
    <w:bookmarkEnd w:id="85"/>
    <w:p>
      <w:pPr>
        <w:jc w:val="both"/>
        <w:ind w:firstLine="1074"/>
        <w:spacing w:after="0" w:line="234" w:lineRule="auto"/>
        <w:tabs>
          <w:tab w:leader="none" w:pos="1639"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Date or the termination of this Agreement in accordance with its terms, upon reasonable advance written notice, ARYA shall 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ARYA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75"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5.4</w:t>
      </w:r>
      <w:r>
        <w:rPr>
          <w:sz w:val="20"/>
          <w:szCs w:val="20"/>
          <w:color w:val="auto"/>
        </w:rPr>
        <w:tab/>
      </w:r>
      <w:r>
        <w:rPr>
          <w:rFonts w:ascii="Times New Roman" w:cs="Times New Roman" w:eastAsia="Times New Roman" w:hAnsi="Times New Roman"/>
          <w:sz w:val="14"/>
          <w:szCs w:val="14"/>
          <w:b w:val="1"/>
          <w:bCs w:val="1"/>
          <w:u w:val="single" w:color="auto"/>
          <w:color w:val="auto"/>
        </w:rPr>
        <w:t>Public Announcements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3" w:lineRule="auto"/>
        <w:tabs>
          <w:tab w:leader="none" w:pos="1572"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6" w:name="page87"/>
    <w:bookmarkEnd w:id="86"/>
    <w:p>
      <w:pPr>
        <w:jc w:val="both"/>
        <w:ind w:firstLine="1074"/>
        <w:spacing w:after="0" w:line="248" w:lineRule="auto"/>
        <w:tabs>
          <w:tab w:leader="none" w:pos="1733" w:val="left"/>
        </w:tabs>
        <w:numPr>
          <w:ilvl w:val="0"/>
          <w:numId w:val="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initial press release concerning this Agreement and the transactions contemplated hereby shall be a joint press release in the form agreed by the Company and ARYA prior to the execution of this Agreement and such initial press release (the “</w:t>
      </w:r>
      <w:r>
        <w:rPr>
          <w:rFonts w:ascii="Times New Roman" w:cs="Times New Roman" w:eastAsia="Times New Roman" w:hAnsi="Times New Roman"/>
          <w:sz w:val="17"/>
          <w:szCs w:val="17"/>
          <w:u w:val="single" w:color="auto"/>
          <w:color w:val="auto"/>
        </w:rPr>
        <w:t>Signing Press Release</w:t>
      </w:r>
      <w:r>
        <w:rPr>
          <w:rFonts w:ascii="Times New Roman" w:cs="Times New Roman" w:eastAsia="Times New Roman" w:hAnsi="Times New Roman"/>
          <w:sz w:val="17"/>
          <w:szCs w:val="17"/>
          <w:color w:val="auto"/>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Times New Roman" w:cs="Times New Roman" w:eastAsia="Times New Roman" w:hAnsi="Times New Roman"/>
          <w:sz w:val="17"/>
          <w:szCs w:val="17"/>
          <w:u w:val="single" w:color="auto"/>
          <w:color w:val="auto"/>
        </w:rPr>
        <w:t>Signing Filing</w:t>
      </w:r>
      <w:r>
        <w:rPr>
          <w:rFonts w:ascii="Times New Roman" w:cs="Times New Roman" w:eastAsia="Times New Roman" w:hAnsi="Times New Roman"/>
          <w:sz w:val="17"/>
          <w:szCs w:val="17"/>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Times New Roman" w:cs="Times New Roman" w:eastAsia="Times New Roman" w:hAnsi="Times New Roman"/>
          <w:sz w:val="17"/>
          <w:szCs w:val="17"/>
          <w:u w:val="single" w:color="auto"/>
          <w:color w:val="auto"/>
        </w:rPr>
        <w:t>Closing Press Release</w:t>
      </w:r>
      <w:r>
        <w:rPr>
          <w:rFonts w:ascii="Times New Roman" w:cs="Times New Roman" w:eastAsia="Times New Roman" w:hAnsi="Times New Roman"/>
          <w:sz w:val="17"/>
          <w:szCs w:val="17"/>
          <w:color w:val="auto"/>
        </w:rPr>
        <w:t>”) prior to the 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Times New Roman" w:cs="Times New Roman" w:eastAsia="Times New Roman" w:hAnsi="Times New Roman"/>
          <w:sz w:val="17"/>
          <w:szCs w:val="17"/>
          <w:u w:val="single" w:color="auto"/>
          <w:color w:val="auto"/>
        </w:rPr>
        <w:t>Closing Filing</w:t>
      </w:r>
      <w:r>
        <w:rPr>
          <w:rFonts w:ascii="Times New Roman" w:cs="Times New Roman" w:eastAsia="Times New Roman" w:hAnsi="Times New Roman"/>
          <w:sz w:val="17"/>
          <w:szCs w:val="17"/>
          <w:color w:val="auto"/>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7" w:name="page88"/>
    <w:bookmarkEnd w:id="87"/>
    <w:p>
      <w:pPr>
        <w:spacing w:after="0"/>
        <w:tabs>
          <w:tab w:leader="none" w:pos="1040" w:val="left"/>
        </w:tabs>
        <w:rPr>
          <w:sz w:val="20"/>
          <w:szCs w:val="20"/>
          <w:color w:val="auto"/>
        </w:rPr>
      </w:pPr>
      <w:r>
        <w:rPr>
          <w:rFonts w:ascii="Times New Roman" w:cs="Times New Roman" w:eastAsia="Times New Roman" w:hAnsi="Times New Roman"/>
          <w:sz w:val="15"/>
          <w:szCs w:val="15"/>
          <w:b w:val="1"/>
          <w:bCs w:val="1"/>
          <w:color w:val="010000"/>
        </w:rPr>
        <w:t>Section 5.5</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207" w:lineRule="exact"/>
        <w:rPr>
          <w:sz w:val="20"/>
          <w:szCs w:val="20"/>
          <w:color w:val="auto"/>
        </w:rPr>
      </w:pPr>
    </w:p>
    <w:p>
      <w:pPr>
        <w:ind w:left="1060" w:hanging="526"/>
        <w:spacing w:after="0"/>
        <w:tabs>
          <w:tab w:leader="none" w:pos="1060" w:val="left"/>
        </w:tabs>
        <w:numPr>
          <w:ilvl w:val="0"/>
          <w:numId w:val="79"/>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010000"/>
        </w:rPr>
      </w:pPr>
    </w:p>
    <w:p>
      <w:pPr>
        <w:jc w:val="both"/>
        <w:ind w:left="540" w:firstLine="526"/>
        <w:spacing w:after="0" w:line="234" w:lineRule="auto"/>
        <w:tabs>
          <w:tab w:leader="none" w:pos="1462"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Times New Roman" w:cs="Times New Roman" w:eastAsia="Times New Roman" w:hAnsi="Times New Roman"/>
          <w:sz w:val="18"/>
          <w:szCs w:val="18"/>
          <w:u w:val="single" w:color="auto"/>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Structure</w:t>
      </w:r>
      <w:r>
        <w:rPr>
          <w:rFonts w:ascii="Times New Roman" w:cs="Times New Roman" w:eastAsia="Times New Roman" w:hAnsi="Times New Roman"/>
          <w:sz w:val="18"/>
          <w:szCs w:val="18"/>
          <w:color w:val="auto"/>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with Newco being the surviving company in such second merger.</w:t>
      </w:r>
    </w:p>
    <w:p>
      <w:pPr>
        <w:spacing w:after="0" w:line="171" w:lineRule="exact"/>
        <w:rPr>
          <w:rFonts w:ascii="Times New Roman" w:cs="Times New Roman" w:eastAsia="Times New Roman" w:hAnsi="Times New Roman"/>
          <w:sz w:val="18"/>
          <w:szCs w:val="18"/>
          <w:color w:val="010000"/>
        </w:rPr>
      </w:pPr>
    </w:p>
    <w:p>
      <w:pPr>
        <w:jc w:val="both"/>
        <w:ind w:left="540" w:firstLine="526"/>
        <w:spacing w:after="0" w:line="253" w:lineRule="auto"/>
        <w:tabs>
          <w:tab w:leader="none" w:pos="1567" w:val="left"/>
        </w:tabs>
        <w:numPr>
          <w:ilvl w:val="1"/>
          <w:numId w:val="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w:t>
      </w:r>
    </w:p>
    <w:p>
      <w:pPr>
        <w:ind w:left="540"/>
        <w:spacing w:after="0" w:line="238"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 the Merger qualifying for the Intended Tax Treatment, and (B) in the case of ARYA, the Domestication qualifying for the Intended Tax Treatment.</w:t>
      </w:r>
    </w:p>
    <w:p>
      <w:pPr>
        <w:spacing w:after="0" w:line="168" w:lineRule="exact"/>
        <w:rPr>
          <w:rFonts w:ascii="Times New Roman" w:cs="Times New Roman" w:eastAsia="Times New Roman" w:hAnsi="Times New Roman"/>
          <w:sz w:val="17"/>
          <w:szCs w:val="17"/>
          <w:color w:val="010000"/>
        </w:rPr>
      </w:pPr>
    </w:p>
    <w:p>
      <w:pPr>
        <w:jc w:val="both"/>
        <w:ind w:left="540" w:firstLine="526"/>
        <w:spacing w:after="0" w:line="235" w:lineRule="auto"/>
        <w:tabs>
          <w:tab w:leader="none" w:pos="1616"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spacing w:after="0" w:line="3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29210</wp:posOffset>
            </wp:positionV>
            <wp:extent cx="715708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323" w:right="319" w:bottom="1440" w:gutter="0" w:footer="0" w:header="0"/>
        </w:sectPr>
      </w:pPr>
    </w:p>
    <w:bookmarkStart w:id="88" w:name="page89"/>
    <w:bookmarkEnd w:id="88"/>
    <w:p>
      <w:pPr>
        <w:jc w:val="both"/>
        <w:ind w:firstLine="1074"/>
        <w:spacing w:after="0" w:line="234" w:lineRule="auto"/>
        <w:tabs>
          <w:tab w:leader="none" w:pos="1671"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xml:space="preserve">.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w:t>
      </w:r>
      <w:r>
        <w:rPr>
          <w:rFonts w:ascii="Times New Roman" w:cs="Times New Roman" w:eastAsia="Times New Roman" w:hAnsi="Times New Roman"/>
          <w:sz w:val="18"/>
          <w:szCs w:val="18"/>
          <w:u w:val="single" w:color="auto"/>
          <w:color w:val="auto"/>
        </w:rPr>
        <w:t>Pre-Closing ARYA Shareholders</w:t>
      </w:r>
      <w:r>
        <w:rPr>
          <w:rFonts w:ascii="Times New Roman" w:cs="Times New Roman" w:eastAsia="Times New Roman" w:hAnsi="Times New Roman"/>
          <w:sz w:val="18"/>
          <w:szCs w:val="18"/>
          <w:color w:val="auto"/>
        </w:rPr>
        <w:t xml:space="preserve">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75" w:lineRule="exact"/>
        <w:rPr>
          <w:rFonts w:ascii="Times New Roman" w:cs="Times New Roman" w:eastAsia="Times New Roman" w:hAnsi="Times New Roman"/>
          <w:sz w:val="18"/>
          <w:szCs w:val="18"/>
          <w:color w:val="010000"/>
        </w:rPr>
      </w:pPr>
    </w:p>
    <w:p>
      <w:pPr>
        <w:ind w:firstLine="1074"/>
        <w:spacing w:after="0" w:line="260" w:lineRule="auto"/>
        <w:tabs>
          <w:tab w:leader="none" w:pos="1583"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ARYA Taxable Year</w:t>
      </w:r>
      <w:r>
        <w:rPr>
          <w:rFonts w:ascii="Times New Roman" w:cs="Times New Roman" w:eastAsia="Times New Roman" w:hAnsi="Times New Roman"/>
          <w:sz w:val="18"/>
          <w:szCs w:val="18"/>
          <w:color w:val="auto"/>
        </w:rPr>
        <w:t>. The Parties agree to treat the taxable year of ARYA as ending on the date that the Domestication is consummated for U.S. federal income tax purposes.</w:t>
      </w:r>
    </w:p>
    <w:p>
      <w:pPr>
        <w:spacing w:after="0" w:line="15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5.6</w:t>
      </w:r>
      <w:r>
        <w:rPr>
          <w:sz w:val="20"/>
          <w:szCs w:val="20"/>
          <w:color w:val="auto"/>
        </w:rPr>
        <w:tab/>
      </w:r>
      <w:r>
        <w:rPr>
          <w:rFonts w:ascii="Times New Roman" w:cs="Times New Roman" w:eastAsia="Times New Roman" w:hAnsi="Times New Roman"/>
          <w:sz w:val="14"/>
          <w:szCs w:val="14"/>
          <w:b w:val="1"/>
          <w:bCs w:val="1"/>
          <w:u w:val="single" w:color="auto"/>
          <w:color w:val="auto"/>
        </w:rPr>
        <w:t>Company Exclusive Dealing</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5" w:lineRule="auto"/>
        <w:tabs>
          <w:tab w:leader="none" w:pos="1539"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010000"/>
        </w:rPr>
      </w:pPr>
    </w:p>
    <w:p>
      <w:pPr>
        <w:jc w:val="both"/>
        <w:ind w:firstLine="1074"/>
        <w:spacing w:after="0" w:line="267" w:lineRule="auto"/>
        <w:tabs>
          <w:tab w:leader="none" w:pos="1571" w:val="left"/>
        </w:tabs>
        <w:numPr>
          <w:ilvl w:val="0"/>
          <w:numId w:val="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9" w:name="page90"/>
    <w:bookmarkEnd w:id="89"/>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5.7</w:t>
      </w:r>
      <w:r>
        <w:rPr>
          <w:sz w:val="20"/>
          <w:szCs w:val="20"/>
          <w:color w:val="auto"/>
        </w:rPr>
        <w:tab/>
      </w:r>
      <w:r>
        <w:rPr>
          <w:rFonts w:ascii="Times New Roman" w:cs="Times New Roman" w:eastAsia="Times New Roman" w:hAnsi="Times New Roman"/>
          <w:sz w:val="14"/>
          <w:szCs w:val="14"/>
          <w:b w:val="1"/>
          <w:bCs w:val="1"/>
          <w:u w:val="single" w:color="auto"/>
          <w:color w:val="auto"/>
        </w:rPr>
        <w:t>ARYA Exclusive Dealing</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661" w:val="left"/>
        </w:tabs>
        <w:numPr>
          <w:ilvl w:val="0"/>
          <w:numId w:val="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 any negotiations or discussions with, any Person in connection any ARYA Acquisition Proposal or a transaction of the type in clause (iv) (other than to inform such Person of the existence of the ARYA Parties’ obligations under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010000"/>
        </w:rPr>
      </w:pPr>
    </w:p>
    <w:p>
      <w:pPr>
        <w:jc w:val="both"/>
        <w:ind w:firstLine="1074"/>
        <w:spacing w:after="0" w:line="246" w:lineRule="auto"/>
        <w:tabs>
          <w:tab w:leader="none" w:pos="1804"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spacing w:after="0" w:line="160"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5.8 </w:t>
      </w:r>
      <w:r>
        <w:rPr>
          <w:rFonts w:ascii="Times New Roman" w:cs="Times New Roman" w:eastAsia="Times New Roman" w:hAnsi="Times New Roman"/>
          <w:sz w:val="18"/>
          <w:szCs w:val="18"/>
          <w:color w:val="000000"/>
        </w:rPr>
        <w:t>Preparation of Registration Statement / Proxy Statement. As promptly as reasonably practicable following the date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2" w:right="319" w:bottom="1440" w:gutter="0" w:footer="0" w:header="0"/>
        </w:sectPr>
      </w:pPr>
    </w:p>
    <w:bookmarkStart w:id="90" w:name="page91"/>
    <w:bookmarkEnd w:id="90"/>
    <w:p>
      <w:pPr>
        <w:jc w:val="both"/>
        <w:spacing w:after="0" w:line="247" w:lineRule="auto"/>
        <w:rPr>
          <w:sz w:val="20"/>
          <w:szCs w:val="20"/>
          <w:color w:val="auto"/>
        </w:rPr>
      </w:pPr>
      <w:r>
        <w:rPr>
          <w:rFonts w:ascii="Times New Roman" w:cs="Times New Roman" w:eastAsia="Times New Roman" w:hAnsi="Times New Roman"/>
          <w:sz w:val="17"/>
          <w:szCs w:val="17"/>
          <w:color w:val="auto"/>
        </w:rPr>
        <w:t>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Section 5.8 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Section 5.5(a)(iii). If any Party becomes aware of any information that should be disclosed in an amendment or supplement to the Registration Statement / Proxy Statement, then (i) such Party shall promptly inform, in the case of any ARYA Party, the Company, or, in the case of the Company, ARYA, thereof; (ii) 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68"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5.9 </w:t>
      </w:r>
      <w:r>
        <w:rPr>
          <w:rFonts w:ascii="Times New Roman" w:cs="Times New Roman" w:eastAsia="Times New Roman" w:hAnsi="Times New Roman"/>
          <w:sz w:val="18"/>
          <w:szCs w:val="18"/>
          <w:b w:val="1"/>
          <w:bCs w:val="1"/>
          <w:u w:val="single" w:color="auto"/>
          <w:color w:val="000000"/>
        </w:rPr>
        <w:t>ARYA Shareholder Approval</w:t>
      </w:r>
      <w:r>
        <w:rPr>
          <w:rFonts w:ascii="Times New Roman" w:cs="Times New Roman" w:eastAsia="Times New Roman" w:hAnsi="Times New Roman"/>
          <w:sz w:val="18"/>
          <w:szCs w:val="18"/>
          <w:color w:val="000000"/>
        </w:rPr>
        <w:t>. As promptly as reasonably practicable following the time at which the Registration Statement / Proxy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Statement is declared effective under the Securities Act, (A) ARYA shall (a) duly give not less than five clear days’ notice of a meeting of the ARYA shareholders (the “ARYA Shareholders Meeting”),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“ARYA Board Recommendation”): (A) the adoption and approval of this Agreement and the transactions contemplated hereby (including the Merger) (the “Business Combination Proposal”);</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1" w:name="page92"/>
    <w:bookmarkEnd w:id="91"/>
    <w:p>
      <w:pPr>
        <w:jc w:val="both"/>
        <w:ind w:firstLine="9"/>
        <w:spacing w:after="0" w:line="232" w:lineRule="auto"/>
        <w:tabs>
          <w:tab w:leader="none" w:pos="2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the approval of the Domestication in accordance with applicable Law (the “</w:t>
      </w:r>
      <w:r>
        <w:rPr>
          <w:rFonts w:ascii="Times New Roman" w:cs="Times New Roman" w:eastAsia="Times New Roman" w:hAnsi="Times New Roman"/>
          <w:sz w:val="18"/>
          <w:szCs w:val="18"/>
          <w:u w:val="single" w:color="auto"/>
          <w:color w:val="auto"/>
        </w:rPr>
        <w:t>Domestication Proposal</w:t>
      </w:r>
      <w:r>
        <w:rPr>
          <w:rFonts w:ascii="Times New Roman" w:cs="Times New Roman" w:eastAsia="Times New Roman" w:hAnsi="Times New Roman"/>
          <w:sz w:val="18"/>
          <w:szCs w:val="18"/>
          <w:color w:val="auto"/>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Times New Roman" w:cs="Times New Roman" w:eastAsia="Times New Roman" w:hAnsi="Times New Roman"/>
          <w:sz w:val="18"/>
          <w:szCs w:val="18"/>
          <w:u w:val="single" w:color="auto"/>
          <w:color w:val="auto"/>
        </w:rPr>
        <w:t>Required Governing Document Proposal</w:t>
      </w:r>
      <w:r>
        <w:rPr>
          <w:rFonts w:ascii="Times New Roman" w:cs="Times New Roman" w:eastAsia="Times New Roman" w:hAnsi="Times New Roman"/>
          <w:sz w:val="18"/>
          <w:szCs w:val="18"/>
          <w:color w:val="auto"/>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not being satisfied (assuming for purposes of this clause (4) that the full PIPE Financing Amount will be funded pursuant to the terms of the PIPE Subscription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Times New Roman" w:cs="Times New Roman" w:eastAsia="Times New Roman" w:hAnsi="Times New Roman"/>
          <w:sz w:val="18"/>
          <w:szCs w:val="18"/>
          <w:u w:val="single" w:color="auto"/>
          <w:color w:val="auto"/>
        </w:rPr>
        <w:t>ARYA Change in Recommendation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2" w:name="page93"/>
    <w:bookmarkEnd w:id="92"/>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5.10 </w:t>
      </w:r>
      <w:r>
        <w:rPr>
          <w:rFonts w:ascii="Times New Roman" w:cs="Times New Roman" w:eastAsia="Times New Roman" w:hAnsi="Times New Roman"/>
          <w:sz w:val="18"/>
          <w:szCs w:val="18"/>
          <w:b w:val="1"/>
          <w:bCs w:val="1"/>
          <w:u w:val="single" w:color="auto"/>
          <w:color w:val="000000"/>
        </w:rPr>
        <w:t>Merger Sub Shareholder Approval</w:t>
      </w:r>
      <w:r>
        <w:rPr>
          <w:rFonts w:ascii="Times New Roman" w:cs="Times New Roman" w:eastAsia="Times New Roman" w:hAnsi="Times New Roman"/>
          <w:sz w:val="18"/>
          <w:szCs w:val="18"/>
          <w:color w:val="000000"/>
        </w:rPr>
        <w:t>. As promptly as reasonably practicable (and in any event within one Business Day) following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date of this Agreement, ARYA, as the sole stockholder of Merger Sub, will approve and adopt this Agreement, the Ancillary Documents to which Merger Sub is or will be a party and the transactions contemplated hereby and thereby (including the Merger).</w:t>
      </w:r>
    </w:p>
    <w:p>
      <w:pPr>
        <w:spacing w:after="0" w:line="161"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5.11 </w:t>
      </w:r>
      <w:r>
        <w:rPr>
          <w:rFonts w:ascii="Times New Roman" w:cs="Times New Roman" w:eastAsia="Times New Roman" w:hAnsi="Times New Roman"/>
          <w:sz w:val="18"/>
          <w:szCs w:val="18"/>
          <w:b w:val="1"/>
          <w:bCs w:val="1"/>
          <w:u w:val="single" w:color="auto"/>
          <w:color w:val="000000"/>
        </w:rPr>
        <w:t>Conduct of Business of ARYA</w:t>
      </w:r>
      <w:r>
        <w:rPr>
          <w:rFonts w:ascii="Times New Roman" w:cs="Times New Roman" w:eastAsia="Times New Roman" w:hAnsi="Times New Roman"/>
          <w:sz w:val="18"/>
          <w:szCs w:val="18"/>
          <w:color w:val="000000"/>
        </w:rPr>
        <w:t>. From and after the date of this Agreement until the earlier of the Closing or the termination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Section 5.11 of the ARYA Disclosure Schedules or as consented to in writing by the Company (such consent, other than in the case of Section 5.11(a), Section 5.11(b), Section 5.11(c), Section 5.11(d), Section 5.11(h), or Section 5.11(j), not to be unreasonably withheld, conditioned or delayed), do any of the following:</w:t>
      </w:r>
    </w:p>
    <w:p>
      <w:pPr>
        <w:spacing w:after="0" w:line="168" w:lineRule="exact"/>
        <w:rPr>
          <w:sz w:val="20"/>
          <w:szCs w:val="20"/>
          <w:color w:val="auto"/>
        </w:rPr>
      </w:pPr>
    </w:p>
    <w:p>
      <w:pPr>
        <w:ind w:left="1600" w:hanging="526"/>
        <w:spacing w:after="0"/>
        <w:tabs>
          <w:tab w:leader="none" w:pos="1600" w:val="left"/>
        </w:tabs>
        <w:numPr>
          <w:ilvl w:val="0"/>
          <w:numId w:val="8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adopt any amendments, supplements, restatements or modifications to the Trust Agreement or the Governing Documents of any ARYA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72" w:lineRule="exact"/>
        <w:rPr>
          <w:sz w:val="20"/>
          <w:szCs w:val="20"/>
          <w:color w:val="auto"/>
        </w:rPr>
      </w:pPr>
    </w:p>
    <w:p>
      <w:pPr>
        <w:ind w:left="1720" w:hanging="646"/>
        <w:spacing w:after="0"/>
        <w:tabs>
          <w:tab w:leader="none" w:pos="172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create or form any Subsidiary;</w:t>
      </w:r>
    </w:p>
    <w:p>
      <w:pPr>
        <w:spacing w:after="0" w:line="19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5"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6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937"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spacing w:after="0" w:line="166" w:lineRule="exact"/>
        <w:rPr>
          <w:rFonts w:ascii="Times New Roman" w:cs="Times New Roman" w:eastAsia="Times New Roman" w:hAnsi="Times New Roman"/>
          <w:sz w:val="18"/>
          <w:szCs w:val="18"/>
          <w:color w:val="010000"/>
        </w:rPr>
      </w:pPr>
    </w:p>
    <w:p>
      <w:pPr>
        <w:ind w:firstLine="1074"/>
        <w:spacing w:after="0" w:line="260" w:lineRule="auto"/>
        <w:tabs>
          <w:tab w:leader="none" w:pos="1694"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50" w:lineRule="exact"/>
        <w:rPr>
          <w:rFonts w:ascii="Times New Roman" w:cs="Times New Roman" w:eastAsia="Times New Roman" w:hAnsi="Times New Roman"/>
          <w:sz w:val="18"/>
          <w:szCs w:val="18"/>
          <w:color w:val="010000"/>
        </w:rPr>
      </w:pPr>
    </w:p>
    <w:p>
      <w:pPr>
        <w:ind w:left="1740" w:hanging="666"/>
        <w:spacing w:after="0"/>
        <w:tabs>
          <w:tab w:leader="none" w:pos="174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incur, create or assume any Indebtedness, or guarantee any Liability of any Person;</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loans or advances to, or capital contributions in, any other Person, other than to, or in, ARYA or any of its Subsidiaries;</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issue any Equity Securities or grant any additional options, warrants or stock appreciation rights with respect to its Equity Securities;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3" w:name="page94"/>
    <w:bookmarkEnd w:id="93"/>
    <w:p>
      <w:pPr>
        <w:jc w:val="both"/>
        <w:ind w:firstLine="1074"/>
        <w:spacing w:after="0" w:line="245" w:lineRule="auto"/>
        <w:tabs>
          <w:tab w:leader="none" w:pos="1809"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ARYA Disclosure Schedules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(ii) enter into any Contract that would constitute an ARYA Affiliated Party Transaction;</w:t>
      </w:r>
    </w:p>
    <w:p>
      <w:pPr>
        <w:spacing w:after="0" w:line="163"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62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(iii) those that are administrative or ministerial in nature and less than $20,000 individually, or in the aggregate;</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27"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or amend or modify any material term of (in a manner adverse to any ARYA Party), terminate (excluding any expiration in accordance with its terms), or waive or release any material rights, claims or benefits under, any Contract of a type required to be listed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ARYA Disclosure Schedules (or any Contract, that if existing on the date hereof, would have been required to be listed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ARYA Disclosure Schedules);</w:t>
      </w:r>
    </w:p>
    <w:p>
      <w:pPr>
        <w:spacing w:after="0" w:line="166" w:lineRule="exact"/>
        <w:rPr>
          <w:rFonts w:ascii="Times New Roman" w:cs="Times New Roman" w:eastAsia="Times New Roman" w:hAnsi="Times New Roman"/>
          <w:sz w:val="18"/>
          <w:szCs w:val="18"/>
          <w:color w:val="010000"/>
        </w:rPr>
      </w:pPr>
    </w:p>
    <w:p>
      <w:pPr>
        <w:ind w:firstLine="1074"/>
        <w:spacing w:after="0" w:line="260" w:lineRule="auto"/>
        <w:tabs>
          <w:tab w:leader="none" w:pos="1643"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adopt or amend any ARYA Benefit Plan, or enter into any employment contract or collective bargaining agreement or (ii) hire any person as an employee of ARYA or Merger Sub;</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54"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66" w:lineRule="exact"/>
        <w:rPr>
          <w:rFonts w:ascii="Times New Roman" w:cs="Times New Roman" w:eastAsia="Times New Roman" w:hAnsi="Times New Roman"/>
          <w:sz w:val="18"/>
          <w:szCs w:val="18"/>
          <w:color w:val="010000"/>
        </w:rPr>
      </w:pPr>
    </w:p>
    <w:p>
      <w:pPr>
        <w:ind w:left="1640" w:hanging="566"/>
        <w:spacing w:after="0"/>
        <w:tabs>
          <w:tab w:leader="none" w:pos="16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change any ARYA Party’s methods of accounting in any material respect, other than changes that are made in accordance with PCAOB</w:t>
      </w:r>
    </w:p>
    <w:p>
      <w:pPr>
        <w:spacing w:after="0" w:line="24"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standards;</w:t>
      </w:r>
    </w:p>
    <w:p>
      <w:pPr>
        <w:spacing w:after="0" w:line="172" w:lineRule="exact"/>
        <w:rPr>
          <w:rFonts w:ascii="Times New Roman" w:cs="Times New Roman" w:eastAsia="Times New Roman" w:hAnsi="Times New Roman"/>
          <w:sz w:val="17"/>
          <w:szCs w:val="17"/>
          <w:color w:val="010000"/>
        </w:rPr>
      </w:pPr>
    </w:p>
    <w:p>
      <w:pPr>
        <w:ind w:left="1640" w:hanging="566"/>
        <w:spacing w:after="0"/>
        <w:tabs>
          <w:tab w:leader="none" w:pos="164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authorize, recommend, propose or announce an intention to adopt a plan of complete or partial liquidation or dissolution;</w:t>
      </w:r>
    </w:p>
    <w:p>
      <w:pPr>
        <w:spacing w:after="0" w:line="192" w:lineRule="exact"/>
        <w:rPr>
          <w:rFonts w:ascii="Times New Roman" w:cs="Times New Roman" w:eastAsia="Times New Roman" w:hAnsi="Times New Roman"/>
          <w:sz w:val="18"/>
          <w:szCs w:val="18"/>
          <w:color w:val="010000"/>
        </w:rPr>
      </w:pPr>
    </w:p>
    <w:p>
      <w:pPr>
        <w:ind w:firstLine="1074"/>
        <w:spacing w:after="0" w:line="260" w:lineRule="auto"/>
        <w:tabs>
          <w:tab w:leader="none" w:pos="167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50" w:lineRule="exact"/>
        <w:rPr>
          <w:rFonts w:ascii="Times New Roman" w:cs="Times New Roman" w:eastAsia="Times New Roman" w:hAnsi="Times New Roman"/>
          <w:sz w:val="18"/>
          <w:szCs w:val="18"/>
          <w:color w:val="010000"/>
        </w:rPr>
      </w:pPr>
    </w:p>
    <w:p>
      <w:pPr>
        <w:ind w:left="1600" w:hanging="526"/>
        <w:spacing w:after="0"/>
        <w:tabs>
          <w:tab w:leader="none" w:pos="160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any ARYA Change of Control Payment that is not set forth on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ARYA Disclosure Schedules; or</w:t>
      </w:r>
    </w:p>
    <w:p>
      <w:pPr>
        <w:spacing w:after="0" w:line="192" w:lineRule="exact"/>
        <w:rPr>
          <w:rFonts w:ascii="Times New Roman" w:cs="Times New Roman" w:eastAsia="Times New Roman" w:hAnsi="Times New Roman"/>
          <w:sz w:val="18"/>
          <w:szCs w:val="18"/>
          <w:color w:val="010000"/>
        </w:rPr>
      </w:pPr>
    </w:p>
    <w:p>
      <w:pPr>
        <w:ind w:left="1700" w:hanging="626"/>
        <w:spacing w:after="0"/>
        <w:tabs>
          <w:tab w:leader="none" w:pos="170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4" w:name="page95"/>
    <w:bookmarkEnd w:id="94"/>
    <w:p>
      <w:pPr>
        <w:ind w:firstLine="532"/>
        <w:spacing w:after="0" w:line="259"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this Agreement to the contrary, but without limiting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11, nothing set forth in this Agreement shall give the Company, directly or indirectly, the right to control or direct the operations of any ARYA Party</w:t>
      </w:r>
    </w:p>
    <w:p>
      <w:pPr>
        <w:spacing w:after="0" w:line="14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5.12</w:t>
      </w:r>
      <w:r>
        <w:rPr>
          <w:sz w:val="20"/>
          <w:szCs w:val="20"/>
          <w:color w:val="auto"/>
        </w:rPr>
        <w:tab/>
      </w:r>
      <w:r>
        <w:rPr>
          <w:rFonts w:ascii="Times New Roman" w:cs="Times New Roman" w:eastAsia="Times New Roman" w:hAnsi="Times New Roman"/>
          <w:sz w:val="17"/>
          <w:szCs w:val="17"/>
          <w:b w:val="1"/>
          <w:bCs w:val="1"/>
          <w:u w:val="single" w:color="auto"/>
          <w:color w:val="auto"/>
        </w:rPr>
        <w:t>Nasdaq Listing; ARYA Public Filings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54" w:lineRule="auto"/>
        <w:tabs>
          <w:tab w:leader="none" w:pos="1717"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Nasdaq Listing</w:t>
      </w:r>
      <w:r>
        <w:rPr>
          <w:rFonts w:ascii="Times New Roman" w:cs="Times New Roman" w:eastAsia="Times New Roman" w:hAnsi="Times New Roman"/>
          <w:sz w:val="17"/>
          <w:szCs w:val="17"/>
          <w:color w:val="auto"/>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spacing w:after="0" w:line="156" w:lineRule="exact"/>
        <w:rPr>
          <w:rFonts w:ascii="Times New Roman" w:cs="Times New Roman" w:eastAsia="Times New Roman" w:hAnsi="Times New Roman"/>
          <w:sz w:val="17"/>
          <w:szCs w:val="17"/>
          <w:color w:val="010000"/>
        </w:rPr>
      </w:pPr>
    </w:p>
    <w:p>
      <w:pPr>
        <w:jc w:val="both"/>
        <w:ind w:firstLine="1074"/>
        <w:spacing w:after="0" w:line="239" w:lineRule="auto"/>
        <w:tabs>
          <w:tab w:leader="none" w:pos="1904"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ARYA Public Filings</w:t>
      </w:r>
      <w:r>
        <w:rPr>
          <w:rFonts w:ascii="Times New Roman" w:cs="Times New Roman" w:eastAsia="Times New Roman" w:hAnsi="Times New Roman"/>
          <w:sz w:val="18"/>
          <w:szCs w:val="18"/>
          <w:color w:val="auto"/>
        </w:rPr>
        <w:t>.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65"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5.13 </w:t>
      </w:r>
      <w:r>
        <w:rPr>
          <w:rFonts w:ascii="Times New Roman" w:cs="Times New Roman" w:eastAsia="Times New Roman" w:hAnsi="Times New Roman"/>
          <w:sz w:val="18"/>
          <w:szCs w:val="18"/>
          <w:b w:val="1"/>
          <w:bCs w:val="1"/>
          <w:u w:val="single" w:color="auto"/>
          <w:color w:val="000000"/>
        </w:rPr>
        <w:t>Trust Account</w:t>
      </w:r>
      <w:r>
        <w:rPr>
          <w:rFonts w:ascii="Times New Roman" w:cs="Times New Roman" w:eastAsia="Times New Roman" w:hAnsi="Times New Roman"/>
          <w:sz w:val="18"/>
          <w:szCs w:val="18"/>
          <w:color w:val="000000"/>
        </w:rPr>
        <w:t>. Upon satisfaction or, to the extent permitted by applicable Law, waiver of the conditions set forth in Article 6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spacing w:after="0" w:line="167"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010000"/>
        </w:rPr>
        <w:t>Section 5.14</w:t>
      </w:r>
      <w:r>
        <w:rPr>
          <w:sz w:val="20"/>
          <w:szCs w:val="20"/>
          <w:color w:val="auto"/>
        </w:rPr>
        <w:tab/>
      </w:r>
      <w:r>
        <w:rPr>
          <w:rFonts w:ascii="Times New Roman" w:cs="Times New Roman" w:eastAsia="Times New Roman" w:hAnsi="Times New Roman"/>
          <w:sz w:val="17"/>
          <w:szCs w:val="17"/>
          <w:b w:val="1"/>
          <w:bCs w:val="1"/>
          <w:u w:val="single" w:color="auto"/>
          <w:color w:val="auto"/>
        </w:rPr>
        <w:t>Company Shareholder Approval</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15" w:lineRule="auto"/>
        <w:tabs>
          <w:tab w:leader="none" w:pos="155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reasonably practicable (and in any event within five (5) Business Days) following the date on which the Registration Statement / Proxy Statement is declared effective under the Securities Act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the Registration Statement / Proxy Statement is declared effective under the Securities Act, the “</w:t>
      </w:r>
      <w:r>
        <w:rPr>
          <w:rFonts w:ascii="Times New Roman" w:cs="Times New Roman" w:eastAsia="Times New Roman" w:hAnsi="Times New Roman"/>
          <w:sz w:val="18"/>
          <w:szCs w:val="18"/>
          <w:u w:val="single" w:color="auto"/>
          <w:color w:val="auto"/>
        </w:rPr>
        <w:t>Company Shareholder Written Consent Deadline</w:t>
      </w:r>
      <w:r>
        <w:rPr>
          <w:rFonts w:ascii="Times New Roman" w:cs="Times New Roman" w:eastAsia="Times New Roman" w:hAnsi="Times New Roman"/>
          <w:sz w:val="18"/>
          <w:szCs w:val="18"/>
          <w:color w:val="auto"/>
        </w:rPr>
        <w:t xml:space="preserve">”), the Company shall obtain and deliver to ARYA a true and correct copy of a written consent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adopting and approving this Agreement and the transactions contemplated hereby (including the Merger) from the Company Shareholders that hold at least a number of Company Shares equal to the Company Required Shareholder Approval (the “</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5" w:name="page96"/>
    <w:bookmarkEnd w:id="95"/>
    <w:p>
      <w:pPr>
        <w:jc w:val="both"/>
        <w:ind w:firstLine="1074"/>
        <w:spacing w:after="0" w:line="236" w:lineRule="auto"/>
        <w:tabs>
          <w:tab w:leader="none" w:pos="1893"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spacing w:after="0" w:line="171"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5.15</w:t>
      </w:r>
      <w:r>
        <w:rPr>
          <w:sz w:val="20"/>
          <w:szCs w:val="20"/>
          <w:color w:val="auto"/>
        </w:rPr>
        <w:tab/>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jc w:val="both"/>
        <w:ind w:firstLine="1074"/>
        <w:spacing w:after="0" w:line="234" w:lineRule="auto"/>
        <w:tabs>
          <w:tab w:leader="none" w:pos="1761"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spacing w:after="0" w:line="174"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0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not amend, modify or waive any provisions of any PIPE Subscription Agreement without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6" w:name="page97"/>
    <w:bookmarkEnd w:id="96"/>
    <w:p>
      <w:pPr>
        <w:jc w:val="both"/>
        <w:ind w:firstLine="1074"/>
        <w:spacing w:after="0" w:line="235" w:lineRule="auto"/>
        <w:tabs>
          <w:tab w:leader="none" w:pos="155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w:t>
      </w:r>
    </w:p>
    <w:p>
      <w:pPr>
        <w:spacing w:after="0" w:line="170"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5.16</w:t>
      </w:r>
      <w:r>
        <w:rPr>
          <w:sz w:val="20"/>
          <w:szCs w:val="20"/>
          <w:color w:val="auto"/>
        </w:rPr>
        <w:tab/>
      </w:r>
      <w:r>
        <w:rPr>
          <w:rFonts w:ascii="Times New Roman" w:cs="Times New Roman" w:eastAsia="Times New Roman" w:hAnsi="Times New Roman"/>
          <w:sz w:val="17"/>
          <w:szCs w:val="17"/>
          <w:b w:val="1"/>
          <w:bCs w:val="1"/>
          <w:u w:val="single" w:color="auto"/>
          <w:color w:val="auto"/>
        </w:rPr>
        <w:t>ARYA Indemnification; Directors’ and Officers’ Insurance</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4" w:lineRule="auto"/>
        <w:tabs>
          <w:tab w:leader="none" w:pos="1972"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Times New Roman" w:cs="Times New Roman" w:eastAsia="Times New Roman" w:hAnsi="Times New Roman"/>
          <w:sz w:val="18"/>
          <w:szCs w:val="18"/>
          <w:u w:val="single" w:color="auto"/>
          <w:color w:val="auto"/>
        </w:rPr>
        <w:t>ARYA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4"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not have any obligation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7" w:name="page98"/>
    <w:bookmarkEnd w:id="97"/>
    <w:p>
      <w:pPr>
        <w:jc w:val="both"/>
        <w:ind w:firstLine="1074"/>
        <w:spacing w:after="0" w:line="236" w:lineRule="auto"/>
        <w:tabs>
          <w:tab w:leader="none" w:pos="1872"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w:t>
      </w:r>
    </w:p>
    <w:p>
      <w:pPr>
        <w:spacing w:after="0" w:line="168" w:lineRule="exact"/>
        <w:rPr>
          <w:rFonts w:ascii="Times New Roman" w:cs="Times New Roman" w:eastAsia="Times New Roman" w:hAnsi="Times New Roman"/>
          <w:sz w:val="18"/>
          <w:szCs w:val="18"/>
          <w:color w:val="010000"/>
        </w:rPr>
      </w:pPr>
    </w:p>
    <w:p>
      <w:pPr>
        <w:jc w:val="both"/>
        <w:ind w:firstLine="1074"/>
        <w:spacing w:after="0" w:line="250" w:lineRule="auto"/>
        <w:tabs>
          <w:tab w:leader="none" w:pos="1801" w:val="left"/>
        </w:tabs>
        <w:numPr>
          <w:ilvl w:val="0"/>
          <w:numId w:val="9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ARYA shall obtain, at or prior to the Closing, and ARYA shall maintain, or cause to be maintained, in effect for a period of six (6) 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 policy of ARYA, providing the aforementioned coverage set forth in this </w:t>
      </w:r>
      <w:r>
        <w:rPr>
          <w:rFonts w:ascii="Times New Roman" w:cs="Times New Roman" w:eastAsia="Times New Roman" w:hAnsi="Times New Roman"/>
          <w:sz w:val="17"/>
          <w:szCs w:val="17"/>
          <w:u w:val="single" w:color="auto"/>
          <w:color w:val="auto"/>
        </w:rPr>
        <w:t>Section 5.16(d)</w:t>
      </w:r>
      <w:r>
        <w:rPr>
          <w:rFonts w:ascii="Times New Roman" w:cs="Times New Roman" w:eastAsia="Times New Roman" w:hAnsi="Times New Roman"/>
          <w:sz w:val="17"/>
          <w:szCs w:val="17"/>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spacing w:after="0" w:line="160"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694"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7"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ARYA.</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8" w:name="page99"/>
    <w:bookmarkEnd w:id="98"/>
    <w:p>
      <w:pPr>
        <w:ind w:left="5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010000"/>
        </w:rPr>
        <w:t>Section 5.17</w:t>
      </w:r>
      <w:r>
        <w:rPr>
          <w:sz w:val="20"/>
          <w:szCs w:val="20"/>
          <w:color w:val="auto"/>
        </w:rPr>
        <w:tab/>
      </w:r>
      <w:r>
        <w:rPr>
          <w:rFonts w:ascii="Times New Roman" w:cs="Times New Roman" w:eastAsia="Times New Roman" w:hAnsi="Times New Roman"/>
          <w:sz w:val="17"/>
          <w:szCs w:val="17"/>
          <w:b w:val="1"/>
          <w:bCs w:val="1"/>
          <w:u w:val="single" w:color="auto"/>
          <w:color w:val="auto"/>
        </w:rPr>
        <w:t>Company Indemnification; Directors’ and Officers’ Insurance</w:t>
      </w:r>
      <w:r>
        <w:rPr>
          <w:rFonts w:ascii="Times New Roman" w:cs="Times New Roman" w:eastAsia="Times New Roman" w:hAnsi="Times New Roman"/>
          <w:sz w:val="17"/>
          <w:szCs w:val="17"/>
          <w:b w:val="1"/>
          <w:bCs w:val="1"/>
          <w:color w:val="auto"/>
        </w:rPr>
        <w:t>.</w:t>
      </w:r>
    </w:p>
    <w:p>
      <w:pPr>
        <w:spacing w:after="0" w:line="196" w:lineRule="exact"/>
        <w:rPr>
          <w:sz w:val="20"/>
          <w:szCs w:val="20"/>
          <w:color w:val="auto"/>
        </w:rPr>
      </w:pPr>
    </w:p>
    <w:p>
      <w:pPr>
        <w:jc w:val="both"/>
        <w:ind w:firstLine="1074"/>
        <w:spacing w:after="0" w:line="234" w:lineRule="auto"/>
        <w:tabs>
          <w:tab w:leader="none" w:pos="1761"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8"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None of ARYA or the Group Companies shall have any obligation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62"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694"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providing the aforementioned coverage set forth in this </w:t>
      </w: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9" w:name="page100"/>
    <w:bookmarkEnd w:id="99"/>
    <w:p>
      <w:pPr>
        <w:jc w:val="both"/>
        <w:ind w:firstLine="1074"/>
        <w:spacing w:after="0"/>
        <w:tabs>
          <w:tab w:leader="none" w:pos="170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05"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ARYA.</w:t>
      </w:r>
    </w:p>
    <w:p>
      <w:pPr>
        <w:spacing w:after="0" w:line="160"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5.18</w:t>
      </w:r>
      <w:r>
        <w:rPr>
          <w:sz w:val="20"/>
          <w:szCs w:val="20"/>
          <w:color w:val="auto"/>
        </w:rPr>
        <w:tab/>
      </w:r>
      <w:r>
        <w:rPr>
          <w:rFonts w:ascii="Times New Roman" w:cs="Times New Roman" w:eastAsia="Times New Roman" w:hAnsi="Times New Roman"/>
          <w:sz w:val="17"/>
          <w:szCs w:val="17"/>
          <w:b w:val="1"/>
          <w:bCs w:val="1"/>
          <w:u w:val="single" w:color="auto"/>
          <w:color w:val="auto"/>
        </w:rPr>
        <w:t>Post-Closing Directors and Officers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728"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individual is not identified to serve as a director pursuant to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 xml:space="preserve">; (iii) the members of the compensation committee, audit committee and nominating committee of the ARYA Board are the individuals determined in accordance with </w:t>
      </w:r>
      <w:r>
        <w:rPr>
          <w:rFonts w:ascii="Times New Roman" w:cs="Times New Roman" w:eastAsia="Times New Roman" w:hAnsi="Times New Roman"/>
          <w:sz w:val="18"/>
          <w:szCs w:val="18"/>
          <w:u w:val="single" w:color="auto"/>
          <w:color w:val="auto"/>
        </w:rPr>
        <w:t>Section 5.18(e)</w:t>
      </w:r>
      <w:r>
        <w:rPr>
          <w:rFonts w:ascii="Times New Roman" w:cs="Times New Roman" w:eastAsia="Times New Roman" w:hAnsi="Times New Roman"/>
          <w:sz w:val="18"/>
          <w:szCs w:val="18"/>
          <w:color w:val="auto"/>
        </w:rPr>
        <w:t>; and (iv) the officers of ARYA (the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are the individuals determined in accordance with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38"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individual identified on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of the ARYA Disclosure Schedules shall be a director on the ARYA Board immediately after the Effective Time, with such individual being in the class of directors set forth opposite his or her name (the “</w:t>
      </w:r>
      <w:r>
        <w:rPr>
          <w:rFonts w:ascii="Times New Roman" w:cs="Times New Roman" w:eastAsia="Times New Roman" w:hAnsi="Times New Roman"/>
          <w:sz w:val="18"/>
          <w:szCs w:val="18"/>
          <w:u w:val="single" w:color="auto"/>
          <w:color w:val="auto"/>
        </w:rPr>
        <w:t>ARYA Designee</w:t>
      </w:r>
      <w:r>
        <w:rPr>
          <w:rFonts w:ascii="Times New Roman" w:cs="Times New Roman" w:eastAsia="Times New Roman" w:hAnsi="Times New Roman"/>
          <w:sz w:val="18"/>
          <w:szCs w:val="18"/>
          <w:color w:val="auto"/>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of the ARYA Disclosure Schedules shall automatically be deemed amended to include such replacement individual as the ARYA Designee in lieu of, and to serve in the same class of directors as, the individual so replaced.</w:t>
      </w:r>
    </w:p>
    <w:p>
      <w:pPr>
        <w:spacing w:after="0" w:line="171"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761"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seven (7) individuals identified on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be directors on the ARYA Board immediately after the Effective Time, with each such individual being in the class of directors set forth opposite his or her name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 consent to the replacement of any such Company Designee pursuant to this clause (ii), then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or otherwise).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0" w:name="page101"/>
    <w:bookmarkEnd w:id="100"/>
    <w:p>
      <w:pPr>
        <w:jc w:val="both"/>
        <w:ind w:firstLine="1074"/>
        <w:spacing w:after="0" w:line="245" w:lineRule="auto"/>
        <w:tabs>
          <w:tab w:leader="none" w:pos="1793"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spacing w:after="0" w:line="163"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83"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52"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individuals identified on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shall be Officers immediately after the Effective Time, with each such individual holding the title set forth opposite his or her name. In the event that any such individual identified on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168"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82"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obligations of ARYA pursuant to </w:t>
      </w: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 xml:space="preserve"> 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1" w:name="page102"/>
    <w:bookmarkEnd w:id="101"/>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5.19</w:t>
      </w:r>
      <w:r>
        <w:rPr>
          <w:sz w:val="20"/>
          <w:szCs w:val="20"/>
          <w:color w:val="auto"/>
        </w:rPr>
        <w:tab/>
      </w:r>
      <w:r>
        <w:rPr>
          <w:rFonts w:ascii="Times New Roman" w:cs="Times New Roman" w:eastAsia="Times New Roman" w:hAnsi="Times New Roman"/>
          <w:sz w:val="17"/>
          <w:szCs w:val="17"/>
          <w:b w:val="1"/>
          <w:bCs w:val="1"/>
          <w:u w:val="single" w:color="auto"/>
          <w:color w:val="auto"/>
        </w:rPr>
        <w:t>PCAOB Financials</w:t>
      </w:r>
      <w:r>
        <w:rPr>
          <w:rFonts w:ascii="Times New Roman" w:cs="Times New Roman" w:eastAsia="Times New Roman" w:hAnsi="Times New Roman"/>
          <w:sz w:val="17"/>
          <w:szCs w:val="17"/>
          <w:b w:val="1"/>
          <w:bCs w:val="1"/>
          <w:color w:val="auto"/>
        </w:rPr>
        <w:t>.</w:t>
      </w:r>
    </w:p>
    <w:p>
      <w:pPr>
        <w:spacing w:after="0" w:line="195" w:lineRule="exact"/>
        <w:rPr>
          <w:sz w:val="20"/>
          <w:szCs w:val="20"/>
          <w:color w:val="auto"/>
        </w:rPr>
      </w:pPr>
    </w:p>
    <w:p>
      <w:pPr>
        <w:jc w:val="both"/>
        <w:ind w:firstLine="1074"/>
        <w:spacing w:after="0" w:line="233" w:lineRule="auto"/>
        <w:tabs>
          <w:tab w:leader="none" w:pos="1717"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deliver to ARYA, (i) as promptly as reasonably practicable following the date of this Agreement, the audited consolidated balance sheets of the 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Company Financial Statements</w:t>
      </w:r>
      <w:r>
        <w:rPr>
          <w:rFonts w:ascii="Times New Roman" w:cs="Times New Roman" w:eastAsia="Times New Roman" w:hAnsi="Times New Roman"/>
          <w:sz w:val="18"/>
          <w:szCs w:val="18"/>
          <w:color w:val="auto"/>
        </w:rPr>
        <w:t>”, and collectively with the Closing Company Audited Financial Statements, the “</w:t>
      </w:r>
      <w:r>
        <w:rPr>
          <w:rFonts w:ascii="Times New Roman" w:cs="Times New Roman" w:eastAsia="Times New Roman" w:hAnsi="Times New Roman"/>
          <w:sz w:val="18"/>
          <w:szCs w:val="18"/>
          <w:u w:val="single" w:color="auto"/>
          <w:color w:val="auto"/>
        </w:rPr>
        <w:t>Closing 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7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38"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spacing w:after="0" w:line="16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5.20 </w:t>
      </w:r>
      <w:r>
        <w:rPr>
          <w:rFonts w:ascii="Times New Roman" w:cs="Times New Roman" w:eastAsia="Times New Roman" w:hAnsi="Times New Roman"/>
          <w:sz w:val="18"/>
          <w:szCs w:val="18"/>
          <w:b w:val="1"/>
          <w:bCs w:val="1"/>
          <w:u w:val="single" w:color="auto"/>
          <w:color w:val="000000"/>
        </w:rPr>
        <w:t>ARYA Incentive Equity Plan; ARYA Employee Stock Purchase Plan</w:t>
      </w:r>
      <w:r>
        <w:rPr>
          <w:rFonts w:ascii="Times New Roman" w:cs="Times New Roman" w:eastAsia="Times New Roman" w:hAnsi="Times New Roman"/>
          <w:sz w:val="18"/>
          <w:szCs w:val="18"/>
          <w:color w:val="000000"/>
        </w:rPr>
        <w:t>. Prior to the ARYA Shareholders Meeting, the ARYA Board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approve and adopt (a) the equity incentive plan, in substantially the form attached as Exhibit H and with any changes or modifications thereto as the Company and ARYA may mutually agree (such agreement not to be unreasonably withheld, conditioned or delayed by either the Company or ARYA, as applicable) (the “ARYA Incentive Equity Plan”),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Exhibit I and with any changes or modifications thereto as the Company and ARYA may mutually agree (such agreement not to be unreasonably withheld, conditioned or delayed by either the Company or ARYA, as applicable) (the “ARYA Employee Stock Purchase Plan”),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02" w:name="page103"/>
    <w:bookmarkEnd w:id="102"/>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5.21 </w:t>
      </w:r>
      <w:r>
        <w:rPr>
          <w:rFonts w:ascii="Times New Roman" w:cs="Times New Roman" w:eastAsia="Times New Roman" w:hAnsi="Times New Roman"/>
          <w:sz w:val="18"/>
          <w:szCs w:val="18"/>
          <w:b w:val="1"/>
          <w:bCs w:val="1"/>
          <w:u w:val="single" w:color="auto"/>
          <w:color w:val="000000"/>
        </w:rPr>
        <w:t>FIRPTA Certificates</w:t>
      </w:r>
      <w:r>
        <w:rPr>
          <w:rFonts w:ascii="Times New Roman" w:cs="Times New Roman" w:eastAsia="Times New Roman" w:hAnsi="Times New Roman"/>
          <w:sz w:val="18"/>
          <w:szCs w:val="18"/>
          <w:color w:val="000000"/>
        </w:rPr>
        <w:t>. At or prior to the Closing, the Company shall deliver, or cause to be delivered, to ARYA a certificate, duly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spacing w:after="0" w:line="164"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5.22</w:t>
      </w:r>
      <w:r>
        <w:rPr>
          <w:sz w:val="20"/>
          <w:szCs w:val="20"/>
          <w:color w:val="auto"/>
        </w:rPr>
        <w:tab/>
      </w:r>
      <w:r>
        <w:rPr>
          <w:rFonts w:ascii="Times New Roman" w:cs="Times New Roman" w:eastAsia="Times New Roman" w:hAnsi="Times New Roman"/>
          <w:sz w:val="17"/>
          <w:szCs w:val="17"/>
          <w:b w:val="1"/>
          <w:bCs w:val="1"/>
          <w:u w:val="single" w:color="auto"/>
          <w:color w:val="auto"/>
        </w:rPr>
        <w:t>Employee Benefits Matters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3" w:lineRule="auto"/>
        <w:tabs>
          <w:tab w:leader="none" w:pos="1728"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 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spacing w:after="0" w:line="176"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49"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3" w:name="page104"/>
    <w:bookmarkEnd w:id="103"/>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010000"/>
        </w:rPr>
        <w:t xml:space="preserve">Section 5.23 </w:t>
      </w:r>
      <w:r>
        <w:rPr>
          <w:rFonts w:ascii="Times New Roman" w:cs="Times New Roman" w:eastAsia="Times New Roman" w:hAnsi="Times New Roman"/>
          <w:sz w:val="18"/>
          <w:szCs w:val="18"/>
          <w:b w:val="1"/>
          <w:bCs w:val="1"/>
          <w:u w:val="single" w:color="auto"/>
          <w:color w:val="000000"/>
        </w:rPr>
        <w:t>Bylaws</w:t>
      </w:r>
      <w:r>
        <w:rPr>
          <w:rFonts w:ascii="Times New Roman" w:cs="Times New Roman" w:eastAsia="Times New Roman" w:hAnsi="Times New Roman"/>
          <w:sz w:val="18"/>
          <w:szCs w:val="18"/>
          <w:color w:val="000000"/>
        </w:rPr>
        <w:t>. Prior to the occurrence of the Effective Time, ARYA shall adopt, or cause to be adopted, the ARYA Bylaws in accordance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 applicable Law.</w:t>
      </w:r>
    </w:p>
    <w:p>
      <w:pPr>
        <w:spacing w:after="0" w:line="145"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5.24 </w:t>
      </w:r>
      <w:r>
        <w:rPr>
          <w:rFonts w:ascii="Times New Roman" w:cs="Times New Roman" w:eastAsia="Times New Roman" w:hAnsi="Times New Roman"/>
          <w:sz w:val="18"/>
          <w:szCs w:val="18"/>
          <w:b w:val="1"/>
          <w:bCs w:val="1"/>
          <w:u w:val="single" w:color="auto"/>
          <w:color w:val="000000"/>
        </w:rPr>
        <w:t>Company Change of Name</w:t>
      </w:r>
      <w:r>
        <w:rPr>
          <w:rFonts w:ascii="Times New Roman" w:cs="Times New Roman" w:eastAsia="Times New Roman" w:hAnsi="Times New Roman"/>
          <w:sz w:val="18"/>
          <w:szCs w:val="18"/>
          <w:color w:val="000000"/>
        </w:rPr>
        <w:t>. At least two Business Days prior to the Closing Date, the Company shall cause its name to be changed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“Nautilus Subsidiary, Inc.” (or such other name as may be mutually agreed by ARYA and the Company) and provide evidence of the same to ARYA.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 CONTEMPLATED BY THIS AGREEMENT</w:t>
      </w:r>
    </w:p>
    <w:p>
      <w:pPr>
        <w:spacing w:after="0" w:line="170"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6.1</w:t>
      </w:r>
      <w:r>
        <w:rPr>
          <w:sz w:val="20"/>
          <w:szCs w:val="20"/>
          <w:color w:val="auto"/>
        </w:rPr>
        <w:tab/>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transactions contemplated by this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written waiver by all of the Parties, of the following conditions:</w:t>
      </w:r>
    </w:p>
    <w:p>
      <w:pPr>
        <w:spacing w:after="0" w:line="172" w:lineRule="exact"/>
        <w:rPr>
          <w:sz w:val="20"/>
          <w:szCs w:val="20"/>
          <w:color w:val="auto"/>
        </w:rPr>
      </w:pPr>
    </w:p>
    <w:p>
      <w:pPr>
        <w:ind w:right="20" w:firstLine="1074"/>
        <w:spacing w:after="0" w:line="260" w:lineRule="auto"/>
        <w:tabs>
          <w:tab w:leader="none" w:pos="162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applicable waiting period under the HSR Act relating to the transactions contemplated by this Agreement shall have expired, been terminated or obtained (or deemed, by applicable Law, to have been obtained), as applicable;</w:t>
      </w:r>
    </w:p>
    <w:p>
      <w:pPr>
        <w:spacing w:after="0" w:line="150" w:lineRule="exact"/>
        <w:rPr>
          <w:rFonts w:ascii="Times New Roman" w:cs="Times New Roman" w:eastAsia="Times New Roman" w:hAnsi="Times New Roman"/>
          <w:sz w:val="18"/>
          <w:szCs w:val="18"/>
          <w:color w:val="010000"/>
        </w:rPr>
      </w:pPr>
    </w:p>
    <w:p>
      <w:pPr>
        <w:ind w:firstLine="1074"/>
        <w:spacing w:after="0" w:line="260" w:lineRule="auto"/>
        <w:tabs>
          <w:tab w:leader="none" w:pos="163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Order, Law or other legal restraint or prohibition issued by any court of competent jurisdiction or other Governmental Entity of competent jurisdiction enjoining or prohibiting the consummation of the Domestication or the Merger(the “</w:t>
      </w:r>
      <w:r>
        <w:rPr>
          <w:rFonts w:ascii="Times New Roman" w:cs="Times New Roman" w:eastAsia="Times New Roman" w:hAnsi="Times New Roman"/>
          <w:sz w:val="18"/>
          <w:szCs w:val="18"/>
          <w:u w:val="single" w:color="auto"/>
          <w:color w:val="auto"/>
        </w:rPr>
        <w:t>Closing Transactions</w:t>
      </w:r>
      <w:r>
        <w:rPr>
          <w:rFonts w:ascii="Times New Roman" w:cs="Times New Roman" w:eastAsia="Times New Roman" w:hAnsi="Times New Roman"/>
          <w:sz w:val="18"/>
          <w:szCs w:val="18"/>
          <w:color w:val="auto"/>
        </w:rPr>
        <w:t>”) shall be in effect;</w:t>
      </w:r>
    </w:p>
    <w:p>
      <w:pPr>
        <w:spacing w:after="0" w:line="150" w:lineRule="exact"/>
        <w:rPr>
          <w:rFonts w:ascii="Times New Roman" w:cs="Times New Roman" w:eastAsia="Times New Roman" w:hAnsi="Times New Roman"/>
          <w:sz w:val="18"/>
          <w:szCs w:val="18"/>
          <w:color w:val="010000"/>
        </w:rPr>
      </w:pPr>
    </w:p>
    <w:p>
      <w:pPr>
        <w:jc w:val="both"/>
        <w:ind w:right="20" w:firstLine="1074"/>
        <w:spacing w:after="0" w:line="246" w:lineRule="auto"/>
        <w:tabs>
          <w:tab w:leader="none" w:pos="1717"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Required Shareholder Approval shall have been obtained;</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Required ARYA Shareholder Approval shall have been obtained;</w:t>
      </w:r>
    </w:p>
    <w:p>
      <w:pPr>
        <w:spacing w:after="0" w:line="192"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0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 and the ARYA Shares (including the ARYA Shares to be issued hereunder) shall have been approved for listing on Nasdaq;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04" w:name="page105"/>
    <w:bookmarkEnd w:id="104"/>
    <w:p>
      <w:pPr>
        <w:jc w:val="both"/>
        <w:ind w:firstLine="1074"/>
        <w:spacing w:after="0" w:line="245" w:lineRule="auto"/>
        <w:tabs>
          <w:tab w:leader="none" w:pos="162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after giving effect to the transactions contemplated hereby (including after giving effect to the PIPE Financing and after giving effect to the ARYA Shareholder Redemption), ARYA shall have at least $5,000,001 of net tangible assets (as determined in accordance with Rule 3a51-1(g)(1) of the Exchange Act) immediately after the Effective Time.</w:t>
      </w:r>
    </w:p>
    <w:p>
      <w:pPr>
        <w:spacing w:after="0" w:line="16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6.2 </w:t>
      </w:r>
      <w:r>
        <w:rPr>
          <w:rFonts w:ascii="Times New Roman" w:cs="Times New Roman" w:eastAsia="Times New Roman" w:hAnsi="Times New Roman"/>
          <w:sz w:val="18"/>
          <w:szCs w:val="18"/>
          <w:b w:val="1"/>
          <w:bCs w:val="1"/>
          <w:u w:val="single" w:color="auto"/>
          <w:color w:val="000000"/>
        </w:rPr>
        <w:t>Other Conditions to the Obligations of the ARYA Parties</w:t>
      </w:r>
      <w:r>
        <w:rPr>
          <w:rFonts w:ascii="Times New Roman" w:cs="Times New Roman" w:eastAsia="Times New Roman" w:hAnsi="Times New Roman"/>
          <w:sz w:val="18"/>
          <w:szCs w:val="18"/>
          <w:color w:val="000000"/>
        </w:rPr>
        <w:t>. The obligations of the ARYA Parties to consummate the transactions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contemplated by this Agreement are subject to the satisfaction or, if permitted by applicable Law, written waiver by ARYA (on behalf of itself and the other ARYA Parties) of the following further conditions:</w:t>
      </w:r>
    </w:p>
    <w:p>
      <w:pPr>
        <w:spacing w:after="0" w:line="162" w:lineRule="exact"/>
        <w:rPr>
          <w:sz w:val="20"/>
          <w:szCs w:val="20"/>
          <w:color w:val="auto"/>
        </w:rPr>
      </w:pPr>
    </w:p>
    <w:p>
      <w:pPr>
        <w:jc w:val="both"/>
        <w:ind w:firstLine="1074"/>
        <w:spacing w:after="0" w:line="234" w:lineRule="auto"/>
        <w:tabs>
          <w:tab w:leader="none" w:pos="1717"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the Company Fundamental Representations (other than the representations and warranties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(ii) shall be deemed to be satisfied if no Company Material Adverse Effect is continuing and (iii) the representations and warranties of the of the Company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71" w:lineRule="exact"/>
        <w:rPr>
          <w:rFonts w:ascii="Times New Roman" w:cs="Times New Roman" w:eastAsia="Times New Roman" w:hAnsi="Times New Roman"/>
          <w:sz w:val="18"/>
          <w:szCs w:val="18"/>
          <w:color w:val="010000"/>
        </w:rPr>
      </w:pPr>
    </w:p>
    <w:p>
      <w:pPr>
        <w:ind w:firstLine="1074"/>
        <w:spacing w:after="0" w:line="260" w:lineRule="auto"/>
        <w:tabs>
          <w:tab w:leader="none" w:pos="1671"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the Company under this Agreement at or prior to the Closing;</w:t>
      </w:r>
    </w:p>
    <w:p>
      <w:pPr>
        <w:spacing w:after="0" w:line="150" w:lineRule="exact"/>
        <w:rPr>
          <w:rFonts w:ascii="Times New Roman" w:cs="Times New Roman" w:eastAsia="Times New Roman" w:hAnsi="Times New Roman"/>
          <w:sz w:val="18"/>
          <w:szCs w:val="18"/>
          <w:color w:val="010000"/>
        </w:rPr>
      </w:pPr>
    </w:p>
    <w:p>
      <w:pPr>
        <w:ind w:left="1680" w:hanging="606"/>
        <w:spacing w:after="0"/>
        <w:tabs>
          <w:tab w:leader="none" w:pos="168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this Agreement, no Company Material Adverse Effect has occurred that is continuing;</w:t>
      </w:r>
    </w:p>
    <w:p>
      <w:pPr>
        <w:spacing w:after="0" w:line="192" w:lineRule="exact"/>
        <w:rPr>
          <w:rFonts w:ascii="Times New Roman" w:cs="Times New Roman" w:eastAsia="Times New Roman" w:hAnsi="Times New Roman"/>
          <w:sz w:val="18"/>
          <w:szCs w:val="18"/>
          <w:color w:val="010000"/>
        </w:rPr>
      </w:pPr>
    </w:p>
    <w:p>
      <w:pPr>
        <w:ind w:left="1640" w:hanging="566"/>
        <w:spacing w:after="0"/>
        <w:tabs>
          <w:tab w:leader="none" w:pos="164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or prior to the Closing, the Company shall have delivered, or caused to be delivered, to ARYA the following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5" w:name="page106"/>
    <w:bookmarkEnd w:id="105"/>
    <w:p>
      <w:pPr>
        <w:ind w:left="1080" w:firstLine="526"/>
        <w:spacing w:after="0" w:line="289" w:lineRule="auto"/>
        <w:tabs>
          <w:tab w:leader="none" w:pos="2091" w:val="left"/>
        </w:tabs>
        <w:numPr>
          <w:ilvl w:val="0"/>
          <w:numId w:val="1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xml:space="preserve"> are satisfied, in a form and substance reasonably satisfactory to ARYA; and</w:t>
      </w:r>
    </w:p>
    <w:p>
      <w:pPr>
        <w:spacing w:after="0" w:line="127" w:lineRule="exact"/>
        <w:rPr>
          <w:rFonts w:ascii="Times New Roman" w:cs="Times New Roman" w:eastAsia="Times New Roman" w:hAnsi="Times New Roman"/>
          <w:sz w:val="17"/>
          <w:szCs w:val="17"/>
          <w:color w:val="010000"/>
        </w:rPr>
      </w:pPr>
    </w:p>
    <w:p>
      <w:pPr>
        <w:ind w:left="1080" w:right="20" w:firstLine="526"/>
        <w:spacing w:after="0" w:line="260" w:lineRule="auto"/>
        <w:tabs>
          <w:tab w:leader="none" w:pos="2162"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Rights Agreement duly executed by the Company Shareholders set forth on </w:t>
      </w:r>
      <w:r>
        <w:rPr>
          <w:rFonts w:ascii="Times New Roman" w:cs="Times New Roman" w:eastAsia="Times New Roman" w:hAnsi="Times New Roman"/>
          <w:sz w:val="18"/>
          <w:szCs w:val="18"/>
          <w:u w:val="single" w:color="auto"/>
          <w:color w:val="auto"/>
        </w:rPr>
        <w:t>Section 6.2(d)(ii)</w:t>
      </w:r>
      <w:r>
        <w:rPr>
          <w:rFonts w:ascii="Times New Roman" w:cs="Times New Roman" w:eastAsia="Times New Roman" w:hAnsi="Times New Roman"/>
          <w:sz w:val="18"/>
          <w:szCs w:val="18"/>
          <w:color w:val="auto"/>
        </w:rPr>
        <w:t xml:space="preserve"> of the Company Disclosure Schedules.</w:t>
      </w:r>
    </w:p>
    <w:p>
      <w:pPr>
        <w:spacing w:after="0" w:line="149"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6.3 </w:t>
      </w:r>
      <w:r>
        <w:rPr>
          <w:rFonts w:ascii="Times New Roman" w:cs="Times New Roman" w:eastAsia="Times New Roman" w:hAnsi="Times New Roman"/>
          <w:sz w:val="18"/>
          <w:szCs w:val="18"/>
          <w:b w:val="1"/>
          <w:bCs w:val="1"/>
          <w:u w:val="single" w:color="auto"/>
          <w:color w:val="000000"/>
        </w:rPr>
        <w:t>Other Conditions to the Obligations of the Company</w:t>
      </w:r>
      <w:r>
        <w:rPr>
          <w:rFonts w:ascii="Times New Roman" w:cs="Times New Roman" w:eastAsia="Times New Roman" w:hAnsi="Times New Roman"/>
          <w:sz w:val="18"/>
          <w:szCs w:val="18"/>
          <w:color w:val="000000"/>
        </w:rPr>
        <w:t>. The obligations of the Company to consummate the transactions contemplated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this Agreement are subject to the satisfaction or, if permitted by applicable Law, written waiver by the Company of the following further conditions:</w:t>
      </w:r>
    </w:p>
    <w:p>
      <w:pPr>
        <w:spacing w:after="0" w:line="147" w:lineRule="exact"/>
        <w:rPr>
          <w:sz w:val="20"/>
          <w:szCs w:val="20"/>
          <w:color w:val="auto"/>
        </w:rPr>
      </w:pPr>
    </w:p>
    <w:p>
      <w:pPr>
        <w:jc w:val="both"/>
        <w:ind w:firstLine="1074"/>
        <w:spacing w:after="0" w:line="249" w:lineRule="auto"/>
        <w:tabs>
          <w:tab w:leader="none" w:pos="161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 the ARYA Fundamental Representations (other than the representations and warranties set forth in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 xml:space="preserve">) shall be true and correct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this clause (ii) shall be deemed to be satisfied if no ARYA Material Adverse Effect is continuing, and (iii) the representations and warranties of the ARYA Parties (other than the ARYA Fundamental Representations) contained in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spacing w:after="0" w:line="162" w:lineRule="exact"/>
        <w:rPr>
          <w:rFonts w:ascii="Times New Roman" w:cs="Times New Roman" w:eastAsia="Times New Roman" w:hAnsi="Times New Roman"/>
          <w:sz w:val="17"/>
          <w:szCs w:val="17"/>
          <w:color w:val="010000"/>
        </w:rPr>
      </w:pPr>
    </w:p>
    <w:p>
      <w:pPr>
        <w:ind w:firstLine="1074"/>
        <w:spacing w:after="0" w:line="260" w:lineRule="auto"/>
        <w:tabs>
          <w:tab w:leader="none" w:pos="1849"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Parties shall have performed and complied in all material respects with the covenants and agreements required to be performed or complied with by them under this Agreement at or prior to the Closing;</w:t>
      </w:r>
    </w:p>
    <w:p>
      <w:pPr>
        <w:spacing w:after="0" w:line="150"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this Agreement, no ARYA Material Adverse Effect has occurred that is continuing;</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Transaction Proceeds shall be equal to or greater than $250,000,000;</w:t>
      </w:r>
    </w:p>
    <w:p>
      <w:pPr>
        <w:spacing w:after="0" w:line="192" w:lineRule="exact"/>
        <w:rPr>
          <w:rFonts w:ascii="Times New Roman" w:cs="Times New Roman" w:eastAsia="Times New Roman" w:hAnsi="Times New Roman"/>
          <w:sz w:val="18"/>
          <w:szCs w:val="18"/>
          <w:color w:val="010000"/>
        </w:rPr>
      </w:pPr>
    </w:p>
    <w:p>
      <w:pPr>
        <w:ind w:firstLine="1074"/>
        <w:spacing w:after="0" w:line="260" w:lineRule="auto"/>
        <w:tabs>
          <w:tab w:leader="none" w:pos="1794"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immediately following the Effective Time, the ARYA Board shall consist of the number of directors, and be comprised of the individuals, determined pursuant to </w:t>
      </w:r>
      <w:r>
        <w:rPr>
          <w:rFonts w:ascii="Times New Roman" w:cs="Times New Roman" w:eastAsia="Times New Roman" w:hAnsi="Times New Roman"/>
          <w:sz w:val="18"/>
          <w:szCs w:val="18"/>
          <w:u w:val="single" w:color="auto"/>
          <w:color w:val="auto"/>
        </w:rPr>
        <w:t>Section 5.18(a)(i)-(ii)</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6" w:name="page107"/>
    <w:bookmarkEnd w:id="106"/>
    <w:p>
      <w:pPr>
        <w:ind w:firstLine="1074"/>
        <w:spacing w:after="0" w:line="259" w:lineRule="auto"/>
        <w:tabs>
          <w:tab w:leader="none" w:pos="1897"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Sponsor and the Other Class B Shareholders shall have complied in all material respects with their covenants and agreements required to be performed or complied with by them under the Sponsor Letter Agreement at or prior to the Closing;</w:t>
      </w:r>
    </w:p>
    <w:p>
      <w:pPr>
        <w:spacing w:after="0" w:line="15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71"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Domestication shall have been consummated on the Closing Date prior to the Effective Time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a time-stamped copy of the certificate issued by the Secretary of State of the State of Delaware in relation thereto shall have been delivered to the Company; and</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or prior to the Closing, ARYA shall have delivered, or caused to be delivered, the following documents:</w:t>
      </w:r>
    </w:p>
    <w:p>
      <w:pPr>
        <w:spacing w:after="0" w:line="192"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57" w:val="left"/>
        </w:tabs>
        <w:numPr>
          <w:ilvl w:val="1"/>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duly executed by an authorized officer of ARYA,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are satisfied, in a form and substance reasonably satisfactory to the Company; and</w:t>
      </w:r>
    </w:p>
    <w:p>
      <w:pPr>
        <w:spacing w:after="0" w:line="162" w:lineRule="exact"/>
        <w:rPr>
          <w:rFonts w:ascii="Times New Roman" w:cs="Times New Roman" w:eastAsia="Times New Roman" w:hAnsi="Times New Roman"/>
          <w:sz w:val="18"/>
          <w:szCs w:val="18"/>
          <w:color w:val="010000"/>
        </w:rPr>
      </w:pPr>
    </w:p>
    <w:p>
      <w:pPr>
        <w:ind w:left="2140" w:hanging="534"/>
        <w:spacing w:after="0"/>
        <w:tabs>
          <w:tab w:leader="none" w:pos="2140" w:val="left"/>
        </w:tabs>
        <w:numPr>
          <w:ilvl w:val="1"/>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Rights Agreement duly executed by ARYA and the Perceptive Shareholders.</w:t>
      </w:r>
    </w:p>
    <w:p>
      <w:pPr>
        <w:spacing w:after="0" w:line="190"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6.4 </w:t>
      </w:r>
      <w:r>
        <w:rPr>
          <w:rFonts w:ascii="Times New Roman" w:cs="Times New Roman" w:eastAsia="Times New Roman" w:hAnsi="Times New Roman"/>
          <w:sz w:val="18"/>
          <w:szCs w:val="18"/>
          <w:b w:val="1"/>
          <w:bCs w:val="1"/>
          <w:u w:val="single" w:color="auto"/>
          <w:color w:val="000000"/>
        </w:rPr>
        <w:t>Frustration of Closing Conditions</w:t>
      </w:r>
      <w:r>
        <w:rPr>
          <w:rFonts w:ascii="Times New Roman" w:cs="Times New Roman" w:eastAsia="Times New Roman" w:hAnsi="Times New Roman"/>
          <w:sz w:val="18"/>
          <w:szCs w:val="18"/>
          <w:color w:val="000000"/>
        </w:rPr>
        <w:t>. The Company may not rely on the failure of any condition set forth in this Article 6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satisfied if such failure was proximately caused by the Company’s breach of its obligations under this Agreement, including a breach of its obligations to use reasonable best efforts to cause the Closing to occur as required by Section 5.2. None of the ARYA Parties may rely on the failure of any condition set forth in this Article 6 to be satisfied if such failure was proximately caused by an ARYA Party’s breach of its obligations under this Agreement, including a breach of its obligations to use reasonable best efforts to cause the Closing to occur as required by Section 5.2.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7</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7.1 </w:t>
      </w:r>
      <w:r>
        <w:rPr>
          <w:rFonts w:ascii="Times New Roman" w:cs="Times New Roman" w:eastAsia="Times New Roman" w:hAnsi="Times New Roman"/>
          <w:sz w:val="18"/>
          <w:szCs w:val="18"/>
          <w:b w:val="1"/>
          <w:bCs w:val="1"/>
          <w:u w:val="single" w:color="auto"/>
          <w:color w:val="000000"/>
        </w:rPr>
        <w:t>Termination</w:t>
      </w:r>
      <w:r>
        <w:rPr>
          <w:rFonts w:ascii="Times New Roman" w:cs="Times New Roman" w:eastAsia="Times New Roman" w:hAnsi="Times New Roman"/>
          <w:sz w:val="18"/>
          <w:szCs w:val="18"/>
          <w:color w:val="000000"/>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time prior to the Closing:</w:t>
      </w:r>
    </w:p>
    <w:p>
      <w:pPr>
        <w:spacing w:after="0" w:line="147" w:lineRule="exact"/>
        <w:rPr>
          <w:sz w:val="20"/>
          <w:szCs w:val="20"/>
          <w:color w:val="auto"/>
        </w:rPr>
      </w:pPr>
    </w:p>
    <w:p>
      <w:pPr>
        <w:ind w:left="1720" w:hanging="646"/>
        <w:spacing w:after="0"/>
        <w:tabs>
          <w:tab w:leader="none" w:pos="172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mutual written consent of ARYA and the Company;</w:t>
      </w:r>
    </w:p>
    <w:p>
      <w:pPr>
        <w:spacing w:after="0" w:line="19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93"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ARYA, if any of the representations or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ARYA Parties is then in breach of this Agreement so as to prevent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being satisfied and the Perceptive PIPE Investor is not then in breach of the PIPE Subscription Agreement so as to prevent the condition to the Closing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from being satisfied;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7" w:name="page108"/>
    <w:bookmarkEnd w:id="107"/>
    <w:p>
      <w:pPr>
        <w:jc w:val="both"/>
        <w:ind w:left="-20" w:firstLine="1074"/>
        <w:spacing w:after="0" w:line="235" w:lineRule="auto"/>
        <w:tabs>
          <w:tab w:leader="none" w:pos="1752"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is not then in breach of this Agreement so as to prevent the condition to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from being satisfied and none of the Company PIPE Investors is then in breach of the PIPE Subscription Agreement (after taking into account any cure by a Company Related Substituted Party in accordance with clauses (A) through (C) of </w:t>
      </w:r>
      <w:r>
        <w:rPr>
          <w:rFonts w:ascii="Times New Roman" w:cs="Times New Roman" w:eastAsia="Times New Roman" w:hAnsi="Times New Roman"/>
          <w:sz w:val="18"/>
          <w:szCs w:val="18"/>
          <w:u w:val="single" w:color="auto"/>
          <w:color w:val="auto"/>
        </w:rPr>
        <w:t>Section 7.11(d)</w:t>
      </w:r>
      <w:r>
        <w:rPr>
          <w:rFonts w:ascii="Times New Roman" w:cs="Times New Roman" w:eastAsia="Times New Roman" w:hAnsi="Times New Roman"/>
          <w:sz w:val="18"/>
          <w:szCs w:val="18"/>
          <w:color w:val="auto"/>
        </w:rPr>
        <w:t xml:space="preserve">) so as to prevent the condition to the Closing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from being satisfied;</w:t>
      </w:r>
    </w:p>
    <w:p>
      <w:pPr>
        <w:spacing w:after="0" w:line="172" w:lineRule="exact"/>
        <w:rPr>
          <w:rFonts w:ascii="Times New Roman" w:cs="Times New Roman" w:eastAsia="Times New Roman" w:hAnsi="Times New Roman"/>
          <w:sz w:val="18"/>
          <w:szCs w:val="18"/>
          <w:color w:val="010000"/>
        </w:rPr>
      </w:pPr>
    </w:p>
    <w:p>
      <w:pPr>
        <w:jc w:val="both"/>
        <w:ind w:left="-20" w:firstLine="1074"/>
        <w:spacing w:after="0" w:line="247" w:lineRule="auto"/>
        <w:tabs>
          <w:tab w:leader="none" w:pos="1618" w:val="left"/>
        </w:tabs>
        <w:numPr>
          <w:ilvl w:val="0"/>
          <w:numId w:val="10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by either ARYA or the Company, if the transactions contemplated by this Agreement shall not have been consummated on or prior to 11:59 P.M. (pacific time) August 6, 2021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right to terminate this Agreement pursuant to this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Times New Roman" w:cs="Times New Roman" w:eastAsia="Times New Roman" w:hAnsi="Times New Roman"/>
          <w:sz w:val="17"/>
          <w:szCs w:val="17"/>
          <w:u w:val="single" w:color="auto"/>
          <w:color w:val="auto"/>
        </w:rPr>
        <w:t>Company Related Breaching Party</w:t>
      </w:r>
      <w:r>
        <w:rPr>
          <w:rFonts w:ascii="Times New Roman" w:cs="Times New Roman" w:eastAsia="Times New Roman" w:hAnsi="Times New Roman"/>
          <w:sz w:val="17"/>
          <w:szCs w:val="17"/>
          <w:color w:val="auto"/>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the portion of the PIPE Financing Amount previously committed to be invested by the Company Related Breaching Party (each such investor, a “</w:t>
      </w:r>
      <w:r>
        <w:rPr>
          <w:rFonts w:ascii="Times New Roman" w:cs="Times New Roman" w:eastAsia="Times New Roman" w:hAnsi="Times New Roman"/>
          <w:sz w:val="17"/>
          <w:szCs w:val="17"/>
          <w:u w:val="single" w:color="auto"/>
          <w:color w:val="auto"/>
        </w:rPr>
        <w:t>Company Related Substituted Party</w:t>
      </w:r>
      <w:r>
        <w:rPr>
          <w:rFonts w:ascii="Times New Roman" w:cs="Times New Roman" w:eastAsia="Times New Roman" w:hAnsi="Times New Roman"/>
          <w:sz w:val="17"/>
          <w:szCs w:val="17"/>
          <w:color w:val="auto"/>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with each Company Substituted Party reflecting the portion of the PIPE Financing Amount such Company Related Substituted Party is committing to invest (the “</w:t>
      </w:r>
      <w:r>
        <w:rPr>
          <w:rFonts w:ascii="Times New Roman" w:cs="Times New Roman" w:eastAsia="Times New Roman" w:hAnsi="Times New Roman"/>
          <w:sz w:val="17"/>
          <w:szCs w:val="17"/>
          <w:u w:val="single" w:color="auto"/>
          <w:color w:val="auto"/>
        </w:rPr>
        <w:t>Substituted PIPE 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 as applicable, and without limiting any rights or remedies with respect to the applicable Company Related Breaching Party under the applicable PIPE Subscription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08" w:name="page109"/>
    <w:bookmarkEnd w:id="108"/>
    <w:p>
      <w:pPr>
        <w:ind w:right="20" w:firstLine="1074"/>
        <w:spacing w:after="0" w:line="259" w:lineRule="auto"/>
        <w:tabs>
          <w:tab w:leader="none" w:pos="1850"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either ARYA or the Company, if any Governmental Entity of competent jurisdiction shall have issued an Order permanently enjoining or prohibiting any of the Closing Transactions and such Order shall have become final and nonappealable;</w:t>
      </w:r>
    </w:p>
    <w:p>
      <w:pPr>
        <w:spacing w:after="0" w:line="151" w:lineRule="exact"/>
        <w:rPr>
          <w:rFonts w:ascii="Times New Roman" w:cs="Times New Roman" w:eastAsia="Times New Roman" w:hAnsi="Times New Roman"/>
          <w:sz w:val="18"/>
          <w:szCs w:val="18"/>
          <w:color w:val="010000"/>
        </w:rPr>
      </w:pPr>
    </w:p>
    <w:p>
      <w:pPr>
        <w:ind w:firstLine="1074"/>
        <w:spacing w:after="0" w:line="260" w:lineRule="auto"/>
        <w:tabs>
          <w:tab w:leader="none" w:pos="1642"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either ARYA or the Company, if the ARYA Shareholders Meeting has been held (including following any adjournment thereof), has concluded, ARYA’s shareholders have duly voted and the Required ARYA Shareholder Approval was not obtained; or</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849"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termination rights under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shall expire and ARYA shall not be entitled to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the Company Required Shareholder Approval has been obtained and delivered to ARYA prior to the time that this Agreement is terminated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7.2 </w:t>
      </w:r>
      <w:r>
        <w:rPr>
          <w:rFonts w:ascii="Times New Roman" w:cs="Times New Roman" w:eastAsia="Times New Roman" w:hAnsi="Times New Roman"/>
          <w:sz w:val="18"/>
          <w:szCs w:val="18"/>
          <w:b w:val="1"/>
          <w:bCs w:val="1"/>
          <w:u w:val="single" w:color="auto"/>
          <w:color w:val="000000"/>
        </w:rPr>
        <w:t>Effect of Termination</w:t>
      </w:r>
      <w:r>
        <w:rPr>
          <w:rFonts w:ascii="Times New Roman" w:cs="Times New Roman" w:eastAsia="Times New Roman" w:hAnsi="Times New Roman"/>
          <w:sz w:val="18"/>
          <w:szCs w:val="18"/>
          <w:color w:val="000000"/>
        </w:rPr>
        <w:t>. Except for a termination pursuant to Section 7.1(a), any termination of this Agreement pursuant to Section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7.1 will be effective (subject to the cure periods (if any) provided above) immediately upon the delivery of a valid written notice of the terminating Party to each of the other Parties hereto. In the event of the termination of this Agreement pursuant to Section 7.1, (a) this entire Agreement shall forthwith become void (and there shall be no Liability or obligation on the part of the Parties and their respective Representatives) with the exception of Section 5.3(a), this Section 7.2, Article 8 and Article 1 (to the extent, with respect to Article 1,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Section 7.1 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8</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8.1 </w:t>
      </w:r>
      <w:r>
        <w:rPr>
          <w:rFonts w:ascii="Times New Roman" w:cs="Times New Roman" w:eastAsia="Times New Roman" w:hAnsi="Times New Roman"/>
          <w:sz w:val="18"/>
          <w:szCs w:val="18"/>
          <w:b w:val="1"/>
          <w:bCs w:val="1"/>
          <w:u w:val="single" w:color="auto"/>
          <w:color w:val="000000"/>
        </w:rPr>
        <w:t>Non-Survival</w:t>
      </w:r>
      <w:r>
        <w:rPr>
          <w:rFonts w:ascii="Times New Roman" w:cs="Times New Roman" w:eastAsia="Times New Roman" w:hAnsi="Times New Roman"/>
          <w:sz w:val="18"/>
          <w:szCs w:val="18"/>
          <w:color w:val="000000"/>
        </w:rPr>
        <w:t>. The representations and warranties, and each of the agreements and covenants (to the extent such agreement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64"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8.2 </w:t>
      </w:r>
      <w:r>
        <w:rPr>
          <w:rFonts w:ascii="Times New Roman" w:cs="Times New Roman" w:eastAsia="Times New Roman" w:hAnsi="Times New Roman"/>
          <w:sz w:val="18"/>
          <w:szCs w:val="18"/>
          <w:b w:val="1"/>
          <w:bCs w:val="1"/>
          <w:u w:val="single" w:color="auto"/>
          <w:color w:val="000000"/>
        </w:rPr>
        <w:t>Entire Agreement; Assignment</w:t>
      </w:r>
      <w:r>
        <w:rPr>
          <w:rFonts w:ascii="Times New Roman" w:cs="Times New Roman" w:eastAsia="Times New Roman" w:hAnsi="Times New Roman"/>
          <w:sz w:val="18"/>
          <w:szCs w:val="18"/>
          <w:color w:val="000000"/>
        </w:rPr>
        <w:t>. This Agreement (together with the Ancillary Documents) constitutes the entire agreement among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provided, however, that to the extent any such assignment following the Closing relates to the ARYA Sponsor Specified Provisions, the assigning Party shall continue to be bound by its obligations under such provisions. Any attempted assignment of this Agreement not in accordance with the terms of this Section 8.2 shall be void.</w:t>
      </w:r>
    </w:p>
    <w:p>
      <w:pPr>
        <w:spacing w:after="0" w:line="16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7"/>
          <w:szCs w:val="17"/>
          <w:b w:val="1"/>
          <w:bCs w:val="1"/>
          <w:color w:val="010000"/>
        </w:rPr>
        <w:t xml:space="preserve">Section 8.3 </w:t>
      </w:r>
      <w:r>
        <w:rPr>
          <w:rFonts w:ascii="Times New Roman" w:cs="Times New Roman" w:eastAsia="Times New Roman" w:hAnsi="Times New Roman"/>
          <w:sz w:val="17"/>
          <w:szCs w:val="17"/>
          <w:b w:val="1"/>
          <w:bCs w:val="1"/>
          <w:u w:val="single" w:color="auto"/>
          <w:color w:val="000000"/>
        </w:rPr>
        <w:t>Amendment</w:t>
      </w:r>
      <w:r>
        <w:rPr>
          <w:rFonts w:ascii="Times New Roman" w:cs="Times New Roman" w:eastAsia="Times New Roman" w:hAnsi="Times New Roman"/>
          <w:sz w:val="17"/>
          <w:szCs w:val="17"/>
          <w:color w:val="000000"/>
        </w:rPr>
        <w:t>. This Agreement may be amended or modified only by a written agreement executed and delivered by ARYA and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Company; provided, however,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Section 8.3 shall be void, </w:t>
      </w:r>
      <w:r>
        <w:rPr>
          <w:rFonts w:ascii="Times New Roman" w:cs="Times New Roman" w:eastAsia="Times New Roman" w:hAnsi="Times New Roman"/>
          <w:sz w:val="17"/>
          <w:szCs w:val="17"/>
          <w:i w:val="1"/>
          <w:iCs w:val="1"/>
          <w:color w:val="000000"/>
        </w:rPr>
        <w:t>ab initio</w:t>
      </w:r>
      <w:r>
        <w:rPr>
          <w:rFonts w:ascii="Times New Roman" w:cs="Times New Roman" w:eastAsia="Times New Roman" w:hAnsi="Times New Roman"/>
          <w:sz w:val="17"/>
          <w:szCs w:val="17"/>
          <w:color w:val="000000"/>
        </w:rPr>
        <w:t>.</w:t>
      </w:r>
    </w:p>
    <w:p>
      <w:pPr>
        <w:spacing w:after="0" w:line="151"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8.4 </w:t>
      </w:r>
      <w:r>
        <w:rPr>
          <w:rFonts w:ascii="Times New Roman" w:cs="Times New Roman" w:eastAsia="Times New Roman" w:hAnsi="Times New Roman"/>
          <w:sz w:val="18"/>
          <w:szCs w:val="18"/>
          <w:b w:val="1"/>
          <w:bCs w:val="1"/>
          <w:u w:val="single" w:color="auto"/>
          <w:color w:val="000000"/>
        </w:rPr>
        <w:t>Notices</w:t>
      </w:r>
      <w:r>
        <w:rPr>
          <w:rFonts w:ascii="Times New Roman" w:cs="Times New Roman" w:eastAsia="Times New Roman" w:hAnsi="Times New Roman"/>
          <w:sz w:val="18"/>
          <w:szCs w:val="18"/>
          <w:color w:val="000000"/>
        </w:rPr>
        <w:t>. All notices, requests, claims, demands and other communications hereunder shall be in writing and shall be given (and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be deemed to have been duly given) by delivery in person, by e-mail (having obtained electronic delivery confirmation thereof (</w:t>
      </w:r>
      <w:r>
        <w:rPr>
          <w:rFonts w:ascii="Times New Roman" w:cs="Times New Roman" w:eastAsia="Times New Roman" w:hAnsi="Times New Roman"/>
          <w:sz w:val="18"/>
          <w:szCs w:val="18"/>
          <w:i w:val="1"/>
          <w:iCs w:val="1"/>
          <w:color w:val="000000"/>
        </w:rPr>
        <w:t>i.e.,</w:t>
      </w:r>
      <w:r>
        <w:rPr>
          <w:rFonts w:ascii="Times New Roman" w:cs="Times New Roman" w:eastAsia="Times New Roman" w:hAnsi="Times New Roman"/>
          <w:sz w:val="18"/>
          <w:szCs w:val="18"/>
          <w:color w:val="000000"/>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74" w:lineRule="exact"/>
        <w:rPr>
          <w:sz w:val="20"/>
          <w:szCs w:val="20"/>
          <w:color w:val="auto"/>
        </w:rPr>
      </w:pPr>
    </w:p>
    <w:p>
      <w:pPr>
        <w:ind w:left="1600" w:hanging="526"/>
        <w:spacing w:after="0"/>
        <w:tabs>
          <w:tab w:leader="none" w:pos="1600" w:val="left"/>
        </w:tabs>
        <w:numPr>
          <w:ilvl w:val="0"/>
          <w:numId w:val="109"/>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to any ARYA Party, to:</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0" w:name="page111"/>
    <w:bookmarkEnd w:id="110"/>
    <w:p>
      <w:pPr>
        <w:ind w:left="1600"/>
        <w:spacing w:after="0"/>
        <w:rPr>
          <w:sz w:val="20"/>
          <w:szCs w:val="20"/>
          <w:color w:val="auto"/>
        </w:rPr>
      </w:pPr>
      <w:r>
        <w:rPr>
          <w:rFonts w:ascii="Times New Roman" w:cs="Times New Roman" w:eastAsia="Times New Roman" w:hAnsi="Times New Roman"/>
          <w:sz w:val="18"/>
          <w:szCs w:val="18"/>
          <w:color w:val="auto"/>
        </w:rPr>
        <w:t>c/o ARYA Science Acquisition Corp III</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51 Astor Place, 10th Floor</w:t>
      </w:r>
    </w:p>
    <w:p>
      <w:pPr>
        <w:ind w:left="1600"/>
        <w:spacing w:after="0" w:line="236" w:lineRule="auto"/>
        <w:rPr>
          <w:sz w:val="20"/>
          <w:szCs w:val="20"/>
          <w:color w:val="auto"/>
        </w:rPr>
      </w:pPr>
      <w:r>
        <w:rPr>
          <w:rFonts w:ascii="Times New Roman" w:cs="Times New Roman" w:eastAsia="Times New Roman" w:hAnsi="Times New Roman"/>
          <w:sz w:val="18"/>
          <w:szCs w:val="18"/>
          <w:color w:val="auto"/>
        </w:rPr>
        <w:t>New York, NY 10003</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Michael Altman</w:t>
      </w:r>
    </w:p>
    <w:p>
      <w:pPr>
        <w:ind w:left="2680"/>
        <w:spacing w:after="0" w:line="237" w:lineRule="auto"/>
        <w:rPr>
          <w:sz w:val="20"/>
          <w:szCs w:val="20"/>
          <w:color w:val="auto"/>
        </w:rPr>
      </w:pPr>
      <w:r>
        <w:rPr>
          <w:rFonts w:ascii="Times New Roman" w:cs="Times New Roman" w:eastAsia="Times New Roman" w:hAnsi="Times New Roman"/>
          <w:sz w:val="18"/>
          <w:szCs w:val="18"/>
          <w:color w:val="auto"/>
        </w:rPr>
        <w:t>Konstantin Poukalov</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Michael@perceptivelife.com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Konstantin@perceptivelife.com</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u w:val="single" w:color="auto"/>
          <w:color w:val="auto"/>
        </w:rPr>
        <w:t>with a copy (which shall not constitute notice) to</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601 Lexington Avenue</w:t>
      </w:r>
    </w:p>
    <w:p>
      <w:pPr>
        <w:ind w:left="1600"/>
        <w:spacing w:after="0" w:line="236" w:lineRule="auto"/>
        <w:rPr>
          <w:sz w:val="20"/>
          <w:szCs w:val="20"/>
          <w:color w:val="auto"/>
        </w:rPr>
      </w:pPr>
      <w:r>
        <w:rPr>
          <w:rFonts w:ascii="Times New Roman" w:cs="Times New Roman" w:eastAsia="Times New Roman" w:hAnsi="Times New Roman"/>
          <w:sz w:val="18"/>
          <w:szCs w:val="18"/>
          <w:color w:val="auto"/>
        </w:rPr>
        <w:t>New York, NY 10022</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Jonathan L. Davis, P.C.</w:t>
      </w:r>
    </w:p>
    <w:p>
      <w:pPr>
        <w:ind w:left="2680"/>
        <w:spacing w:after="0" w:line="237" w:lineRule="auto"/>
        <w:rPr>
          <w:sz w:val="20"/>
          <w:szCs w:val="20"/>
          <w:color w:val="auto"/>
        </w:rPr>
      </w:pPr>
      <w:r>
        <w:rPr>
          <w:rFonts w:ascii="Times New Roman" w:cs="Times New Roman" w:eastAsia="Times New Roman" w:hAnsi="Times New Roman"/>
          <w:sz w:val="18"/>
          <w:szCs w:val="18"/>
          <w:color w:val="auto"/>
        </w:rPr>
        <w:t>Ryan Brissette</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jonathan.davis@kirkland.com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ryan.brissette@kirkland.com</w:t>
      </w:r>
    </w:p>
    <w:p>
      <w:pPr>
        <w:spacing w:after="0" w:line="181" w:lineRule="exact"/>
        <w:rPr>
          <w:sz w:val="20"/>
          <w:szCs w:val="20"/>
          <w:color w:val="auto"/>
        </w:rPr>
      </w:pPr>
    </w:p>
    <w:p>
      <w:pPr>
        <w:ind w:left="1600" w:hanging="526"/>
        <w:spacing w:after="0"/>
        <w:tabs>
          <w:tab w:leader="none" w:pos="1600" w:val="left"/>
        </w:tabs>
        <w:numPr>
          <w:ilvl w:val="0"/>
          <w:numId w:val="110"/>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to the Company, to:</w:t>
      </w:r>
    </w:p>
    <w:p>
      <w:pPr>
        <w:spacing w:after="0" w:line="1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PO Box 22027</w:t>
      </w:r>
    </w:p>
    <w:p>
      <w:pPr>
        <w:ind w:left="1600"/>
        <w:spacing w:after="0" w:line="231" w:lineRule="auto"/>
        <w:rPr>
          <w:sz w:val="20"/>
          <w:szCs w:val="20"/>
          <w:color w:val="auto"/>
        </w:rPr>
      </w:pPr>
      <w:r>
        <w:rPr>
          <w:rFonts w:ascii="Times New Roman" w:cs="Times New Roman" w:eastAsia="Times New Roman" w:hAnsi="Times New Roman"/>
          <w:sz w:val="18"/>
          <w:szCs w:val="18"/>
          <w:color w:val="auto"/>
        </w:rPr>
        <w:t>Seattle, WA 98122</w:t>
      </w:r>
    </w:p>
    <w:p>
      <w:pPr>
        <w:ind w:left="1600"/>
        <w:spacing w:after="0" w:line="232" w:lineRule="auto"/>
        <w:rPr>
          <w:sz w:val="20"/>
          <w:szCs w:val="20"/>
          <w:color w:val="auto"/>
        </w:rPr>
      </w:pPr>
      <w:r>
        <w:rPr>
          <w:rFonts w:ascii="Times New Roman" w:cs="Times New Roman" w:eastAsia="Times New Roman" w:hAnsi="Times New Roman"/>
          <w:sz w:val="18"/>
          <w:szCs w:val="18"/>
          <w:color w:val="auto"/>
        </w:rPr>
        <w:t>Attention: Sujal Patel, Chief Executive Officer</w:t>
      </w:r>
    </w:p>
    <w:p>
      <w:pPr>
        <w:ind w:left="1600"/>
        <w:spacing w:after="0"/>
        <w:rPr>
          <w:sz w:val="20"/>
          <w:szCs w:val="20"/>
          <w:color w:val="auto"/>
        </w:rPr>
      </w:pPr>
      <w:r>
        <w:rPr>
          <w:rFonts w:ascii="Times New Roman" w:cs="Times New Roman" w:eastAsia="Times New Roman" w:hAnsi="Times New Roman"/>
          <w:sz w:val="18"/>
          <w:szCs w:val="18"/>
          <w:color w:val="auto"/>
        </w:rPr>
        <w:t>Email: smpatel@nautilus.bio</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u w:val="single" w:color="auto"/>
          <w:color w:val="auto"/>
        </w:rPr>
        <w:t>with a copy (which shall not constitute notice) to</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650 Page Mill Road</w:t>
      </w:r>
    </w:p>
    <w:p>
      <w:pPr>
        <w:ind w:left="1600"/>
        <w:spacing w:after="0"/>
        <w:rPr>
          <w:sz w:val="20"/>
          <w:szCs w:val="20"/>
          <w:color w:val="auto"/>
        </w:rPr>
      </w:pPr>
      <w:r>
        <w:rPr>
          <w:rFonts w:ascii="Times New Roman" w:cs="Times New Roman" w:eastAsia="Times New Roman" w:hAnsi="Times New Roman"/>
          <w:sz w:val="18"/>
          <w:szCs w:val="18"/>
          <w:color w:val="auto"/>
        </w:rPr>
        <w:t>Palo Alto, CA 94304</w:t>
      </w:r>
    </w:p>
    <w:p>
      <w:pPr>
        <w:sectPr>
          <w:pgSz w:w="11900" w:h="16838" w:orient="portrait"/>
          <w:cols w:equalWidth="0" w:num="1">
            <w:col w:w="11260"/>
          </w:cols>
          <w:pgMar w:left="300" w:top="118" w:right="339" w:bottom="1440" w:gutter="0" w:footer="0" w:header="0"/>
        </w:sectPr>
      </w:pP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Attention:</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Robert Kornegay</w:t>
      </w:r>
    </w:p>
    <w:p>
      <w:pPr>
        <w:spacing w:after="0"/>
        <w:rPr>
          <w:sz w:val="20"/>
          <w:szCs w:val="20"/>
          <w:color w:val="auto"/>
        </w:rPr>
      </w:pPr>
      <w:r>
        <w:rPr>
          <w:rFonts w:ascii="Times New Roman" w:cs="Times New Roman" w:eastAsia="Times New Roman" w:hAnsi="Times New Roman"/>
          <w:sz w:val="14"/>
          <w:szCs w:val="14"/>
          <w:color w:val="auto"/>
        </w:rPr>
        <w:t>rkornegay@wsgr.com</w:t>
      </w:r>
    </w:p>
    <w:p>
      <w:pPr>
        <w:spacing w:after="0" w:line="193" w:lineRule="exact"/>
        <w:rPr>
          <w:sz w:val="20"/>
          <w:szCs w:val="20"/>
          <w:color w:val="auto"/>
        </w:rPr>
      </w:pPr>
    </w:p>
    <w:p>
      <w:pPr>
        <w:sectPr>
          <w:pgSz w:w="11900" w:h="16838" w:orient="portrait"/>
          <w:cols w:equalWidth="0" w:num="2">
            <w:col w:w="2200" w:space="480"/>
            <w:col w:w="8580"/>
          </w:cols>
          <w:pgMar w:left="300" w:top="118"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One Market Plaza, Spear Tower, Suite 3300</w:t>
      </w:r>
    </w:p>
    <w:p>
      <w:pPr>
        <w:ind w:left="1600"/>
        <w:spacing w:after="0" w:line="236" w:lineRule="auto"/>
        <w:rPr>
          <w:sz w:val="20"/>
          <w:szCs w:val="20"/>
          <w:color w:val="auto"/>
        </w:rPr>
      </w:pPr>
      <w:r>
        <w:rPr>
          <w:rFonts w:ascii="Times New Roman" w:cs="Times New Roman" w:eastAsia="Times New Roman" w:hAnsi="Times New Roman"/>
          <w:sz w:val="18"/>
          <w:szCs w:val="18"/>
          <w:color w:val="auto"/>
        </w:rPr>
        <w:t>San Francisco, CA 94105</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ind w:left="2680"/>
        <w:spacing w:after="0" w:line="237" w:lineRule="auto"/>
        <w:rPr>
          <w:sz w:val="20"/>
          <w:szCs w:val="20"/>
          <w:color w:val="auto"/>
        </w:rPr>
      </w:pPr>
      <w:r>
        <w:rPr>
          <w:rFonts w:ascii="Times New Roman" w:cs="Times New Roman" w:eastAsia="Times New Roman" w:hAnsi="Times New Roman"/>
          <w:sz w:val="18"/>
          <w:szCs w:val="18"/>
          <w:color w:val="auto"/>
        </w:rPr>
        <w:t>Brian Keyes</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rishii@wsgr.com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bkeyes@wsgr.com</w:t>
      </w:r>
    </w:p>
    <w:p>
      <w:pPr>
        <w:spacing w:after="0" w:line="1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111" w:name="page112"/>
    <w:bookmarkEnd w:id="111"/>
    <w:p>
      <w:pPr>
        <w:jc w:val="both"/>
        <w:ind w:firstLine="532"/>
        <w:spacing w:after="0" w:line="269" w:lineRule="auto"/>
        <w:rPr>
          <w:sz w:val="20"/>
          <w:szCs w:val="20"/>
          <w:color w:val="auto"/>
        </w:rPr>
      </w:pPr>
      <w:r>
        <w:rPr>
          <w:rFonts w:ascii="Times New Roman" w:cs="Times New Roman" w:eastAsia="Times New Roman" w:hAnsi="Times New Roman"/>
          <w:sz w:val="17"/>
          <w:szCs w:val="17"/>
          <w:b w:val="1"/>
          <w:bCs w:val="1"/>
          <w:color w:val="010000"/>
        </w:rPr>
        <w:t xml:space="preserve">Section 8.5 </w:t>
      </w:r>
      <w:r>
        <w:rPr>
          <w:rFonts w:ascii="Times New Roman" w:cs="Times New Roman" w:eastAsia="Times New Roman" w:hAnsi="Times New Roman"/>
          <w:sz w:val="17"/>
          <w:szCs w:val="17"/>
          <w:b w:val="1"/>
          <w:bCs w:val="1"/>
          <w:u w:val="single" w:color="auto"/>
          <w:color w:val="000000"/>
        </w:rPr>
        <w:t>Governing Law</w:t>
      </w:r>
      <w:r>
        <w:rPr>
          <w:rFonts w:ascii="Times New Roman" w:cs="Times New Roman" w:eastAsia="Times New Roman" w:hAnsi="Times New Roman"/>
          <w:sz w:val="17"/>
          <w:szCs w:val="17"/>
          <w:color w:val="000000"/>
        </w:rPr>
        <w:t>. This Agreement shall be governed by and construed in accordance with the laws of the State of Delaware, without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43"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8.6 </w:t>
      </w:r>
      <w:r>
        <w:rPr>
          <w:rFonts w:ascii="Times New Roman" w:cs="Times New Roman" w:eastAsia="Times New Roman" w:hAnsi="Times New Roman"/>
          <w:sz w:val="18"/>
          <w:szCs w:val="18"/>
          <w:b w:val="1"/>
          <w:bCs w:val="1"/>
          <w:u w:val="single" w:color="auto"/>
          <w:color w:val="000000"/>
        </w:rPr>
        <w:t>Fees and Expenses</w:t>
      </w:r>
      <w:r>
        <w:rPr>
          <w:rFonts w:ascii="Times New Roman" w:cs="Times New Roman" w:eastAsia="Times New Roman" w:hAnsi="Times New Roman"/>
          <w:sz w:val="18"/>
          <w:szCs w:val="18"/>
          <w:color w:val="000000"/>
        </w:rPr>
        <w:t>. Except as otherwise set forth in this Agreement, all fees and expenses incurred in connection with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the Ancillary Documents and the transactions contemplated hereby and thereby, including the fees and disbursements of counsel, financial advisors and accountants, shall be paid by the Party incurring such fees or expenses; provided that, for the avoidance of doubt, if this Agreement is terminated in accordance with its terms, the Company shall pay, or cause to be paid, all Unpaid Company Expenses and ARYA shall pay, or cause to be paid, all Unpaid ARYA Expenses.</w:t>
      </w:r>
    </w:p>
    <w:p>
      <w:pPr>
        <w:spacing w:after="0" w:line="167"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8.7 </w:t>
      </w:r>
      <w:r>
        <w:rPr>
          <w:rFonts w:ascii="Times New Roman" w:cs="Times New Roman" w:eastAsia="Times New Roman" w:hAnsi="Times New Roman"/>
          <w:sz w:val="18"/>
          <w:szCs w:val="18"/>
          <w:b w:val="1"/>
          <w:bCs w:val="1"/>
          <w:u w:val="single" w:color="auto"/>
          <w:color w:val="000000"/>
        </w:rPr>
        <w:t>Construction; Interpretation</w:t>
      </w:r>
      <w:r>
        <w:rPr>
          <w:rFonts w:ascii="Times New Roman" w:cs="Times New Roman" w:eastAsia="Times New Roman" w:hAnsi="Times New Roman"/>
          <w:sz w:val="18"/>
          <w:szCs w:val="18"/>
          <w:color w:val="000000"/>
        </w:rPr>
        <w:t>. The term “this Agreement” means this Business Combination Agreement together with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2" w:name="page113"/>
    <w:bookmarkEnd w:id="112"/>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8.8 </w:t>
      </w:r>
      <w:r>
        <w:rPr>
          <w:rFonts w:ascii="Times New Roman" w:cs="Times New Roman" w:eastAsia="Times New Roman" w:hAnsi="Times New Roman"/>
          <w:sz w:val="18"/>
          <w:szCs w:val="18"/>
          <w:b w:val="1"/>
          <w:bCs w:val="1"/>
          <w:u w:val="single" w:color="auto"/>
          <w:color w:val="000000"/>
        </w:rPr>
        <w:t>Exhibits and Schedules</w:t>
      </w:r>
      <w:r>
        <w:rPr>
          <w:rFonts w:ascii="Times New Roman" w:cs="Times New Roman" w:eastAsia="Times New Roman" w:hAnsi="Times New Roman"/>
          <w:sz w:val="18"/>
          <w:szCs w:val="18"/>
          <w:color w:val="000000"/>
        </w:rPr>
        <w:t>. All Exhibits and Schedules, or documents expressly incorporated into this Agreement, are hereby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Article 3 (in the case of the Company Disclosure Schedules) or Article 4 (in the case of the ARYA Disclosure Schedules), respectively, shall be deemed to have been disclosed with respect to every other section and subsection of Article 3 (in the case of the Company Disclosure Schedules) or Article 4 (in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Article 3 or Article 4 may not be limited to matters required to be disclosed in the Schedules, and any such additional information or disclosure is for informational purposes only and does not necessarily include other matters of a similar nature.</w:t>
      </w:r>
    </w:p>
    <w:p>
      <w:pPr>
        <w:spacing w:after="0" w:line="171"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8.9 </w:t>
      </w:r>
      <w:r>
        <w:rPr>
          <w:rFonts w:ascii="Times New Roman" w:cs="Times New Roman" w:eastAsia="Times New Roman" w:hAnsi="Times New Roman"/>
          <w:sz w:val="18"/>
          <w:szCs w:val="18"/>
          <w:b w:val="1"/>
          <w:bCs w:val="1"/>
          <w:u w:val="single" w:color="auto"/>
          <w:color w:val="000000"/>
        </w:rPr>
        <w:t>Parties in Interest</w:t>
      </w:r>
      <w:r>
        <w:rPr>
          <w:rFonts w:ascii="Times New Roman" w:cs="Times New Roman" w:eastAsia="Times New Roman" w:hAnsi="Times New Roman"/>
          <w:sz w:val="18"/>
          <w:szCs w:val="18"/>
          <w:color w:val="000000"/>
        </w:rPr>
        <w:t>. This Agreement shall be binding upon and inure solely to the benefit of each Party and its successors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permitted assigns and, except as provided in Section 5.16, Section 5.17, the last sentence of this Section 8.9 and Section 8.13, nothing in this Agreement, express or implied, is intended to or shall confer upon any other Person any rights, benefits or remedies of any nature whatsoever under or by reason of this Agreement. The ARYA Sponsor shall be an express third-party beneficiary of Section 5.16, Section 8.2, Section 8.3, this Section 8.9, Section 8.13 and Section 8.14 (collectively, the “ARYA Sponsor Specified Provisions”).</w:t>
      </w:r>
    </w:p>
    <w:p>
      <w:pPr>
        <w:spacing w:after="0" w:line="167"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8.10 </w:t>
      </w:r>
      <w:r>
        <w:rPr>
          <w:rFonts w:ascii="Times New Roman" w:cs="Times New Roman" w:eastAsia="Times New Roman" w:hAnsi="Times New Roman"/>
          <w:sz w:val="18"/>
          <w:szCs w:val="18"/>
          <w:b w:val="1"/>
          <w:bCs w:val="1"/>
          <w:u w:val="single" w:color="auto"/>
          <w:color w:val="000000"/>
        </w:rPr>
        <w:t>Severability</w:t>
      </w:r>
      <w:r>
        <w:rPr>
          <w:rFonts w:ascii="Times New Roman" w:cs="Times New Roman" w:eastAsia="Times New Roman" w:hAnsi="Times New Roman"/>
          <w:sz w:val="18"/>
          <w:szCs w:val="18"/>
          <w:color w:val="000000"/>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7"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8.11 </w:t>
      </w:r>
      <w:r>
        <w:rPr>
          <w:rFonts w:ascii="Times New Roman" w:cs="Times New Roman" w:eastAsia="Times New Roman" w:hAnsi="Times New Roman"/>
          <w:sz w:val="18"/>
          <w:szCs w:val="18"/>
          <w:b w:val="1"/>
          <w:bCs w:val="1"/>
          <w:u w:val="single" w:color="auto"/>
          <w:color w:val="000000"/>
        </w:rPr>
        <w:t>Counterparts; Electronic Signatures</w:t>
      </w:r>
      <w:r>
        <w:rPr>
          <w:rFonts w:ascii="Times New Roman" w:cs="Times New Roman" w:eastAsia="Times New Roman" w:hAnsi="Times New Roman"/>
          <w:sz w:val="18"/>
          <w:szCs w:val="18"/>
          <w:color w:val="000000"/>
        </w:rPr>
        <w:t>. This Agreement and each Ancillary Document (including any of the closing deliverables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67"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8.12 </w:t>
      </w:r>
      <w:r>
        <w:rPr>
          <w:rFonts w:ascii="Times New Roman" w:cs="Times New Roman" w:eastAsia="Times New Roman" w:hAnsi="Times New Roman"/>
          <w:sz w:val="18"/>
          <w:szCs w:val="18"/>
          <w:b w:val="1"/>
          <w:bCs w:val="1"/>
          <w:u w:val="single" w:color="auto"/>
          <w:color w:val="000000"/>
        </w:rPr>
        <w:t>Knowledge of Company; Knowledge of ARYA</w:t>
      </w:r>
      <w:r>
        <w:rPr>
          <w:rFonts w:ascii="Times New Roman" w:cs="Times New Roman" w:eastAsia="Times New Roman" w:hAnsi="Times New Roman"/>
          <w:sz w:val="18"/>
          <w:szCs w:val="18"/>
          <w:color w:val="000000"/>
        </w:rPr>
        <w:t>. For all purposes of this Agreement, the phrase “to the Company’s knowledge”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“known by the Company” and any derivations thereof shall mean as of the applicable date, the actual knowledge of the individuals set forth on Section 8.12(a) 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Section 8.12(b) of the ARYA Disclosure Schedules, assuming reasonable due inquiry and investigation of his or her direct reports. For the avoidance of doubt, none of the individuals set forth on Section 8.12(a) of the Company Disclosure Schedules or Section 8.12(b) of the ARYA Disclosure Schedules shall have any personal Liability or obligations regarding such knowledge.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3" w:name="page114"/>
    <w:bookmarkEnd w:id="113"/>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8.13 </w:t>
      </w:r>
      <w:r>
        <w:rPr>
          <w:rFonts w:ascii="Times New Roman" w:cs="Times New Roman" w:eastAsia="Times New Roman" w:hAnsi="Times New Roman"/>
          <w:sz w:val="18"/>
          <w:szCs w:val="18"/>
          <w:b w:val="1"/>
          <w:bCs w:val="1"/>
          <w:u w:val="single" w:color="auto"/>
          <w:color w:val="000000"/>
        </w:rPr>
        <w:t>No Recourse</w:t>
      </w:r>
      <w:r>
        <w:rPr>
          <w:rFonts w:ascii="Times New Roman" w:cs="Times New Roman" w:eastAsia="Times New Roman" w:hAnsi="Times New Roman"/>
          <w:sz w:val="18"/>
          <w:szCs w:val="18"/>
          <w:color w:val="000000"/>
        </w:rPr>
        <w:t>. Without limiting any rights of any party against any other party to an Ancillary Document to the extent on the terms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w:t>
      </w:r>
    </w:p>
    <w:p>
      <w:pPr>
        <w:spacing w:after="0" w:line="171"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8.14 </w:t>
      </w:r>
      <w:r>
        <w:rPr>
          <w:rFonts w:ascii="Times New Roman" w:cs="Times New Roman" w:eastAsia="Times New Roman" w:hAnsi="Times New Roman"/>
          <w:sz w:val="18"/>
          <w:szCs w:val="18"/>
          <w:b w:val="1"/>
          <w:bCs w:val="1"/>
          <w:u w:val="single" w:color="auto"/>
          <w:color w:val="000000"/>
        </w:rPr>
        <w:t>Extension; Waiver</w:t>
      </w:r>
      <w:r>
        <w:rPr>
          <w:rFonts w:ascii="Times New Roman" w:cs="Times New Roman" w:eastAsia="Times New Roman" w:hAnsi="Times New Roman"/>
          <w:sz w:val="18"/>
          <w:szCs w:val="18"/>
          <w:color w:val="000000"/>
        </w:rPr>
        <w:t>. The Company may (a) extend the time for the performance of any of the obligations or other acts of the ARYA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4" w:name="page115"/>
    <w:bookmarkEnd w:id="114"/>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8.15 </w:t>
      </w:r>
      <w:r>
        <w:rPr>
          <w:rFonts w:ascii="Times New Roman" w:cs="Times New Roman" w:eastAsia="Times New Roman" w:hAnsi="Times New Roman"/>
          <w:sz w:val="18"/>
          <w:szCs w:val="18"/>
          <w:b w:val="1"/>
          <w:bCs w:val="1"/>
          <w:u w:val="single" w:color="auto"/>
          <w:color w:val="000000"/>
        </w:rPr>
        <w:t>Waiver of Jury Trial</w:t>
      </w:r>
      <w:r>
        <w:rPr>
          <w:rFonts w:ascii="Times New Roman" w:cs="Times New Roman" w:eastAsia="Times New Roman" w:hAnsi="Times New Roman"/>
          <w:sz w:val="18"/>
          <w:szCs w:val="18"/>
          <w:color w:val="000000"/>
        </w:rPr>
        <w:t>. THE PARTIES EACH HEREBY WAIVES, TO THE FULLEST EXTENT PERMITTED BY LAW,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8.15.</w:t>
      </w:r>
    </w:p>
    <w:p>
      <w:pPr>
        <w:spacing w:after="0" w:line="169"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8.16 </w:t>
      </w:r>
      <w:r>
        <w:rPr>
          <w:rFonts w:ascii="Times New Roman" w:cs="Times New Roman" w:eastAsia="Times New Roman" w:hAnsi="Times New Roman"/>
          <w:sz w:val="18"/>
          <w:szCs w:val="18"/>
          <w:b w:val="1"/>
          <w:bCs w:val="1"/>
          <w:u w:val="single" w:color="auto"/>
          <w:color w:val="000000"/>
        </w:rPr>
        <w:t>Submission to Jurisdiction</w:t>
      </w:r>
      <w:r>
        <w:rPr>
          <w:rFonts w:ascii="Times New Roman" w:cs="Times New Roman" w:eastAsia="Times New Roman" w:hAnsi="Times New Roman"/>
          <w:sz w:val="18"/>
          <w:szCs w:val="18"/>
          <w:color w:val="000000"/>
        </w:rPr>
        <w:t>. Each of the Parties irrevocably and unconditionally submits to the exclusive jurisdiction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Section 8.16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8.4 shall be effective service of process for any such Proceeding, claim, demand, action or cause of action.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5" w:name="page116"/>
    <w:bookmarkEnd w:id="115"/>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8.17 </w:t>
      </w:r>
      <w:r>
        <w:rPr>
          <w:rFonts w:ascii="Times New Roman" w:cs="Times New Roman" w:eastAsia="Times New Roman" w:hAnsi="Times New Roman"/>
          <w:sz w:val="18"/>
          <w:szCs w:val="18"/>
          <w:b w:val="1"/>
          <w:bCs w:val="1"/>
          <w:u w:val="single" w:color="auto"/>
          <w:color w:val="000000"/>
        </w:rPr>
        <w:t>Remedies</w:t>
      </w:r>
      <w:r>
        <w:rPr>
          <w:rFonts w:ascii="Times New Roman" w:cs="Times New Roman" w:eastAsia="Times New Roman" w:hAnsi="Times New Roman"/>
          <w:sz w:val="18"/>
          <w:szCs w:val="18"/>
          <w:color w:val="000000"/>
        </w:rPr>
        <w:t>. Except as otherwise expressly provided herein, any and all remedies provided herein will be deemed cumulative with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010000"/>
        </w:rPr>
        <w:t>Section 8.18</w:t>
      </w:r>
      <w:r>
        <w:rPr>
          <w:sz w:val="20"/>
          <w:szCs w:val="20"/>
          <w:color w:val="auto"/>
        </w:rPr>
        <w:tab/>
      </w:r>
      <w:r>
        <w:rPr>
          <w:rFonts w:ascii="Times New Roman" w:cs="Times New Roman" w:eastAsia="Times New Roman" w:hAnsi="Times New Roman"/>
          <w:sz w:val="17"/>
          <w:szCs w:val="17"/>
          <w:b w:val="1"/>
          <w:bCs w:val="1"/>
          <w:u w:val="single" w:color="auto"/>
          <w:color w:val="auto"/>
        </w:rPr>
        <w:t>Trust Account Waiver</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47" w:lineRule="auto"/>
        <w:tabs>
          <w:tab w:leader="none" w:pos="1506" w:val="left"/>
        </w:tabs>
        <w:numPr>
          <w:ilvl w:val="0"/>
          <w:numId w:val="1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Reference is made to the final prospectus of ARYA, filed with the SEC (File No. 333-2399860, on August 10, 2020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Times New Roman" w:cs="Times New Roman" w:eastAsia="Times New Roman" w:hAnsi="Times New Roman"/>
          <w:sz w:val="17"/>
          <w:szCs w:val="17"/>
          <w:u w:val="single" w:color="auto"/>
          <w:color w:val="auto"/>
        </w:rPr>
        <w:t>Public Shareholders</w:t>
      </w:r>
      <w:r>
        <w:rPr>
          <w:rFonts w:ascii="Times New Roman" w:cs="Times New Roman" w:eastAsia="Times New Roman" w:hAnsi="Times New Roman"/>
          <w:sz w:val="17"/>
          <w:szCs w:val="17"/>
          <w:color w:val="auto"/>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8.18(b)</w:t>
      </w:r>
      <w:r>
        <w:rPr>
          <w:rFonts w:ascii="Times New Roman" w:cs="Times New Roman" w:eastAsia="Times New Roman" w:hAnsi="Times New Roman"/>
          <w:sz w:val="17"/>
          <w:szCs w:val="17"/>
          <w:color w:val="auto"/>
        </w:rPr>
        <w:t>),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7"/>
          <w:szCs w:val="17"/>
          <w:u w:val="single" w:color="auto"/>
          <w:color w:val="auto"/>
        </w:rPr>
        <w:t>Trust Account Released Claims</w:t>
      </w:r>
      <w:r>
        <w:rPr>
          <w:rFonts w:ascii="Times New Roman" w:cs="Times New Roman" w:eastAsia="Times New Roman" w:hAnsi="Times New Roman"/>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6" w:name="page117"/>
    <w:bookmarkEnd w:id="116"/>
    <w:p>
      <w:pPr>
        <w:jc w:val="both"/>
        <w:ind w:left="-20" w:firstLine="1074"/>
        <w:spacing w:after="0" w:line="250" w:lineRule="auto"/>
        <w:tabs>
          <w:tab w:leader="none" w:pos="1529" w:val="left"/>
        </w:tabs>
        <w:numPr>
          <w:ilvl w:val="0"/>
          <w:numId w:val="1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8.18(a)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8.18(a)</w:t>
      </w:r>
      <w:r>
        <w:rPr>
          <w:rFonts w:ascii="Times New Roman" w:cs="Times New Roman" w:eastAsia="Times New Roman" w:hAnsi="Times New Roman"/>
          <w:sz w:val="17"/>
          <w:szCs w:val="17"/>
          <w:color w:val="auto"/>
        </w:rPr>
        <w:t xml:space="preserve"> 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Times New Roman" w:cs="Times New Roman" w:eastAsia="Times New Roman" w:hAnsi="Times New Roman"/>
          <w:sz w:val="17"/>
          <w:szCs w:val="17"/>
          <w:u w:val="single" w:color="auto"/>
          <w:color w:val="auto"/>
        </w:rPr>
        <w:t>Section 8.17</w:t>
      </w:r>
      <w:r>
        <w:rPr>
          <w:rFonts w:ascii="Times New Roman" w:cs="Times New Roman" w:eastAsia="Times New Roman" w:hAnsi="Times New Roman"/>
          <w:sz w:val="17"/>
          <w:szCs w:val="17"/>
          <w:color w:val="auto"/>
        </w:rPr>
        <w:t xml:space="preserve">). If the terms of the Confidentiality Agreement or any Ancillary Document conflicts with the terms of this </w:t>
      </w:r>
      <w:r>
        <w:rPr>
          <w:rFonts w:ascii="Times New Roman" w:cs="Times New Roman" w:eastAsia="Times New Roman" w:hAnsi="Times New Roman"/>
          <w:sz w:val="17"/>
          <w:szCs w:val="17"/>
          <w:u w:val="single" w:color="auto"/>
          <w:color w:val="auto"/>
        </w:rPr>
        <w:t>Section 8.18(b)</w:t>
      </w:r>
      <w:r>
        <w:rPr>
          <w:rFonts w:ascii="Times New Roman" w:cs="Times New Roman" w:eastAsia="Times New Roman" w:hAnsi="Times New Roman"/>
          <w:sz w:val="17"/>
          <w:szCs w:val="17"/>
          <w:color w:val="auto"/>
        </w:rPr>
        <w:t xml:space="preserve">, the terms of this </w:t>
      </w:r>
      <w:r>
        <w:rPr>
          <w:rFonts w:ascii="Times New Roman" w:cs="Times New Roman" w:eastAsia="Times New Roman" w:hAnsi="Times New Roman"/>
          <w:sz w:val="17"/>
          <w:szCs w:val="17"/>
          <w:u w:val="single" w:color="auto"/>
          <w:color w:val="auto"/>
        </w:rPr>
        <w:t>Section 8.18(b)</w:t>
      </w:r>
      <w:r>
        <w:rPr>
          <w:rFonts w:ascii="Times New Roman" w:cs="Times New Roman" w:eastAsia="Times New Roman" w:hAnsi="Times New Roman"/>
          <w:sz w:val="17"/>
          <w:szCs w:val="17"/>
          <w:color w:val="auto"/>
        </w:rPr>
        <w:t xml:space="preserve"> shall govern and control to the extent of such conflict. The Parties acknowledge and agree that this </w:t>
      </w:r>
      <w:r>
        <w:rPr>
          <w:rFonts w:ascii="Times New Roman" w:cs="Times New Roman" w:eastAsia="Times New Roman" w:hAnsi="Times New Roman"/>
          <w:sz w:val="17"/>
          <w:szCs w:val="17"/>
          <w:u w:val="single" w:color="auto"/>
          <w:color w:val="auto"/>
        </w:rPr>
        <w:t>Section 8.18</w:t>
      </w:r>
      <w:r>
        <w:rPr>
          <w:rFonts w:ascii="Times New Roman" w:cs="Times New Roman" w:eastAsia="Times New Roman" w:hAnsi="Times New Roman"/>
          <w:sz w:val="17"/>
          <w:szCs w:val="17"/>
          <w:color w:val="auto"/>
        </w:rPr>
        <w:t xml:space="preserve"> supersedes and replaces Section 7(h) of the Confidentiality Agreement in its entirety and Section 7(h) of the Confidentiality Agreement will no longer be of any force or effect.</w:t>
      </w:r>
    </w:p>
    <w:p>
      <w:pPr>
        <w:spacing w:after="0" w:line="363" w:lineRule="exact"/>
        <w:rPr>
          <w:sz w:val="20"/>
          <w:szCs w:val="20"/>
          <w:color w:val="auto"/>
        </w:rPr>
      </w:pPr>
    </w:p>
    <w:p>
      <w:pPr>
        <w:jc w:val="center"/>
        <w:ind w:right="20"/>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7" w:name="page118"/>
    <w:bookmarkEnd w:id="117"/>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3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ARYA SCIENCES ACQUISITION CORP III</w:t>
      </w:r>
    </w:p>
    <w:p>
      <w:pPr>
        <w:spacing w:after="0" w:line="362" w:lineRule="exact"/>
        <w:rPr>
          <w:sz w:val="20"/>
          <w:szCs w:val="20"/>
          <w:color w:val="auto"/>
        </w:rPr>
      </w:pPr>
    </w:p>
    <w:tbl>
      <w:tblPr>
        <w:tblLayout w:type="fixed"/>
        <w:tblInd w:w="5660" w:type="dxa"/>
        <w:tblCellMar>
          <w:top w:w="0" w:type="dxa"/>
          <w:left w:w="0" w:type="dxa"/>
          <w:bottom w:w="0" w:type="dxa"/>
          <w:right w:w="0" w:type="dxa"/>
        </w:tblCellMar>
      </w:tblPr>
      <w:tr>
        <w:trPr>
          <w:trHeight w:val="194"/>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Altman</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532"/>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MAKO MERGER SUB, INC.</w:t>
            </w:r>
          </w:p>
        </w:tc>
      </w:tr>
      <w:tr>
        <w:trPr>
          <w:trHeight w:val="53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Altman</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w:t>
            </w:r>
          </w:p>
        </w:tc>
      </w:tr>
    </w:tbl>
    <w:p>
      <w:pPr>
        <w:spacing w:after="0" w:line="3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0" w:type="dxa"/>
            <w:vAlign w:val="bottom"/>
          </w:tcPr>
          <w:p>
            <w:pPr>
              <w:ind w:left="566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163"/>
        </w:trPr>
        <w:tc>
          <w:tcPr>
            <w:tcW w:w="6200" w:type="dxa"/>
            <w:vAlign w:val="bottom"/>
          </w:tcPr>
          <w:p>
            <w:pPr>
              <w:ind w:left="5660"/>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Sujal Patel</w:t>
            </w:r>
          </w:p>
        </w:tc>
      </w:tr>
      <w:tr>
        <w:trPr>
          <w:trHeight w:val="192"/>
        </w:trPr>
        <w:tc>
          <w:tcPr>
            <w:tcW w:w="6200" w:type="dxa"/>
            <w:vAlign w:val="bottom"/>
          </w:tcPr>
          <w:p>
            <w:pPr>
              <w:ind w:left="566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524"/>
        </w:trPr>
        <w:tc>
          <w:tcPr>
            <w:tcW w:w="6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118" w:name="page119"/>
    <w:bookmarkEnd w:id="118"/>
    <w:p>
      <w:pPr>
        <w:jc w:val="center"/>
        <w:ind w:right="-1131"/>
        <w:spacing w:after="0"/>
        <w:rPr>
          <w:sz w:val="20"/>
          <w:szCs w:val="20"/>
          <w:color w:val="auto"/>
        </w:rPr>
      </w:pPr>
      <w:r>
        <w:rPr>
          <w:rFonts w:ascii="Times New Roman" w:cs="Times New Roman" w:eastAsia="Times New Roman" w:hAnsi="Times New Roman"/>
          <w:sz w:val="18"/>
          <w:szCs w:val="18"/>
          <w:b w:val="1"/>
          <w:bCs w:val="1"/>
          <w:u w:val="single" w:color="auto"/>
          <w:color w:val="auto"/>
        </w:rPr>
        <w:t>ANNEX A-1</w:t>
      </w:r>
    </w:p>
    <w:p>
      <w:pPr>
        <w:spacing w:after="0" w:line="16" w:lineRule="exact"/>
        <w:rPr>
          <w:sz w:val="20"/>
          <w:szCs w:val="20"/>
          <w:color w:val="auto"/>
        </w:rPr>
      </w:pPr>
    </w:p>
    <w:p>
      <w:pPr>
        <w:jc w:val="center"/>
        <w:ind w:right="-1131"/>
        <w:spacing w:after="0"/>
        <w:rPr>
          <w:sz w:val="20"/>
          <w:szCs w:val="20"/>
          <w:color w:val="auto"/>
        </w:rPr>
      </w:pPr>
      <w:r>
        <w:rPr>
          <w:rFonts w:ascii="Times New Roman" w:cs="Times New Roman" w:eastAsia="Times New Roman" w:hAnsi="Times New Roman"/>
          <w:sz w:val="17"/>
          <w:szCs w:val="17"/>
          <w:b w:val="1"/>
          <w:bCs w:val="1"/>
          <w:u w:val="single" w:color="auto"/>
          <w:color w:val="auto"/>
        </w:rPr>
        <w:t>List of Company PIPE Investors</w:t>
      </w:r>
    </w:p>
    <w:p>
      <w:pPr>
        <w:spacing w:after="0" w:line="192" w:lineRule="exact"/>
        <w:rPr>
          <w:sz w:val="20"/>
          <w:szCs w:val="20"/>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Hand Capital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VCVC V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Vulcan Capital Holdings Columbia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Madrona Venture Group VI-A,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Madrona Venture Group VI,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Matthew Posard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WS Investment Company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Andreessen Horowitz LSV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5708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0"/>
          </w:cols>
          <w:pgMar w:left="309" w:top="114" w:right="1440" w:bottom="1440" w:gutter="0" w:footer="0" w:header="0"/>
        </w:sectPr>
      </w:pPr>
    </w:p>
    <w:bookmarkStart w:id="119" w:name="page120"/>
    <w:bookmarkEnd w:id="119"/>
    <w:p>
      <w:pPr>
        <w:jc w:val="center"/>
        <w:ind w:right="-1111"/>
        <w:spacing w:after="0"/>
        <w:rPr>
          <w:sz w:val="20"/>
          <w:szCs w:val="20"/>
          <w:color w:val="auto"/>
        </w:rPr>
      </w:pPr>
      <w:r>
        <w:rPr>
          <w:rFonts w:ascii="Times New Roman" w:cs="Times New Roman" w:eastAsia="Times New Roman" w:hAnsi="Times New Roman"/>
          <w:sz w:val="18"/>
          <w:szCs w:val="18"/>
          <w:b w:val="1"/>
          <w:bCs w:val="1"/>
          <w:u w:val="single" w:color="auto"/>
          <w:color w:val="auto"/>
        </w:rPr>
        <w:t>ANNEX A-2</w:t>
      </w:r>
    </w:p>
    <w:p>
      <w:pPr>
        <w:spacing w:after="0" w:line="16" w:lineRule="exact"/>
        <w:rPr>
          <w:sz w:val="20"/>
          <w:szCs w:val="20"/>
          <w:color w:val="auto"/>
        </w:rPr>
      </w:pPr>
    </w:p>
    <w:p>
      <w:pPr>
        <w:jc w:val="center"/>
        <w:ind w:right="-1111"/>
        <w:spacing w:after="0"/>
        <w:rPr>
          <w:sz w:val="20"/>
          <w:szCs w:val="20"/>
          <w:color w:val="auto"/>
        </w:rPr>
      </w:pPr>
      <w:r>
        <w:rPr>
          <w:rFonts w:ascii="Times New Roman" w:cs="Times New Roman" w:eastAsia="Times New Roman" w:hAnsi="Times New Roman"/>
          <w:sz w:val="17"/>
          <w:szCs w:val="17"/>
          <w:b w:val="1"/>
          <w:bCs w:val="1"/>
          <w:u w:val="single" w:color="auto"/>
          <w:color w:val="auto"/>
        </w:rPr>
        <w:t>List of Third Party PIPE Investors</w:t>
      </w:r>
    </w:p>
    <w:p>
      <w:pPr>
        <w:spacing w:after="0" w:line="192" w:lineRule="exact"/>
        <w:rPr>
          <w:sz w:val="20"/>
          <w:szCs w:val="20"/>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Bain Capital Life Sciences Fund II,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BCIP Life Sciences Associates,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SILVER CREEK CS SAV, L.L.C., (Nantahala Capital Management,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NCP QR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BLACKWELL PARTNERS LLC - SERIES A (Nantahala Capital Management,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II LIMITED PARTNERSHIP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LIMITED PARTNERSHIP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NCP RFM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SI,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Sphera Biotech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Sphera Global Healthcare Master Fund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ORBIMED GENESIS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ORBIMED PARTNERS MASTER FUND LIMITED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FRANKLIN STRATEGIC SERIES – FRANKLIN BIOTECHNOLOGY DISCOVERY FUND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FRANKLIN TEMPLETON INVESTMENT FUNDS – FRANKLIN BIOTECHNOLOGY DISCOVERY FUND</w:t>
      </w:r>
    </w:p>
    <w:p>
      <w:pPr>
        <w:spacing w:after="0" w:line="216" w:lineRule="exact"/>
        <w:rPr>
          <w:rFonts w:ascii="Times New Roman" w:cs="Times New Roman" w:eastAsia="Times New Roman" w:hAnsi="Times New Roman"/>
          <w:sz w:val="14"/>
          <w:szCs w:val="14"/>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Avidity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Avidity Capital Fund II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Innovation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Venture Fund Limited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Alyeska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Logos Global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 CAPITAL HEALTHCARE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Casdin Partners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Averill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AVMI Investments, Inc.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Alexandria Venture Investments,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Ally Bridge MedAlpha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Decheng Capital Global Healthcare Fund (Master),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5708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0"/>
          </w:cols>
          <w:pgMar w:left="309" w:top="114"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60" w:lineRule="exact"/>
        <w:rPr>
          <w:rFonts w:ascii="Times New Roman" w:cs="Times New Roman" w:eastAsia="Times New Roman" w:hAnsi="Times New Roman"/>
          <w:sz w:val="17"/>
          <w:szCs w:val="17"/>
          <w:color w:val="auto"/>
        </w:rPr>
      </w:pPr>
    </w:p>
    <w:p>
      <w:pPr>
        <w:jc w:val="both"/>
        <w:ind w:firstLine="541"/>
        <w:spacing w:after="0" w:line="234" w:lineRule="auto"/>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1" w:name="page122"/>
    <w:bookmarkEnd w:id="121"/>
    <w:p>
      <w:pPr>
        <w:ind w:left="579" w:hanging="579"/>
        <w:spacing w:after="0"/>
        <w:tabs>
          <w:tab w:leader="none" w:pos="57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1" w:val="left"/>
        </w:tabs>
        <w:numPr>
          <w:ilvl w:val="2"/>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71" w:lineRule="exact"/>
        <w:rPr>
          <w:rFonts w:ascii="Times New Roman" w:cs="Times New Roman" w:eastAsia="Times New Roman" w:hAnsi="Times New Roman"/>
          <w:sz w:val="18"/>
          <w:szCs w:val="18"/>
          <w:color w:val="010000"/>
        </w:rPr>
      </w:pPr>
    </w:p>
    <w:p>
      <w:pPr>
        <w:jc w:val="both"/>
        <w:ind w:left="-541" w:firstLine="1074"/>
        <w:spacing w:after="0" w:line="248" w:lineRule="auto"/>
        <w:tabs>
          <w:tab w:leader="none" w:pos="1172" w:val="left"/>
        </w:tabs>
        <w:numPr>
          <w:ilvl w:val="1"/>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this condition would otherwise fail to be satisfied as a result of a failure of one or more of the representations and warranties of ARYA contained in this Agreement to be true and correct and the facts underlying such failure to be true and correct would also cause one or more of the representations of ARYA under the Transaction Agreement to fail to be true and correct, then this condition shall nevertheless be deemed satisfied if the Company waives the failure of such representation to be true and correct under the Transaction Agreement and all other conditions to closing hereunder have been satisfied);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2" w:name="page123"/>
    <w:bookmarkEnd w:id="122"/>
    <w:p>
      <w:pPr>
        <w:ind w:left="-541" w:firstLine="541"/>
        <w:spacing w:after="0" w:line="259" w:lineRule="auto"/>
        <w:tabs>
          <w:tab w:leader="none" w:pos="60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1"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1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76"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41"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3" w:name="page124"/>
    <w:bookmarkEnd w:id="123"/>
    <w:p>
      <w:pPr>
        <w:jc w:val="both"/>
        <w:ind w:left="-1074" w:firstLine="1074"/>
        <w:spacing w:after="0" w:line="236" w:lineRule="auto"/>
        <w:tabs>
          <w:tab w:leader="none" w:pos="607"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3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748"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212090</wp:posOffset>
            </wp:positionV>
            <wp:extent cx="715708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24" w:name="page125"/>
    <w:bookmarkEnd w:id="124"/>
    <w:p>
      <w:pPr>
        <w:jc w:val="both"/>
        <w:ind w:left="-541" w:firstLine="1074"/>
        <w:spacing w:after="0" w:line="245" w:lineRule="auto"/>
        <w:tabs>
          <w:tab w:leader="none" w:pos="1088"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3"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1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65" w:lineRule="exact"/>
        <w:rPr>
          <w:rFonts w:ascii="Times New Roman" w:cs="Times New Roman" w:eastAsia="Times New Roman" w:hAnsi="Times New Roman"/>
          <w:sz w:val="17"/>
          <w:szCs w:val="17"/>
          <w:color w:val="010000"/>
        </w:rPr>
      </w:pPr>
    </w:p>
    <w:p>
      <w:pPr>
        <w:jc w:val="both"/>
        <w:ind w:left="-541" w:firstLine="1074"/>
        <w:spacing w:after="0" w:line="239" w:lineRule="auto"/>
        <w:tabs>
          <w:tab w:leader="none" w:pos="1139"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67"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147"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5" w:name="page126"/>
    <w:bookmarkEnd w:id="125"/>
    <w:p>
      <w:pPr>
        <w:jc w:val="both"/>
        <w:ind w:left="-9" w:firstLine="1074"/>
        <w:spacing w:after="0" w:line="237" w:lineRule="auto"/>
        <w:tabs>
          <w:tab w:leader="none" w:pos="1761" w:val="left"/>
        </w:tabs>
        <w:numPr>
          <w:ilvl w:val="1"/>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70" w:lineRule="exact"/>
        <w:rPr>
          <w:rFonts w:ascii="Times New Roman" w:cs="Times New Roman" w:eastAsia="Times New Roman" w:hAnsi="Times New Roman"/>
          <w:sz w:val="18"/>
          <w:szCs w:val="18"/>
          <w:color w:val="010000"/>
        </w:rPr>
      </w:pPr>
    </w:p>
    <w:p>
      <w:pPr>
        <w:jc w:val="both"/>
        <w:ind w:left="-9" w:firstLine="1074"/>
        <w:spacing w:after="0" w:line="251" w:lineRule="auto"/>
        <w:tabs>
          <w:tab w:leader="none" w:pos="1790" w:val="left"/>
        </w:tabs>
        <w:numPr>
          <w:ilvl w:val="1"/>
          <w:numId w:val="1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50" w:lineRule="exact"/>
        <w:rPr>
          <w:rFonts w:ascii="Times New Roman" w:cs="Times New Roman" w:eastAsia="Times New Roman" w:hAnsi="Times New Roman"/>
          <w:sz w:val="18"/>
          <w:szCs w:val="18"/>
          <w:color w:val="010000"/>
        </w:rPr>
      </w:pPr>
    </w:p>
    <w:p>
      <w:pPr>
        <w:ind w:left="-9" w:firstLine="1074"/>
        <w:spacing w:after="0" w:line="260" w:lineRule="auto"/>
        <w:tabs>
          <w:tab w:leader="none" w:pos="1687"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0" w:lineRule="exact"/>
        <w:rPr>
          <w:rFonts w:ascii="Times New Roman" w:cs="Times New Roman" w:eastAsia="Times New Roman" w:hAnsi="Times New Roman"/>
          <w:sz w:val="18"/>
          <w:szCs w:val="18"/>
          <w:color w:val="010000"/>
        </w:rPr>
      </w:pPr>
    </w:p>
    <w:p>
      <w:pPr>
        <w:jc w:val="both"/>
        <w:ind w:left="-9" w:firstLine="1074"/>
        <w:spacing w:after="0" w:line="235" w:lineRule="auto"/>
        <w:tabs>
          <w:tab w:leader="none" w:pos="1690"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5708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26" w:name="page127"/>
    <w:bookmarkEnd w:id="126"/>
    <w:p>
      <w:pPr>
        <w:jc w:val="both"/>
        <w:ind w:left="-1074" w:firstLine="1074"/>
        <w:spacing w:after="0" w:line="234" w:lineRule="auto"/>
        <w:tabs>
          <w:tab w:leader="none" w:pos="69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5"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5" w:lineRule="auto"/>
        <w:tabs>
          <w:tab w:leader="none" w:pos="720"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a “foreign person” or a “foreign entity,” as defined in Section 721 of the Defense Production Act of 1950, as amended, including, without limitation, all implementing regulations thereof (the “DPA”). The Investor is not controlled by a “foreign person,” as defined in the DPA. The Investor does not permit any foreign person affiliated with the Investor, whether affiliated as a limited partner or otherwise, to obtain through the Investor any of the following with respect to ARYA or the Company: (i) access to any “material nonpublic technical information” (as defined in the DPA) in the possession of ARYA or the Company; (ii) membership or observer rights on the board of directors or equivalent governing body of ARYA or the Company or the right to nominate an individual to a position on the board of directors or equivalent governing body of ARYA or the Company; (iii) any involvement, other than through the voting of shares, in the substantive decision-making of ARYA or the Company regarding (x) the use, development, acquisition, or release of any “critical technology” (as defined in the DPA), (y) the use, development, acquisition, safekeeping, or release of “sensitive personal data” (as defined in the DPA) of U.S. citizens maintained or collected by ARYA or the Company, or (z) the management, operation, manufacture, or supply of “covered investment critical infrastructure” (as defined in the DPA); or (iv) “control” (as defined in the DPA) of ARYA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213995</wp:posOffset>
            </wp:positionV>
            <wp:extent cx="7157085"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27" w:name="page128"/>
    <w:bookmarkEnd w:id="127"/>
    <w:p>
      <w:pPr>
        <w:jc w:val="both"/>
        <w:ind w:firstLine="541"/>
        <w:spacing w:after="0" w:line="259" w:lineRule="auto"/>
        <w:tabs>
          <w:tab w:leader="none" w:pos="118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 Investor and ARYA hereby acknowledge and agree that all of the Shares acquired by the Investor hereunder shall in all respects be subject to the terms and conditions of the Amended and Restated Registration Rights and Lock-Up Agreement (as defined in the Transaction Agreement) and, for all purposes of the Amended and Restated Registration Rights and Lock-Up Agreement, shall constitute Registrable Securities (as defined in the Amended and Restated Registration Rights and Lock-Up Agreement), and Investor shall be a party to such agreement as a “Perceptive Holder.”</w:t>
      </w:r>
    </w:p>
    <w:p>
      <w:pPr>
        <w:spacing w:after="0" w:line="153" w:lineRule="exact"/>
        <w:rPr>
          <w:rFonts w:ascii="Times New Roman" w:cs="Times New Roman" w:eastAsia="Times New Roman" w:hAnsi="Times New Roman"/>
          <w:sz w:val="17"/>
          <w:szCs w:val="17"/>
          <w:color w:val="auto"/>
        </w:rPr>
      </w:pPr>
    </w:p>
    <w:p>
      <w:pPr>
        <w:jc w:val="both"/>
        <w:ind w:firstLine="541"/>
        <w:spacing w:after="0" w:line="247" w:lineRule="auto"/>
        <w:tabs>
          <w:tab w:leader="none" w:pos="115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(i)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or (ii) prior to termination of the Transaction Agreement, ARYA’s breach of any of its obligations under this Subscription Agreement shall have proximately caused the failure of the consummation of the Transaction on or before the Outside Date) (the termination events described in clauses</w:t>
      </w:r>
    </w:p>
    <w:p>
      <w:pPr>
        <w:spacing w:after="0" w:line="3" w:lineRule="exact"/>
        <w:rPr>
          <w:rFonts w:ascii="Times New Roman" w:cs="Times New Roman" w:eastAsia="Times New Roman" w:hAnsi="Times New Roman"/>
          <w:sz w:val="17"/>
          <w:szCs w:val="17"/>
          <w:color w:val="auto"/>
        </w:rPr>
      </w:pPr>
    </w:p>
    <w:p>
      <w:pPr>
        <w:jc w:val="both"/>
        <w:spacing w:after="0" w:line="23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72" w:lineRule="exact"/>
        <w:rPr>
          <w:rFonts w:ascii="Times New Roman" w:cs="Times New Roman" w:eastAsia="Times New Roman" w:hAnsi="Times New Roman"/>
          <w:sz w:val="17"/>
          <w:szCs w:val="17"/>
          <w:color w:val="auto"/>
        </w:rPr>
      </w:pPr>
    </w:p>
    <w:p>
      <w:pPr>
        <w:jc w:val="both"/>
        <w:ind w:firstLine="541"/>
        <w:spacing w:after="0" w:line="233" w:lineRule="auto"/>
        <w:tabs>
          <w:tab w:leader="none" w:pos="11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715708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8" w:name="page129"/>
    <w:bookmarkEnd w:id="128"/>
    <w:p>
      <w:pPr>
        <w:ind w:left="1200" w:hanging="659"/>
        <w:spacing w:after="0"/>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1074"/>
        <w:spacing w:after="0" w:line="260" w:lineRule="auto"/>
        <w:tabs>
          <w:tab w:leader="none" w:pos="1901"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3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66"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983"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4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6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48"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67"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9" w:name="page130"/>
    <w:bookmarkEnd w:id="129"/>
    <w:p>
      <w:pPr>
        <w:jc w:val="both"/>
        <w:ind w:left="-1074" w:firstLine="1074"/>
        <w:spacing w:after="0" w:line="237" w:lineRule="auto"/>
        <w:tabs>
          <w:tab w:leader="none" w:pos="645"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7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91"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717"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659"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548"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9" w:lineRule="auto"/>
        <w:tabs>
          <w:tab w:leader="none" w:pos="763"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212090</wp:posOffset>
            </wp:positionV>
            <wp:extent cx="715708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30" w:name="page131"/>
    <w:bookmarkEnd w:id="130"/>
    <w:p>
      <w:pPr>
        <w:jc w:val="both"/>
        <w:ind w:firstLine="1074"/>
        <w:spacing w:after="0" w:line="247" w:lineRule="auto"/>
        <w:tabs>
          <w:tab w:leader="none" w:pos="1692"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70" w:lineRule="exact"/>
        <w:rPr>
          <w:sz w:val="20"/>
          <w:szCs w:val="20"/>
          <w:color w:val="auto"/>
        </w:rPr>
      </w:pPr>
    </w:p>
    <w:p>
      <w:pPr>
        <w:jc w:val="both"/>
        <w:ind w:firstLine="541"/>
        <w:spacing w:after="0" w:line="233" w:lineRule="auto"/>
        <w:tabs>
          <w:tab w:leader="none" w:pos="14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xml:space="preserve"> 12.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1" w:name="page132"/>
    <w:bookmarkEnd w:id="131"/>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32" w:name="page133"/>
    <w:bookmarkEnd w:id="132"/>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12700</wp:posOffset>
            </wp:positionV>
            <wp:extent cx="307848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78480" cy="1397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1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129"/>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129"/>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60" w:lineRule="exact"/>
        <w:rPr>
          <w:rFonts w:ascii="Times New Roman" w:cs="Times New Roman" w:eastAsia="Times New Roman" w:hAnsi="Times New Roman"/>
          <w:sz w:val="17"/>
          <w:szCs w:val="17"/>
          <w:color w:val="auto"/>
        </w:rPr>
      </w:pPr>
    </w:p>
    <w:p>
      <w:pPr>
        <w:jc w:val="both"/>
        <w:ind w:firstLine="541"/>
        <w:spacing w:after="0" w:line="234" w:lineRule="auto"/>
        <w:tabs>
          <w:tab w:leader="none" w:pos="1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715708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5" w:name="page136"/>
    <w:bookmarkEnd w:id="135"/>
    <w:p>
      <w:pPr>
        <w:ind w:left="579" w:hanging="579"/>
        <w:spacing w:after="0"/>
        <w:tabs>
          <w:tab w:leader="none" w:pos="5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0" w:val="left"/>
        </w:tabs>
        <w:numPr>
          <w:ilvl w:val="2"/>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71" w:lineRule="exact"/>
        <w:rPr>
          <w:rFonts w:ascii="Times New Roman" w:cs="Times New Roman" w:eastAsia="Times New Roman" w:hAnsi="Times New Roman"/>
          <w:sz w:val="18"/>
          <w:szCs w:val="18"/>
          <w:color w:val="010000"/>
        </w:rPr>
      </w:pPr>
    </w:p>
    <w:p>
      <w:pPr>
        <w:jc w:val="both"/>
        <w:ind w:left="-541" w:firstLine="1074"/>
        <w:spacing w:after="0" w:line="250" w:lineRule="auto"/>
        <w:tabs>
          <w:tab w:leader="none" w:pos="1172" w:val="left"/>
        </w:tabs>
        <w:numPr>
          <w:ilvl w:val="1"/>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492125</wp:posOffset>
            </wp:positionV>
            <wp:extent cx="7157085"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6" w:name="page137"/>
    <w:bookmarkEnd w:id="136"/>
    <w:p>
      <w:pPr>
        <w:ind w:left="-541" w:firstLine="541"/>
        <w:spacing w:after="0" w:line="259" w:lineRule="auto"/>
        <w:tabs>
          <w:tab w:leader="none" w:pos="60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1"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13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76"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41"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495300</wp:posOffset>
            </wp:positionV>
            <wp:extent cx="715708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7" w:name="page138"/>
    <w:bookmarkEnd w:id="137"/>
    <w:p>
      <w:pPr>
        <w:jc w:val="both"/>
        <w:ind w:left="-1074" w:firstLine="1074"/>
        <w:spacing w:after="0" w:line="236" w:lineRule="auto"/>
        <w:tabs>
          <w:tab w:leader="none" w:pos="607"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3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748"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494030</wp:posOffset>
            </wp:positionV>
            <wp:extent cx="7157085"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38" w:name="page139"/>
    <w:bookmarkEnd w:id="138"/>
    <w:p>
      <w:pPr>
        <w:jc w:val="both"/>
        <w:ind w:left="-541" w:firstLine="1074"/>
        <w:spacing w:after="0" w:line="245" w:lineRule="auto"/>
        <w:tabs>
          <w:tab w:leader="none" w:pos="1088"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3"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13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65" w:lineRule="exact"/>
        <w:rPr>
          <w:rFonts w:ascii="Times New Roman" w:cs="Times New Roman" w:eastAsia="Times New Roman" w:hAnsi="Times New Roman"/>
          <w:sz w:val="17"/>
          <w:szCs w:val="17"/>
          <w:color w:val="010000"/>
        </w:rPr>
      </w:pPr>
    </w:p>
    <w:p>
      <w:pPr>
        <w:jc w:val="both"/>
        <w:ind w:left="-541" w:firstLine="1074"/>
        <w:spacing w:after="0" w:line="239" w:lineRule="auto"/>
        <w:tabs>
          <w:tab w:leader="none" w:pos="1139"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67"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147"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62" w:lineRule="exact"/>
        <w:rPr>
          <w:rFonts w:ascii="Times New Roman" w:cs="Times New Roman" w:eastAsia="Times New Roman" w:hAnsi="Times New Roman"/>
          <w:sz w:val="18"/>
          <w:szCs w:val="18"/>
          <w:color w:val="010000"/>
        </w:rPr>
      </w:pPr>
    </w:p>
    <w:p>
      <w:pPr>
        <w:jc w:val="both"/>
        <w:ind w:left="-541" w:firstLine="1074"/>
        <w:spacing w:after="0" w:line="237" w:lineRule="auto"/>
        <w:tabs>
          <w:tab w:leader="none" w:pos="1229"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214630</wp:posOffset>
            </wp:positionV>
            <wp:extent cx="7157085"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9" w:name="page140"/>
    <w:bookmarkEnd w:id="139"/>
    <w:p>
      <w:pPr>
        <w:jc w:val="both"/>
        <w:ind w:left="-9" w:firstLine="1074"/>
        <w:spacing w:after="0" w:line="251" w:lineRule="auto"/>
        <w:tabs>
          <w:tab w:leader="none" w:pos="1790" w:val="left"/>
        </w:tabs>
        <w:numPr>
          <w:ilvl w:val="1"/>
          <w:numId w:val="13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50" w:lineRule="exact"/>
        <w:rPr>
          <w:rFonts w:ascii="Times New Roman" w:cs="Times New Roman" w:eastAsia="Times New Roman" w:hAnsi="Times New Roman"/>
          <w:sz w:val="18"/>
          <w:szCs w:val="18"/>
          <w:color w:val="010000"/>
        </w:rPr>
      </w:pPr>
    </w:p>
    <w:p>
      <w:pPr>
        <w:ind w:left="-9" w:firstLine="1074"/>
        <w:spacing w:after="0" w:line="260" w:lineRule="auto"/>
        <w:tabs>
          <w:tab w:leader="none" w:pos="1687"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0" w:lineRule="exact"/>
        <w:rPr>
          <w:rFonts w:ascii="Times New Roman" w:cs="Times New Roman" w:eastAsia="Times New Roman" w:hAnsi="Times New Roman"/>
          <w:sz w:val="18"/>
          <w:szCs w:val="18"/>
          <w:color w:val="010000"/>
        </w:rPr>
      </w:pPr>
    </w:p>
    <w:p>
      <w:pPr>
        <w:jc w:val="both"/>
        <w:ind w:left="-9" w:firstLine="1074"/>
        <w:spacing w:after="0" w:line="235" w:lineRule="auto"/>
        <w:tabs>
          <w:tab w:leader="none" w:pos="1690"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5708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40" w:name="page141"/>
    <w:bookmarkEnd w:id="140"/>
    <w:p>
      <w:pPr>
        <w:jc w:val="both"/>
        <w:ind w:left="-1074" w:firstLine="1074"/>
        <w:spacing w:after="0" w:line="234" w:lineRule="auto"/>
        <w:tabs>
          <w:tab w:leader="none" w:pos="693"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5"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13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41" w:name="page142"/>
    <w:bookmarkEnd w:id="141"/>
    <w:p>
      <w:pPr>
        <w:ind w:left="1160" w:hanging="619"/>
        <w:spacing w:after="0"/>
        <w:tabs>
          <w:tab w:leader="none" w:pos="11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w:t>
      </w:r>
    </w:p>
    <w:p>
      <w:pPr>
        <w:spacing w:after="0" w:line="191" w:lineRule="exact"/>
        <w:rPr>
          <w:rFonts w:ascii="Times New Roman" w:cs="Times New Roman" w:eastAsia="Times New Roman" w:hAnsi="Times New Roman"/>
          <w:sz w:val="18"/>
          <w:szCs w:val="18"/>
          <w:color w:val="auto"/>
        </w:rPr>
      </w:pPr>
    </w:p>
    <w:p>
      <w:pPr>
        <w:jc w:val="both"/>
        <w:ind w:firstLine="1074"/>
        <w:spacing w:after="0" w:line="251" w:lineRule="auto"/>
        <w:tabs>
          <w:tab w:leader="none" w:pos="1639" w:val="left"/>
        </w:tabs>
        <w:numPr>
          <w:ilvl w:val="2"/>
          <w:numId w:val="14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w:t>
      </w:r>
    </w:p>
    <w:p>
      <w:pPr>
        <w:jc w:val="both"/>
        <w:ind w:firstLine="9"/>
        <w:spacing w:after="0" w:line="232" w:lineRule="auto"/>
        <w:tabs>
          <w:tab w:leader="none" w:pos="4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167" w:lineRule="exact"/>
        <w:rPr>
          <w:rFonts w:ascii="Times New Roman" w:cs="Times New Roman" w:eastAsia="Times New Roman" w:hAnsi="Times New Roman"/>
          <w:sz w:val="18"/>
          <w:szCs w:val="18"/>
          <w:color w:val="auto"/>
        </w:rPr>
      </w:pPr>
    </w:p>
    <w:p>
      <w:pPr>
        <w:jc w:val="both"/>
        <w:ind w:firstLine="1074"/>
        <w:spacing w:after="0" w:line="247" w:lineRule="auto"/>
        <w:tabs>
          <w:tab w:leader="none" w:pos="1687" w:val="left"/>
        </w:tabs>
        <w:numPr>
          <w:ilvl w:val="2"/>
          <w:numId w:val="14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w:t>
      </w:r>
    </w:p>
    <w:p>
      <w:pPr>
        <w:spacing w:after="0" w:line="6" w:lineRule="exact"/>
        <w:rPr>
          <w:rFonts w:ascii="Times New Roman" w:cs="Times New Roman" w:eastAsia="Times New Roman" w:hAnsi="Times New Roman"/>
          <w:sz w:val="17"/>
          <w:szCs w:val="17"/>
          <w:color w:val="010000"/>
        </w:rPr>
      </w:pPr>
    </w:p>
    <w:p>
      <w:pPr>
        <w:jc w:val="both"/>
        <w:spacing w:after="0" w:line="246"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7157085"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2" w:name="page143"/>
    <w:bookmarkEnd w:id="142"/>
    <w:p>
      <w:pPr>
        <w:ind w:left="566" w:hanging="566"/>
        <w:spacing w:after="0"/>
        <w:tabs>
          <w:tab w:leader="none" w:pos="566"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w:t>
      </w:r>
    </w:p>
    <w:p>
      <w:pPr>
        <w:spacing w:after="0" w:line="191" w:lineRule="exact"/>
        <w:rPr>
          <w:rFonts w:ascii="Times New Roman" w:cs="Times New Roman" w:eastAsia="Times New Roman" w:hAnsi="Times New Roman"/>
          <w:sz w:val="18"/>
          <w:szCs w:val="18"/>
          <w:color w:val="010000"/>
        </w:rPr>
      </w:pPr>
    </w:p>
    <w:p>
      <w:pPr>
        <w:jc w:val="both"/>
        <w:ind w:left="6" w:firstLine="526"/>
        <w:spacing w:after="0" w:line="236" w:lineRule="auto"/>
        <w:tabs>
          <w:tab w:leader="none" w:pos="1422"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172" w:lineRule="exact"/>
        <w:rPr>
          <w:rFonts w:ascii="Times New Roman" w:cs="Times New Roman" w:eastAsia="Times New Roman" w:hAnsi="Times New Roman"/>
          <w:sz w:val="18"/>
          <w:szCs w:val="18"/>
          <w:color w:val="010000"/>
        </w:rPr>
      </w:pPr>
    </w:p>
    <w:p>
      <w:pPr>
        <w:jc w:val="both"/>
        <w:ind w:left="6" w:firstLine="526"/>
        <w:spacing w:after="0" w:line="235" w:lineRule="auto"/>
        <w:tabs>
          <w:tab w:leader="none" w:pos="1277"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172" w:lineRule="exact"/>
        <w:rPr>
          <w:rFonts w:ascii="Times New Roman" w:cs="Times New Roman" w:eastAsia="Times New Roman" w:hAnsi="Times New Roman"/>
          <w:sz w:val="18"/>
          <w:szCs w:val="18"/>
          <w:color w:val="010000"/>
        </w:rPr>
      </w:pPr>
    </w:p>
    <w:p>
      <w:pPr>
        <w:jc w:val="both"/>
        <w:ind w:left="6" w:firstLine="526"/>
        <w:spacing w:after="0" w:line="234" w:lineRule="auto"/>
        <w:tabs>
          <w:tab w:leader="none" w:pos="1247"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216535</wp:posOffset>
            </wp:positionV>
            <wp:extent cx="715708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43" w:name="page144"/>
    <w:bookmarkEnd w:id="143"/>
    <w:p>
      <w:pPr>
        <w:jc w:val="both"/>
        <w:ind w:left="539" w:firstLine="526"/>
        <w:spacing w:after="0" w:line="245" w:lineRule="auto"/>
        <w:tabs>
          <w:tab w:leader="none" w:pos="1870"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63" w:lineRule="exact"/>
        <w:rPr>
          <w:rFonts w:ascii="Times New Roman" w:cs="Times New Roman" w:eastAsia="Times New Roman" w:hAnsi="Times New Roman"/>
          <w:sz w:val="18"/>
          <w:szCs w:val="18"/>
          <w:color w:val="010000"/>
        </w:rPr>
      </w:pPr>
    </w:p>
    <w:p>
      <w:pPr>
        <w:jc w:val="both"/>
        <w:ind w:left="539" w:firstLine="526"/>
        <w:spacing w:after="0" w:line="234" w:lineRule="auto"/>
        <w:tabs>
          <w:tab w:leader="none" w:pos="1897"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167" w:lineRule="exact"/>
        <w:rPr>
          <w:rFonts w:ascii="Times New Roman" w:cs="Times New Roman" w:eastAsia="Times New Roman" w:hAnsi="Times New Roman"/>
          <w:sz w:val="18"/>
          <w:szCs w:val="18"/>
          <w:color w:val="010000"/>
        </w:rPr>
      </w:pPr>
    </w:p>
    <w:p>
      <w:pPr>
        <w:jc w:val="both"/>
        <w:ind w:left="-541" w:firstLine="541"/>
        <w:spacing w:after="0" w:line="234" w:lineRule="auto"/>
        <w:tabs>
          <w:tab w:leader="none" w:pos="6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212725</wp:posOffset>
            </wp:positionV>
            <wp:extent cx="715708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44" w:name="page145"/>
    <w:bookmarkEnd w:id="144"/>
    <w:p>
      <w:pPr>
        <w:jc w:val="both"/>
        <w:ind w:left="-541" w:firstLine="541"/>
        <w:spacing w:after="0" w:line="233" w:lineRule="auto"/>
        <w:tabs>
          <w:tab w:leader="none" w:pos="6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178" w:lineRule="exact"/>
        <w:rPr>
          <w:rFonts w:ascii="Times New Roman" w:cs="Times New Roman" w:eastAsia="Times New Roman" w:hAnsi="Times New Roman"/>
          <w:sz w:val="18"/>
          <w:szCs w:val="18"/>
          <w:color w:val="auto"/>
        </w:rPr>
      </w:pPr>
    </w:p>
    <w:p>
      <w:pPr>
        <w:ind w:left="659" w:hanging="659"/>
        <w:spacing w:after="0"/>
        <w:tabs>
          <w:tab w:leader="none" w:pos="6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541" w:firstLine="1074"/>
        <w:spacing w:after="0" w:line="260" w:lineRule="auto"/>
        <w:tabs>
          <w:tab w:leader="none" w:pos="1360"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09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44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0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45" w:name="page146"/>
    <w:bookmarkEnd w:id="145"/>
    <w:p>
      <w:pPr>
        <w:jc w:val="both"/>
        <w:ind w:firstLine="1074"/>
        <w:spacing w:after="0" w:line="238" w:lineRule="auto"/>
        <w:tabs>
          <w:tab w:leader="none" w:pos="1748"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70"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18"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65"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1"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3"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22"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6" w:name="page147"/>
    <w:bookmarkEnd w:id="146"/>
    <w:p>
      <w:pPr>
        <w:jc w:val="both"/>
        <w:ind w:firstLine="1074"/>
        <w:spacing w:after="0" w:line="238" w:lineRule="auto"/>
        <w:tabs>
          <w:tab w:leader="none" w:pos="183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70" w:lineRule="exact"/>
        <w:rPr>
          <w:rFonts w:ascii="Times New Roman" w:cs="Times New Roman" w:eastAsia="Times New Roman" w:hAnsi="Times New Roman"/>
          <w:sz w:val="18"/>
          <w:szCs w:val="18"/>
          <w:color w:val="010000"/>
        </w:rPr>
      </w:pPr>
    </w:p>
    <w:p>
      <w:pPr>
        <w:jc w:val="both"/>
        <w:ind w:firstLine="1074"/>
        <w:spacing w:after="0" w:line="247" w:lineRule="auto"/>
        <w:tabs>
          <w:tab w:leader="none" w:pos="1692" w:val="left"/>
        </w:tabs>
        <w:numPr>
          <w:ilvl w:val="0"/>
          <w:numId w:val="14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213995</wp:posOffset>
            </wp:positionV>
            <wp:extent cx="7157085"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7" w:name="page148"/>
    <w:bookmarkEnd w:id="147"/>
    <w:p>
      <w:pPr>
        <w:jc w:val="both"/>
        <w:ind w:firstLine="541"/>
        <w:spacing w:after="0" w:line="233" w:lineRule="auto"/>
        <w:tabs>
          <w:tab w:leader="none" w:pos="1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xml:space="preserve"> 12.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6" w:lineRule="exact"/>
        <w:rPr>
          <w:sz w:val="20"/>
          <w:szCs w:val="20"/>
          <w:color w:val="auto"/>
        </w:rPr>
      </w:pPr>
    </w:p>
    <w:p>
      <w:pPr>
        <w:jc w:val="both"/>
        <w:ind w:firstLine="541"/>
        <w:spacing w:after="0" w:line="234" w:lineRule="auto"/>
        <w:tabs>
          <w:tab w:leader="none" w:pos="14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8" w:name="page149"/>
    <w:bookmarkEnd w:id="148"/>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49" w:name="page150"/>
    <w:bookmarkEnd w:id="149"/>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12700</wp:posOffset>
            </wp:positionV>
            <wp:extent cx="307848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78480" cy="1397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1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150"/>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150"/>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FINAL FORM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TRANSACTION SUPPORT AGREEMENT</w:t>
      </w:r>
    </w:p>
    <w:p>
      <w:pPr>
        <w:spacing w:after="0" w:line="192" w:lineRule="exact"/>
        <w:rPr>
          <w:sz w:val="20"/>
          <w:szCs w:val="20"/>
          <w:color w:val="auto"/>
        </w:rPr>
      </w:pPr>
    </w:p>
    <w:p>
      <w:pPr>
        <w:jc w:val="both"/>
        <w:ind w:firstLine="622"/>
        <w:spacing w:after="0" w:line="24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TRANSACTION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 2021, by and among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and [●], a [●]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Each of ARYA and the Shareholder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Business Combination Agreement (defined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7, 2021, ARYA, Mako Merger Sub, Inc., a Delaware corporation and wholly owned subsidiary of ARYA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that certain Business Combination Agreement (as amended or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spacing w:after="0" w:line="166"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Shareholder is the record and beneficial owner of the number and class or series (as applicable) of issued and outstanding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together with any other Company Shares that the Shareholder acquires record and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532"/>
        <w:spacing w:after="0" w:line="26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consideration for the benefits to be received by the Shareholder under the terms of the Business Combination Agreement and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spacing w:after="0" w:line="14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each intending to be legally bound, hereby agree 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94" w:lineRule="exact"/>
        <w:rPr>
          <w:sz w:val="20"/>
          <w:szCs w:val="20"/>
          <w:color w:val="auto"/>
        </w:rPr>
      </w:pPr>
    </w:p>
    <w:p>
      <w:pPr>
        <w:ind w:left="1260" w:hanging="719"/>
        <w:spacing w:after="0"/>
        <w:tabs>
          <w:tab w:leader="none" w:pos="12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Shareholder Consent and Related Matters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41"/>
        <w:spacing w:after="0" w:line="233" w:lineRule="auto"/>
        <w:tabs>
          <w:tab w:leader="none" w:pos="13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Times New Roman" w:cs="Times New Roman" w:eastAsia="Times New Roman" w:hAnsi="Times New Roman"/>
          <w:sz w:val="18"/>
          <w:szCs w:val="18"/>
          <w:u w:val="single" w:color="auto"/>
          <w:color w:val="auto"/>
        </w:rPr>
        <w:t>Excluded Voting Matters</w:t>
      </w:r>
      <w:r>
        <w:rPr>
          <w:rFonts w:ascii="Times New Roman" w:cs="Times New Roman" w:eastAsia="Times New Roman" w:hAnsi="Times New Roman"/>
          <w:sz w:val="18"/>
          <w:szCs w:val="18"/>
          <w:color w:val="auto"/>
        </w:rPr>
        <w:t>”). Without limiting the generality of the foregoing, prior to the Closing, the Shareholder shall vote (or cause to be voted) the Subject Company Shares against and withhold consent with 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7157085"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2" w:name="page153"/>
    <w:bookmarkEnd w:id="152"/>
    <w:p>
      <w:pPr>
        <w:jc w:val="both"/>
        <w:ind w:left="-541" w:firstLine="1074"/>
        <w:spacing w:after="0" w:line="251" w:lineRule="auto"/>
        <w:tabs>
          <w:tab w:leader="none" w:pos="1227"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1(a)</w:t>
      </w:r>
      <w:r>
        <w:rPr>
          <w:rFonts w:ascii="Times New Roman" w:cs="Times New Roman" w:eastAsia="Times New Roman" w:hAnsi="Times New Roman"/>
          <w:sz w:val="17"/>
          <w:szCs w:val="17"/>
          <w:color w:val="auto"/>
        </w:rPr>
        <w:t xml:space="preserve">, (ii) to include the Subject Company Shares in any computation for purposes of establishing a quorum at any such meeting of the Company Shareholders and (iii) 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Times New Roman" w:cs="Times New Roman" w:eastAsia="Times New Roman" w:hAnsi="Times New Roman"/>
          <w:sz w:val="17"/>
          <w:szCs w:val="17"/>
          <w:u w:val="single" w:color="auto"/>
          <w:color w:val="auto"/>
        </w:rPr>
        <w:t>Section 1(a).</w:t>
      </w:r>
    </w:p>
    <w:p>
      <w:pPr>
        <w:spacing w:after="0" w:line="160" w:lineRule="exact"/>
        <w:rPr>
          <w:rFonts w:ascii="Times New Roman" w:cs="Times New Roman" w:eastAsia="Times New Roman" w:hAnsi="Times New Roman"/>
          <w:sz w:val="17"/>
          <w:szCs w:val="17"/>
          <w:color w:val="auto"/>
        </w:rPr>
      </w:pPr>
    </w:p>
    <w:p>
      <w:pPr>
        <w:jc w:val="both"/>
        <w:ind w:left="-541" w:firstLine="1074"/>
        <w:spacing w:after="0" w:line="234" w:lineRule="auto"/>
        <w:tabs>
          <w:tab w:leader="none" w:pos="122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541" w:firstLine="541"/>
        <w:spacing w:after="0" w:line="239" w:lineRule="auto"/>
        <w:tabs>
          <w:tab w:leader="none" w:pos="6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3" w:name="page154"/>
    <w:bookmarkEnd w:id="153"/>
    <w:p>
      <w:pPr>
        <w:jc w:val="both"/>
        <w:ind w:left="-541" w:firstLine="541"/>
        <w:spacing w:after="0" w:line="256" w:lineRule="auto"/>
        <w:tabs>
          <w:tab w:leader="none" w:pos="66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spacing w:after="0" w:line="155" w:lineRule="exact"/>
        <w:rPr>
          <w:sz w:val="20"/>
          <w:szCs w:val="20"/>
          <w:color w:val="auto"/>
        </w:rPr>
      </w:pPr>
    </w:p>
    <w:p>
      <w:pPr>
        <w:ind w:left="579" w:hanging="579"/>
        <w:spacing w:after="0"/>
        <w:tabs>
          <w:tab w:leader="none" w:pos="57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Representations and Warranties</w:t>
      </w:r>
      <w:r>
        <w:rPr>
          <w:rFonts w:ascii="Times New Roman" w:cs="Times New Roman" w:eastAsia="Times New Roman" w:hAnsi="Times New Roman"/>
          <w:sz w:val="18"/>
          <w:szCs w:val="18"/>
          <w:color w:val="auto"/>
        </w:rPr>
        <w:t>. The Shareholder represents and warrants to ARYA as follows:</w:t>
      </w:r>
    </w:p>
    <w:p>
      <w:pPr>
        <w:spacing w:after="0" w:line="192" w:lineRule="exact"/>
        <w:rPr>
          <w:sz w:val="20"/>
          <w:szCs w:val="20"/>
          <w:color w:val="auto"/>
        </w:rPr>
      </w:pPr>
    </w:p>
    <w:p>
      <w:pPr>
        <w:jc w:val="both"/>
        <w:ind w:left="-541" w:firstLine="541"/>
        <w:spacing w:after="0" w:line="246" w:lineRule="auto"/>
        <w:tabs>
          <w:tab w:leader="none" w:pos="6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62"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8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68" w:lineRule="exact"/>
        <w:rPr>
          <w:rFonts w:ascii="Times New Roman" w:cs="Times New Roman" w:eastAsia="Times New Roman" w:hAnsi="Times New Roman"/>
          <w:sz w:val="18"/>
          <w:szCs w:val="18"/>
          <w:color w:val="auto"/>
        </w:rPr>
      </w:pPr>
    </w:p>
    <w:p>
      <w:pPr>
        <w:jc w:val="both"/>
        <w:ind w:left="-541" w:firstLine="541"/>
        <w:spacing w:after="0" w:line="237" w:lineRule="auto"/>
        <w:tabs>
          <w:tab w:leader="none" w:pos="7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left="-541" w:firstLine="541"/>
        <w:spacing w:after="0" w:line="235" w:lineRule="auto"/>
        <w:tabs>
          <w:tab w:leader="none" w:pos="85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adversely affect the ability of the Shareholder to perform, or otherwise comply with, any of his, her or its covenants, agreements or obligations hereunder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4" w:name="page155"/>
    <w:bookmarkEnd w:id="154"/>
    <w:p>
      <w:pPr>
        <w:jc w:val="both"/>
        <w:ind w:left="-541" w:firstLine="541"/>
        <w:spacing w:after="0" w:line="234" w:lineRule="auto"/>
        <w:tabs>
          <w:tab w:leader="none" w:pos="68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together with any other Equity Securities of the Company that the Shareholder acquires record or beneficial ownership after the date hereof that is either permitted pursuant to or acquired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 (i) any option, warrant, purchase right, or other Contract that could (either alone or in 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left="-541" w:firstLine="541"/>
        <w:spacing w:after="0" w:line="246" w:lineRule="auto"/>
        <w:tabs>
          <w:tab w:leader="none" w:pos="6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62"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6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72" w:lineRule="exact"/>
        <w:rPr>
          <w:rFonts w:ascii="Times New Roman" w:cs="Times New Roman" w:eastAsia="Times New Roman" w:hAnsi="Times New Roman"/>
          <w:sz w:val="18"/>
          <w:szCs w:val="18"/>
          <w:color w:val="auto"/>
        </w:rPr>
      </w:pPr>
    </w:p>
    <w:p>
      <w:pPr>
        <w:jc w:val="both"/>
        <w:ind w:left="-541" w:firstLine="541"/>
        <w:spacing w:after="0" w:line="251" w:lineRule="auto"/>
        <w:tabs>
          <w:tab w:leader="none" w:pos="76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5" w:name="page156"/>
    <w:bookmarkEnd w:id="155"/>
    <w:p>
      <w:pPr>
        <w:jc w:val="both"/>
        <w:ind w:firstLine="541"/>
        <w:spacing w:after="0" w:line="248" w:lineRule="auto"/>
        <w:tabs>
          <w:tab w:leader="none" w:pos="120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Subject Company Shares</w:t>
      </w:r>
      <w:r>
        <w:rPr>
          <w:rFonts w:ascii="Times New Roman" w:cs="Times New Roman" w:eastAsia="Times New Roman" w:hAnsi="Times New Roman"/>
          <w:sz w:val="17"/>
          <w:szCs w:val="17"/>
          <w:color w:val="auto"/>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with respect to such transferee and his, her or its Subject Company Shares received upon such Transfer, as applicable) prior and as a condition to the occurrence of such Transfer. 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192" w:lineRule="exact"/>
        <w:rPr>
          <w:rFonts w:ascii="Times New Roman" w:cs="Times New Roman" w:eastAsia="Times New Roman" w:hAnsi="Times New Roman"/>
          <w:sz w:val="17"/>
          <w:szCs w:val="17"/>
          <w:color w:val="auto"/>
        </w:rPr>
      </w:pPr>
    </w:p>
    <w:p>
      <w:pPr>
        <w:ind w:left="1160" w:hanging="619"/>
        <w:spacing w:after="0"/>
        <w:tabs>
          <w:tab w:leader="none" w:pos="116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This Agreement (including the proxy granted pursuant to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shall automatically terminate, without any notice or other action by any Party, and be</w:t>
      </w:r>
    </w:p>
    <w:p>
      <w:pPr>
        <w:spacing w:after="0" w:line="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shall not affect any Liability on the part of any Party for a Willful Breach of any covenant or agreement set forth in this Agreement prior to such termination or Fraud, (ii) </w:t>
      </w:r>
      <w:r>
        <w:rPr>
          <w:rFonts w:ascii="Times New Roman" w:cs="Times New Roman" w:eastAsia="Times New Roman" w:hAnsi="Times New Roman"/>
          <w:sz w:val="14"/>
          <w:szCs w:val="14"/>
          <w:u w:val="single" w:color="auto"/>
          <w:color w:val="auto"/>
        </w:rPr>
        <w:t>Section 2(a)(i)(A)</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(Confidentiality and Access to Information) of the Business Combination Agreement) and the representations and warranties set forth in </w:t>
      </w:r>
      <w:r>
        <w:rPr>
          <w:rFonts w:ascii="Times New Roman" w:cs="Times New Roman" w:eastAsia="Times New Roman" w:hAnsi="Times New Roman"/>
          <w:sz w:val="14"/>
          <w:szCs w:val="14"/>
          <w:u w:val="single" w:color="auto"/>
          <w:color w:val="auto"/>
        </w:rPr>
        <w:t>Sections 3(g)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shall each survive the termination of this Agreement, (iii) </w:t>
      </w:r>
      <w:r>
        <w:rPr>
          <w:rFonts w:ascii="Times New Roman" w:cs="Times New Roman" w:eastAsia="Times New Roman" w:hAnsi="Times New Roman"/>
          <w:sz w:val="14"/>
          <w:szCs w:val="14"/>
          <w:u w:val="single" w:color="auto"/>
          <w:color w:val="auto"/>
        </w:rPr>
        <w:t>Section 2(a)(i)(A)</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(Public Announcements) of the Business Combination Agreement) and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shall each survive the termination of this Agreement pursuant to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(iv) </w:t>
      </w:r>
      <w:r>
        <w:rPr>
          <w:rFonts w:ascii="Times New Roman" w:cs="Times New Roman" w:eastAsia="Times New Roman" w:hAnsi="Times New Roman"/>
          <w:sz w:val="14"/>
          <w:szCs w:val="14"/>
          <w:u w:val="single" w:color="auto"/>
          <w:color w:val="auto"/>
        </w:rPr>
        <w:t>Section 2(a)(i)(B)</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8.18</w:t>
      </w:r>
      <w:r>
        <w:rPr>
          <w:rFonts w:ascii="Times New Roman" w:cs="Times New Roman" w:eastAsia="Times New Roman" w:hAnsi="Times New Roman"/>
          <w:sz w:val="14"/>
          <w:szCs w:val="14"/>
          <w:color w:val="auto"/>
        </w:rPr>
        <w:t xml:space="preserve"> (Trust Account Waiver) of the Business Combination Agreement) shall survive the termination of this Agreement pursuant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and (A)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(B) </w:t>
      </w:r>
      <w:r>
        <w:rPr>
          <w:rFonts w:ascii="Times New Roman" w:cs="Times New Roman" w:eastAsia="Times New Roman" w:hAnsi="Times New Roman"/>
          <w:sz w:val="14"/>
          <w:szCs w:val="14"/>
          <w:u w:val="single" w:color="auto"/>
          <w:color w:val="auto"/>
        </w:rPr>
        <w:t>Sections 8</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17</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(to the extent related to any of the provisions that survive the termination of this Agreement) shall survive any termination of this Agreement. . For purposes of this Agreement, (x) “</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7157085"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6" w:name="page157"/>
    <w:bookmarkEnd w:id="156"/>
    <w:p>
      <w:pPr>
        <w:jc w:val="both"/>
        <w:ind w:left="-541" w:firstLine="541"/>
        <w:spacing w:after="0" w:line="237" w:lineRule="auto"/>
        <w:tabs>
          <w:tab w:leader="none" w:pos="71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w:t>
      </w:r>
    </w:p>
    <w:p>
      <w:pPr>
        <w:spacing w:after="0" w:line="170" w:lineRule="exact"/>
        <w:rPr>
          <w:rFonts w:ascii="Times New Roman" w:cs="Times New Roman" w:eastAsia="Times New Roman" w:hAnsi="Times New Roman"/>
          <w:sz w:val="18"/>
          <w:szCs w:val="18"/>
          <w:color w:val="auto"/>
        </w:rPr>
      </w:pPr>
    </w:p>
    <w:p>
      <w:pPr>
        <w:jc w:val="both"/>
        <w:ind w:left="-541" w:firstLine="541"/>
        <w:spacing w:after="0" w:line="234" w:lineRule="auto"/>
        <w:tabs>
          <w:tab w:leader="none" w:pos="57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217805</wp:posOffset>
            </wp:positionV>
            <wp:extent cx="715708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7" w:name="page158"/>
    <w:bookmarkEnd w:id="157"/>
    <w:p>
      <w:pPr>
        <w:spacing w:after="0" w:line="247" w:lineRule="auto"/>
        <w:framePr w:w="1940" w:h="664" w:wrap="auto" w:vAnchor="page" w:hAnchor="page" w:x="3080" w:y="2072"/>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Altman Konstantin Poukalov altman@perceptivelife.com konstantin@perceptivelife.com</w:t>
      </w:r>
    </w:p>
    <w:p>
      <w:pPr>
        <w:jc w:val="both"/>
        <w:ind w:firstLine="541"/>
        <w:spacing w:after="0"/>
        <w:tabs>
          <w:tab w:leader="none" w:pos="125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spacing w:after="0" w:line="170"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If to ARYA,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c/o ARYA Science Acquisition Corp.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51 Astor Place, 10th Floor</w:t>
      </w:r>
    </w:p>
    <w:p>
      <w:pPr>
        <w:spacing w:after="0" w:line="5" w:lineRule="exact"/>
        <w:rPr>
          <w:rFonts w:ascii="Times New Roman" w:cs="Times New Roman" w:eastAsia="Times New Roman" w:hAnsi="Times New Roman"/>
          <w:sz w:val="14"/>
          <w:szCs w:val="14"/>
          <w:color w:val="auto"/>
        </w:rPr>
      </w:pPr>
    </w:p>
    <w:p>
      <w:pPr>
        <w:ind w:left="1340" w:right="8640"/>
        <w:spacing w:after="0" w:line="253" w:lineRule="auto"/>
        <w:rPr>
          <w:sz w:val="20"/>
          <w:szCs w:val="20"/>
          <w:color w:val="auto"/>
        </w:rPr>
      </w:pPr>
      <w:r>
        <w:rPr>
          <w:rFonts w:ascii="Times New Roman" w:cs="Times New Roman" w:eastAsia="Times New Roman" w:hAnsi="Times New Roman"/>
          <w:sz w:val="15"/>
          <w:szCs w:val="15"/>
          <w:color w:val="auto"/>
        </w:rPr>
        <w:t>New York, NY 10003 Attention:</w:t>
      </w:r>
    </w:p>
    <w:p>
      <w:pPr>
        <w:spacing w:after="0" w:line="15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Email:</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9"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6"/>
          <w:szCs w:val="16"/>
          <w:color w:val="auto"/>
        </w:rPr>
        <w:t>New York, NY 10022</w:t>
      </w:r>
    </w:p>
    <w:tbl>
      <w:tblPr>
        <w:tblLayout w:type="fixed"/>
        <w:tblInd w:w="0" w:type="dxa"/>
        <w:tblCellMar>
          <w:top w:w="0" w:type="dxa"/>
          <w:left w:w="0" w:type="dxa"/>
          <w:bottom w:w="0" w:type="dxa"/>
          <w:right w:w="0" w:type="dxa"/>
        </w:tblCellMar>
      </w:tblPr>
      <w:tr>
        <w:trPr>
          <w:trHeight w:val="168"/>
        </w:trPr>
        <w:tc>
          <w:tcPr>
            <w:tcW w:w="2380" w:type="dxa"/>
            <w:vAlign w:val="bottom"/>
          </w:tcPr>
          <w:p>
            <w:pPr>
              <w:ind w:left="1340"/>
              <w:spacing w:after="0" w:line="168" w:lineRule="exact"/>
              <w:rPr>
                <w:sz w:val="20"/>
                <w:szCs w:val="20"/>
                <w:color w:val="auto"/>
              </w:rPr>
            </w:pPr>
            <w:r>
              <w:rPr>
                <w:rFonts w:ascii="Times New Roman" w:cs="Times New Roman" w:eastAsia="Times New Roman" w:hAnsi="Times New Roman"/>
                <w:sz w:val="15"/>
                <w:szCs w:val="15"/>
                <w:color w:val="auto"/>
              </w:rPr>
              <w:t>Attention:</w:t>
            </w:r>
          </w:p>
        </w:tc>
        <w:tc>
          <w:tcPr>
            <w:tcW w:w="8900" w:type="dxa"/>
            <w:vAlign w:val="bottom"/>
          </w:tcPr>
          <w:p>
            <w:pPr>
              <w:ind w:left="440"/>
              <w:spacing w:after="0" w:line="168" w:lineRule="exact"/>
              <w:rPr>
                <w:sz w:val="20"/>
                <w:szCs w:val="20"/>
                <w:color w:val="auto"/>
              </w:rPr>
            </w:pPr>
            <w:r>
              <w:rPr>
                <w:rFonts w:ascii="Times New Roman" w:cs="Times New Roman" w:eastAsia="Times New Roman" w:hAnsi="Times New Roman"/>
                <w:sz w:val="15"/>
                <w:szCs w:val="15"/>
                <w:color w:val="auto"/>
              </w:rPr>
              <w:t>Jonathan Davis, P.C.</w:t>
            </w:r>
          </w:p>
        </w:tc>
      </w:tr>
      <w:tr>
        <w:trPr>
          <w:trHeight w:val="177"/>
        </w:trPr>
        <w:tc>
          <w:tcPr>
            <w:tcW w:w="2380" w:type="dxa"/>
            <w:vAlign w:val="bottom"/>
          </w:tcPr>
          <w:p>
            <w:pPr>
              <w:spacing w:after="0"/>
              <w:rPr>
                <w:sz w:val="15"/>
                <w:szCs w:val="15"/>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Ryan Brissette</w:t>
            </w:r>
          </w:p>
        </w:tc>
      </w:tr>
      <w:tr>
        <w:trPr>
          <w:trHeight w:val="177"/>
        </w:trPr>
        <w:tc>
          <w:tcPr>
            <w:tcW w:w="23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Email:</w:t>
            </w:r>
          </w:p>
        </w:tc>
        <w:tc>
          <w:tcPr>
            <w:tcW w:w="89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jonathan.davis@kirkland.com</w:t>
            </w:r>
          </w:p>
        </w:tc>
      </w:tr>
      <w:tr>
        <w:trPr>
          <w:trHeight w:val="192"/>
        </w:trPr>
        <w:tc>
          <w:tcPr>
            <w:tcW w:w="2380" w:type="dxa"/>
            <w:vAlign w:val="bottom"/>
          </w:tcPr>
          <w:p>
            <w:pPr>
              <w:spacing w:after="0"/>
              <w:rPr>
                <w:sz w:val="16"/>
                <w:szCs w:val="16"/>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ryan.brissette@kirkland.com</w:t>
            </w:r>
          </w:p>
        </w:tc>
      </w:tr>
      <w:tr>
        <w:trPr>
          <w:trHeight w:val="690"/>
        </w:trPr>
        <w:tc>
          <w:tcPr>
            <w:tcW w:w="23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158" w:name="page159"/>
    <w:bookmarkEnd w:id="158"/>
    <w:p>
      <w:pPr>
        <w:ind w:left="540"/>
        <w:spacing w:after="0"/>
        <w:rPr>
          <w:sz w:val="20"/>
          <w:szCs w:val="20"/>
          <w:color w:val="auto"/>
        </w:rPr>
      </w:pPr>
      <w:r>
        <w:rPr>
          <w:rFonts w:ascii="Times New Roman" w:cs="Times New Roman" w:eastAsia="Times New Roman" w:hAnsi="Times New Roman"/>
          <w:sz w:val="18"/>
          <w:szCs w:val="18"/>
          <w:color w:val="auto"/>
        </w:rPr>
        <w:t>If to the Shareholder, to the address and email set forth on the signature pages 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650 Page Mill Road</w:t>
      </w:r>
    </w:p>
    <w:p>
      <w:pPr>
        <w:ind w:left="1340"/>
        <w:spacing w:after="0" w:line="231" w:lineRule="auto"/>
        <w:rPr>
          <w:sz w:val="20"/>
          <w:szCs w:val="20"/>
          <w:color w:val="auto"/>
        </w:rPr>
      </w:pPr>
      <w:r>
        <w:rPr>
          <w:rFonts w:ascii="Times New Roman" w:cs="Times New Roman" w:eastAsia="Times New Roman" w:hAnsi="Times New Roman"/>
          <w:sz w:val="18"/>
          <w:szCs w:val="18"/>
          <w:color w:val="auto"/>
        </w:rPr>
        <w:t>Palo Alto, CA 94304</w:t>
      </w:r>
    </w:p>
    <w:p>
      <w:pPr>
        <w:ind w:left="1340"/>
        <w:spacing w:after="0" w:line="232" w:lineRule="auto"/>
        <w:rPr>
          <w:sz w:val="20"/>
          <w:szCs w:val="20"/>
          <w:color w:val="auto"/>
        </w:rPr>
      </w:pPr>
      <w:r>
        <w:rPr>
          <w:rFonts w:ascii="Times New Roman" w:cs="Times New Roman" w:eastAsia="Times New Roman" w:hAnsi="Times New Roman"/>
          <w:sz w:val="18"/>
          <w:szCs w:val="18"/>
          <w:color w:val="auto"/>
        </w:rPr>
        <w:t>Attention: Robert Kornegay</w:t>
      </w:r>
    </w:p>
    <w:p>
      <w:pPr>
        <w:ind w:left="134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One Market Plaza, Spear Tower, Suite 3300</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San Francisco, CA 94105</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Brian Keyes</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rishii@wsgr.com</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bkeyes@wsgr.com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92" w:lineRule="exact"/>
        <w:rPr>
          <w:sz w:val="20"/>
          <w:szCs w:val="20"/>
          <w:color w:val="auto"/>
        </w:rPr>
      </w:pPr>
    </w:p>
    <w:p>
      <w:pPr>
        <w:jc w:val="both"/>
        <w:ind w:firstLine="541"/>
        <w:spacing w:after="0" w:line="246" w:lineRule="auto"/>
        <w:tabs>
          <w:tab w:leader="none" w:pos="113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and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62" w:lineRule="exact"/>
        <w:rPr>
          <w:rFonts w:ascii="Times New Roman" w:cs="Times New Roman" w:eastAsia="Times New Roman" w:hAnsi="Times New Roman"/>
          <w:sz w:val="18"/>
          <w:szCs w:val="18"/>
          <w:color w:val="auto"/>
        </w:rPr>
      </w:pPr>
    </w:p>
    <w:p>
      <w:pPr>
        <w:jc w:val="both"/>
        <w:ind w:firstLine="541"/>
        <w:spacing w:after="0" w:line="237" w:lineRule="auto"/>
        <w:tabs>
          <w:tab w:leader="none" w:pos="129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void.</w:t>
      </w:r>
    </w:p>
    <w:p>
      <w:pPr>
        <w:spacing w:after="0" w:line="171" w:lineRule="exact"/>
        <w:rPr>
          <w:rFonts w:ascii="Times New Roman" w:cs="Times New Roman" w:eastAsia="Times New Roman" w:hAnsi="Times New Roman"/>
          <w:sz w:val="18"/>
          <w:szCs w:val="18"/>
          <w:color w:val="auto"/>
        </w:rPr>
      </w:pPr>
    </w:p>
    <w:p>
      <w:pPr>
        <w:ind w:right="720" w:firstLine="541"/>
        <w:spacing w:after="0" w:line="246" w:lineRule="auto"/>
        <w:tabs>
          <w:tab w:leader="none" w:pos="11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9" w:name="page160"/>
    <w:bookmarkEnd w:id="159"/>
    <w:p>
      <w:pPr>
        <w:jc w:val="both"/>
        <w:ind w:left="-541" w:firstLine="541"/>
        <w:spacing w:after="0" w:line="235" w:lineRule="auto"/>
        <w:tabs>
          <w:tab w:leader="none" w:pos="76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rFonts w:ascii="Times New Roman" w:cs="Times New Roman" w:eastAsia="Times New Roman" w:hAnsi="Times New Roman"/>
          <w:sz w:val="18"/>
          <w:szCs w:val="18"/>
          <w:color w:val="auto"/>
        </w:rPr>
      </w:pPr>
    </w:p>
    <w:p>
      <w:pPr>
        <w:ind w:left="-541" w:right="100" w:firstLine="541"/>
        <w:spacing w:after="0" w:line="241" w:lineRule="auto"/>
        <w:tabs>
          <w:tab w:leader="none" w:pos="6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spacing w:after="0" w:line="166"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6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72" w:lineRule="exact"/>
        <w:rPr>
          <w:rFonts w:ascii="Times New Roman" w:cs="Times New Roman" w:eastAsia="Times New Roman" w:hAnsi="Times New Roman"/>
          <w:sz w:val="18"/>
          <w:szCs w:val="18"/>
          <w:color w:val="auto"/>
        </w:rPr>
      </w:pPr>
    </w:p>
    <w:p>
      <w:pPr>
        <w:ind w:left="-541" w:right="120" w:firstLine="541"/>
        <w:spacing w:after="0" w:line="254" w:lineRule="auto"/>
        <w:tabs>
          <w:tab w:leader="none" w:pos="65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Acknowledgements.</w:t>
      </w:r>
      <w:r>
        <w:rPr>
          <w:rFonts w:ascii="Times New Roman" w:cs="Times New Roman" w:eastAsia="Times New Roman" w:hAnsi="Times New Roman"/>
          <w:sz w:val="17"/>
          <w:szCs w:val="17"/>
          <w:color w:val="auto"/>
        </w:rPr>
        <w:t xml:space="preserve">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 otherwise and (d) the Shareholder acknowledges that he, she or it has had the opportunity to consult with its, his or her own counsel.</w:t>
      </w:r>
    </w:p>
    <w:p>
      <w:pPr>
        <w:spacing w:after="0" w:line="156" w:lineRule="exact"/>
        <w:rPr>
          <w:rFonts w:ascii="Times New Roman" w:cs="Times New Roman" w:eastAsia="Times New Roman" w:hAnsi="Times New Roman"/>
          <w:sz w:val="17"/>
          <w:szCs w:val="17"/>
          <w:color w:val="auto"/>
        </w:rPr>
      </w:pPr>
    </w:p>
    <w:p>
      <w:pPr>
        <w:jc w:val="both"/>
        <w:ind w:left="-541" w:firstLine="541"/>
        <w:spacing w:after="0" w:line="241" w:lineRule="auto"/>
        <w:tabs>
          <w:tab w:leader="none" w:pos="8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w:t>
      </w:r>
      <w:r>
        <w:rPr>
          <w:rFonts w:ascii="Times New Roman" w:cs="Times New Roman" w:eastAsia="Times New Roman" w:hAnsi="Times New Roman"/>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60" w:name="page161"/>
    <w:bookmarkEnd w:id="160"/>
    <w:p>
      <w:pPr>
        <w:jc w:val="both"/>
        <w:ind w:left="-541" w:firstLine="541"/>
        <w:spacing w:after="0" w:line="245" w:lineRule="auto"/>
        <w:tabs>
          <w:tab w:leader="none" w:pos="73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4" w:lineRule="exact"/>
        <w:rPr>
          <w:rFonts w:ascii="Times New Roman" w:cs="Times New Roman" w:eastAsia="Times New Roman" w:hAnsi="Times New Roman"/>
          <w:sz w:val="18"/>
          <w:szCs w:val="18"/>
          <w:color w:val="auto"/>
        </w:rPr>
      </w:pPr>
    </w:p>
    <w:p>
      <w:pPr>
        <w:jc w:val="both"/>
        <w:ind w:left="-541" w:firstLine="541"/>
        <w:spacing w:after="0" w:line="248" w:lineRule="auto"/>
        <w:tabs>
          <w:tab w:leader="none" w:pos="723"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Interpretation</w:t>
      </w:r>
      <w:r>
        <w:rPr>
          <w:rFonts w:ascii="Times New Roman" w:cs="Times New Roman" w:eastAsia="Times New Roman" w:hAnsi="Times New Roman"/>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64" w:lineRule="exact"/>
        <w:rPr>
          <w:rFonts w:ascii="Times New Roman" w:cs="Times New Roman" w:eastAsia="Times New Roman" w:hAnsi="Times New Roman"/>
          <w:sz w:val="17"/>
          <w:szCs w:val="17"/>
          <w:color w:val="auto"/>
        </w:rPr>
      </w:pPr>
    </w:p>
    <w:p>
      <w:pPr>
        <w:jc w:val="both"/>
        <w:ind w:left="-541" w:firstLine="541"/>
        <w:spacing w:after="0" w:line="254" w:lineRule="auto"/>
        <w:tabs>
          <w:tab w:leader="none" w:pos="73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6" w:lineRule="exact"/>
        <w:rPr>
          <w:rFonts w:ascii="Times New Roman" w:cs="Times New Roman" w:eastAsia="Times New Roman" w:hAnsi="Times New Roman"/>
          <w:sz w:val="17"/>
          <w:szCs w:val="17"/>
          <w:color w:val="auto"/>
        </w:rPr>
      </w:pPr>
    </w:p>
    <w:p>
      <w:pPr>
        <w:jc w:val="both"/>
        <w:ind w:left="-541" w:firstLine="541"/>
        <w:spacing w:after="0" w:line="246" w:lineRule="auto"/>
        <w:tabs>
          <w:tab w:leader="none" w:pos="69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61" w:name="page162"/>
    <w:bookmarkEnd w:id="161"/>
    <w:p>
      <w:pPr>
        <w:jc w:val="both"/>
        <w:ind w:left="-9" w:firstLine="541"/>
        <w:spacing w:after="0" w:line="248" w:lineRule="auto"/>
        <w:tabs>
          <w:tab w:leader="none" w:pos="1211"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spacing w:after="0" w:line="166" w:lineRule="exact"/>
        <w:rPr>
          <w:rFonts w:ascii="Times New Roman" w:cs="Times New Roman" w:eastAsia="Times New Roman" w:hAnsi="Times New Roman"/>
          <w:sz w:val="17"/>
          <w:szCs w:val="17"/>
          <w:color w:val="auto"/>
        </w:rPr>
      </w:pPr>
    </w:p>
    <w:p>
      <w:pPr>
        <w:jc w:val="both"/>
        <w:ind w:left="-9" w:firstLine="541"/>
        <w:spacing w:after="0" w:line="248" w:lineRule="auto"/>
        <w:tabs>
          <w:tab w:leader="none" w:pos="124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w:t>
      </w:r>
    </w:p>
    <w:p>
      <w:pPr>
        <w:spacing w:after="0" w:line="1" w:lineRule="exact"/>
        <w:rPr>
          <w:rFonts w:ascii="Times New Roman" w:cs="Times New Roman" w:eastAsia="Times New Roman" w:hAnsi="Times New Roman"/>
          <w:sz w:val="17"/>
          <w:szCs w:val="17"/>
          <w:color w:val="auto"/>
        </w:rPr>
      </w:pPr>
    </w:p>
    <w:p>
      <w:pPr>
        <w:jc w:val="both"/>
        <w:ind w:left="-9" w:firstLine="9"/>
        <w:spacing w:after="0" w:line="233" w:lineRule="auto"/>
        <w:tabs>
          <w:tab w:leader="none" w:pos="27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spacing w:after="0" w:line="166"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5708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Transaction Support Agreement as of the date first above written.</w:t>
      </w:r>
    </w:p>
    <w:p>
      <w:pPr>
        <w:sectPr>
          <w:pgSz w:w="11900" w:h="16838" w:orient="portrait"/>
          <w:cols w:equalWidth="0" w:num="1">
            <w:col w:w="9780"/>
          </w:cols>
          <w:pgMar w:left="840" w:top="118" w:right="12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ARYA SCIENCES ACQUISITION CORP III</w:t>
      </w:r>
    </w:p>
    <w:p>
      <w:pPr>
        <w:spacing w:after="0" w:line="20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Name:</w:t>
      </w:r>
    </w:p>
    <w:p>
      <w:pPr>
        <w:ind w:left="3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215265</wp:posOffset>
            </wp:positionV>
            <wp:extent cx="715708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780"/>
          </w:cols>
          <w:pgMar w:left="840" w:top="118" w:right="127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Transaction Support Agreement as of the date first above written.</w:t>
      </w:r>
    </w:p>
    <w:p>
      <w:pPr>
        <w:sectPr>
          <w:pgSz w:w="11900" w:h="16838" w:orient="portrait"/>
          <w:cols w:equalWidth="0" w:num="1">
            <w:col w:w="9780"/>
          </w:cols>
          <w:pgMar w:left="840" w:top="118" w:right="1279" w:bottom="1440" w:gutter="0" w:footer="0" w:header="0"/>
        </w:sectPr>
      </w:pP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19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By: ______________________________</w:t>
      </w:r>
    </w:p>
    <w:p>
      <w:pPr>
        <w:spacing w:after="0" w:line="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Name:</w:t>
      </w:r>
    </w:p>
    <w:p>
      <w:pPr>
        <w:ind w:left="3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342265</wp:posOffset>
            </wp:positionV>
            <wp:extent cx="715708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780"/>
          </w:cols>
          <w:pgMar w:left="840" w:top="118" w:right="1279" w:bottom="144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6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8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b w:val="1"/>
                <w:bCs w:val="1"/>
                <w:color w:val="auto"/>
                <w:w w:val="99"/>
              </w:rPr>
              <w:t>Class/Series Securities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b w:val="1"/>
                <w:bCs w:val="1"/>
                <w:color w:val="auto"/>
                <w:w w:val="99"/>
              </w:rPr>
              <w:t>Number of Shares</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7"/>
              </w:rPr>
              <w:t>Company Preferred Seed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8"/>
              </w:rPr>
              <w:t>Company Series A Preferred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9"/>
              </w:rPr>
              <w:t>Company Series B Preferred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7"/>
              </w:rPr>
              <w:t>Company Common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99"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Accompany Certificates Formerly Representing</w:t>
      </w:r>
    </w:p>
    <w:p>
      <w:pPr>
        <w:jc w:val="center"/>
        <w:spacing w:after="0"/>
        <w:rPr>
          <w:sz w:val="20"/>
          <w:szCs w:val="20"/>
          <w:color w:val="auto"/>
        </w:rPr>
      </w:pPr>
      <w:r>
        <w:rPr>
          <w:rFonts w:ascii="Times New Roman" w:cs="Times New Roman" w:eastAsia="Times New Roman" w:hAnsi="Times New Roman"/>
          <w:sz w:val="18"/>
          <w:szCs w:val="18"/>
          <w:color w:val="auto"/>
        </w:rPr>
        <w:t>Shares of [Common Stock / Series A Preferred Stock / Series B Preferred Stock / Series Seed Preferred Stock]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DESCRIPTION OF SURRENDERED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7157085" cy="15074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085" cy="15074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220" w:type="dxa"/>
            <w:vAlign w:val="bottom"/>
            <w:gridSpan w:val="3"/>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w w:val="98"/>
              </w:rPr>
              <w:t>Names(s) and Address(es) of Registered Owner(s)</w:t>
            </w:r>
          </w:p>
        </w:tc>
        <w:tc>
          <w:tcPr>
            <w:tcW w:w="4060" w:type="dxa"/>
            <w:vAlign w:val="bottom"/>
            <w:gridSpan w:val="3"/>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w w:val="97"/>
              </w:rPr>
              <w:t>Certificate(s) Surrendered</w:t>
            </w:r>
          </w:p>
        </w:tc>
      </w:tr>
      <w:tr>
        <w:trPr>
          <w:trHeight w:val="196"/>
        </w:trPr>
        <w:tc>
          <w:tcPr>
            <w:tcW w:w="7220" w:type="dxa"/>
            <w:vAlign w:val="bottom"/>
            <w:tcBorders>
              <w:bottom w:val="single" w:sz="8" w:color="auto"/>
            </w:tcBorders>
            <w:gridSpan w:val="3"/>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w w:val="98"/>
              </w:rPr>
              <w:t>(Please fill in, if blank, exactly as name(s) appear(s) on certificate(s))</w:t>
            </w:r>
          </w:p>
        </w:tc>
        <w:tc>
          <w:tcPr>
            <w:tcW w:w="406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w w:val="99"/>
              </w:rPr>
              <w:t>(Attach additional list if necessary)</w:t>
            </w:r>
          </w:p>
        </w:tc>
      </w:tr>
      <w:tr>
        <w:trPr>
          <w:trHeight w:val="161"/>
        </w:trPr>
        <w:tc>
          <w:tcPr>
            <w:tcW w:w="6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60" w:type="dxa"/>
            <w:vAlign w:val="bottom"/>
            <w:gridSpan w:val="3"/>
          </w:tcPr>
          <w:p>
            <w:pPr>
              <w:jc w:val="center"/>
              <w:ind w:left="166"/>
              <w:spacing w:after="0" w:line="161" w:lineRule="exact"/>
              <w:rPr>
                <w:sz w:val="20"/>
                <w:szCs w:val="20"/>
                <w:color w:val="auto"/>
              </w:rPr>
            </w:pPr>
            <w:r>
              <w:rPr>
                <w:rFonts w:ascii="Times New Roman" w:cs="Times New Roman" w:eastAsia="Times New Roman" w:hAnsi="Times New Roman"/>
                <w:sz w:val="15"/>
                <w:szCs w:val="15"/>
                <w:b w:val="1"/>
                <w:bCs w:val="1"/>
                <w:color w:val="auto"/>
                <w:w w:val="97"/>
              </w:rPr>
              <w:t>Total Number of Shares</w:t>
            </w:r>
          </w:p>
        </w:tc>
      </w:tr>
      <w:tr>
        <w:trPr>
          <w:trHeight w:val="177"/>
        </w:trPr>
        <w:tc>
          <w:tcPr>
            <w:tcW w:w="62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Certificate</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w w:val="96"/>
              </w:rPr>
              <w:t>Represented By</w:t>
            </w:r>
          </w:p>
        </w:tc>
      </w:tr>
      <w:tr>
        <w:trPr>
          <w:trHeight w:val="161"/>
        </w:trPr>
        <w:tc>
          <w:tcPr>
            <w:tcW w:w="6220" w:type="dxa"/>
            <w:vAlign w:val="bottom"/>
          </w:tcPr>
          <w:p>
            <w:pPr>
              <w:spacing w:after="0"/>
              <w:rPr>
                <w:sz w:val="13"/>
                <w:szCs w:val="13"/>
                <w:color w:val="auto"/>
              </w:rPr>
            </w:pPr>
          </w:p>
        </w:tc>
        <w:tc>
          <w:tcPr>
            <w:tcW w:w="6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8"/>
              </w:rPr>
              <w:t>Number(s)</w:t>
            </w:r>
          </w:p>
        </w:tc>
        <w:tc>
          <w:tcPr>
            <w:tcW w:w="320" w:type="dxa"/>
            <w:vAlign w:val="bottom"/>
          </w:tcPr>
          <w:p>
            <w:pPr>
              <w:spacing w:after="0"/>
              <w:rPr>
                <w:sz w:val="13"/>
                <w:szCs w:val="13"/>
                <w:color w:val="auto"/>
              </w:rPr>
            </w:pPr>
          </w:p>
        </w:tc>
        <w:tc>
          <w:tcPr>
            <w:tcW w:w="4060" w:type="dxa"/>
            <w:vAlign w:val="bottom"/>
            <w:gridSpan w:val="3"/>
          </w:tcPr>
          <w:p>
            <w:pPr>
              <w:jc w:val="center"/>
              <w:ind w:left="166"/>
              <w:spacing w:after="0" w:line="161" w:lineRule="exact"/>
              <w:rPr>
                <w:sz w:val="20"/>
                <w:szCs w:val="20"/>
                <w:color w:val="auto"/>
              </w:rPr>
            </w:pPr>
            <w:r>
              <w:rPr>
                <w:rFonts w:ascii="Times New Roman" w:cs="Times New Roman" w:eastAsia="Times New Roman" w:hAnsi="Times New Roman"/>
                <w:sz w:val="15"/>
                <w:szCs w:val="15"/>
                <w:b w:val="1"/>
                <w:bCs w:val="1"/>
                <w:color w:val="auto"/>
                <w:w w:val="97"/>
              </w:rPr>
              <w:t>Certificate(s)</w:t>
            </w:r>
          </w:p>
        </w:tc>
      </w:tr>
      <w:tr>
        <w:trPr>
          <w:trHeight w:val="20"/>
        </w:trPr>
        <w:tc>
          <w:tcPr>
            <w:tcW w:w="6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52"/>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w w:val="98"/>
              </w:rPr>
              <w:t>_______________________________</w:t>
            </w:r>
          </w:p>
        </w:tc>
      </w:tr>
      <w:tr>
        <w:trPr>
          <w:trHeight w:val="177"/>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177"/>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194"/>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339"/>
        </w:trPr>
        <w:tc>
          <w:tcPr>
            <w:tcW w:w="7220" w:type="dxa"/>
            <w:vAlign w:val="bottom"/>
            <w:gridSpan w:val="3"/>
          </w:tcPr>
          <w:p>
            <w:pPr>
              <w:jc w:val="center"/>
              <w:ind w:left="5806"/>
              <w:spacing w:after="0"/>
              <w:rPr>
                <w:sz w:val="20"/>
                <w:szCs w:val="20"/>
                <w:color w:val="auto"/>
              </w:rPr>
            </w:pPr>
            <w:r>
              <w:rPr>
                <w:rFonts w:ascii="Times New Roman" w:cs="Times New Roman" w:eastAsia="Times New Roman" w:hAnsi="Times New Roman"/>
                <w:sz w:val="15"/>
                <w:szCs w:val="15"/>
                <w:b w:val="1"/>
                <w:bCs w:val="1"/>
                <w:color w:val="auto"/>
                <w:w w:val="96"/>
              </w:rPr>
              <w:t>Total number</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4"/>
        </w:trPr>
        <w:tc>
          <w:tcPr>
            <w:tcW w:w="62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of shares:</w:t>
            </w: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right="140" w:firstLine="9"/>
        <w:spacing w:after="0" w:line="245" w:lineRule="auto"/>
        <w:tabs>
          <w:tab w:leader="none" w:pos="1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any certificate(s) representing shares of stock that you own have been lost or destroyed, check this box and see Instruction 8. Please fill out the remainder of this Letter of Transmittal and indicate here the number of shares of stock represented by the lost or destroyed certificates. _________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7157085" cy="22402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085" cy="224028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p>
      <w:pPr>
        <w:spacing w:after="0" w:line="237"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5"/>
          <w:szCs w:val="15"/>
          <w:b w:val="1"/>
          <w:bCs w:val="1"/>
          <w:color w:val="auto"/>
        </w:rPr>
        <w:t>SPECIAL PAYMENT INSTRUCTIONS</w:t>
      </w:r>
    </w:p>
    <w:p>
      <w:pPr>
        <w:spacing w:after="0" w:line="2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5"/>
          <w:szCs w:val="15"/>
          <w:b w:val="1"/>
          <w:bCs w:val="1"/>
          <w:color w:val="auto"/>
        </w:rPr>
        <w:t>(See Instructions 1, 4, and 5)</w:t>
      </w:r>
    </w:p>
    <w:p>
      <w:pPr>
        <w:spacing w:after="0" w:line="168" w:lineRule="exact"/>
        <w:rPr>
          <w:sz w:val="20"/>
          <w:szCs w:val="20"/>
          <w:color w:val="auto"/>
        </w:rPr>
      </w:pPr>
    </w:p>
    <w:p>
      <w:pPr>
        <w:ind w:left="80" w:firstLine="346"/>
        <w:spacing w:after="0" w:line="273" w:lineRule="auto"/>
        <w:rPr>
          <w:sz w:val="20"/>
          <w:szCs w:val="20"/>
          <w:color w:val="auto"/>
        </w:rPr>
      </w:pPr>
      <w:r>
        <w:rPr>
          <w:rFonts w:ascii="Times New Roman" w:cs="Times New Roman" w:eastAsia="Times New Roman" w:hAnsi="Times New Roman"/>
          <w:sz w:val="15"/>
          <w:szCs w:val="15"/>
          <w:color w:val="auto"/>
        </w:rPr>
        <w:t>To be completed ONLY if the shares for surrendered Certificates is to be issued in the name of someone other than the undersigned.</w:t>
      </w: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Issue check to:</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Name:______________________________</w:t>
      </w:r>
    </w:p>
    <w:p>
      <w:pPr>
        <w:spacing w:after="0" w:line="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b w:val="1"/>
          <w:bCs w:val="1"/>
          <w:color w:val="auto"/>
        </w:rPr>
        <w:t>(Please Print)</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Address: ___________________________</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b w:val="1"/>
          <w:bCs w:val="1"/>
          <w:color w:val="auto"/>
        </w:rPr>
        <w:t>(Include Zip Code)</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(Tax Identification or Social Security No.)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SPECIAL DELIVERY INSTRUCTIONS</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(See Instructions 1, 4 and 5)</w:t>
      </w:r>
    </w:p>
    <w:p>
      <w:pPr>
        <w:spacing w:after="0" w:line="168" w:lineRule="exact"/>
        <w:rPr>
          <w:sz w:val="20"/>
          <w:szCs w:val="20"/>
          <w:color w:val="auto"/>
        </w:rPr>
      </w:pPr>
    </w:p>
    <w:p>
      <w:pPr>
        <w:jc w:val="both"/>
        <w:ind w:right="80" w:firstLine="343"/>
        <w:spacing w:after="0" w:line="260" w:lineRule="auto"/>
        <w:rPr>
          <w:sz w:val="20"/>
          <w:szCs w:val="20"/>
          <w:color w:val="auto"/>
        </w:rPr>
      </w:pPr>
      <w:r>
        <w:rPr>
          <w:rFonts w:ascii="Times New Roman" w:cs="Times New Roman" w:eastAsia="Times New Roman" w:hAnsi="Times New Roman"/>
          <w:sz w:val="15"/>
          <w:szCs w:val="15"/>
          <w:color w:val="auto"/>
        </w:rPr>
        <w:t>To be completed ONLY if the shares for surrendered Certificates is to be sent to someone other than the undersigned or to the undersigned at an address other than that shown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Deliver check 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Name:______________________________</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(Please Print)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___________________________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(Include Zip Code)</w:t>
      </w:r>
    </w:p>
    <w:p>
      <w:pPr>
        <w:spacing w:after="0" w:line="754" w:lineRule="exact"/>
        <w:rPr>
          <w:sz w:val="20"/>
          <w:szCs w:val="20"/>
          <w:color w:val="auto"/>
        </w:rPr>
      </w:pPr>
    </w:p>
    <w:p>
      <w:pPr>
        <w:sectPr>
          <w:pgSz w:w="11900" w:h="16838" w:orient="portrait"/>
          <w:cols w:equalWidth="0" w:num="2">
            <w:col w:w="5360" w:space="580"/>
            <w:col w:w="5340"/>
          </w:cols>
          <w:pgMar w:left="300" w:top="114" w:right="319" w:bottom="1440" w:gutter="0" w:footer="0" w:header="0"/>
          <w:type w:val="continuous"/>
        </w:sectPr>
      </w:pPr>
    </w:p>
    <w:p>
      <w:pPr>
        <w:spacing w:after="0" w:line="246" w:lineRule="exact"/>
        <w:rPr>
          <w:sz w:val="20"/>
          <w:szCs w:val="20"/>
          <w:color w:val="auto"/>
        </w:rPr>
      </w:pPr>
    </w:p>
    <w:p>
      <w:pPr>
        <w:jc w:val="center"/>
        <w:ind w:left="440" w:right="2300"/>
        <w:spacing w:after="0" w:line="247" w:lineRule="auto"/>
        <w:rPr>
          <w:sz w:val="20"/>
          <w:szCs w:val="20"/>
          <w:color w:val="auto"/>
        </w:rPr>
      </w:pPr>
      <w:r>
        <w:rPr>
          <w:rFonts w:ascii="Times New Roman" w:cs="Times New Roman" w:eastAsia="Times New Roman" w:hAnsi="Times New Roman"/>
          <w:sz w:val="18"/>
          <w:szCs w:val="18"/>
          <w:b w:val="1"/>
          <w:bCs w:val="1"/>
          <w:color w:val="auto"/>
        </w:rPr>
        <w:t>IMPORTANT — STOCKHOLDERS SIGN HERE (U.S. Holders Also Please Complete Substitute Form W-9 Below) (Non-U.S. Holders Please Obtain and Complete Form W-8BEN or Other Form W-8)</w:t>
      </w:r>
    </w:p>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(Must be signed by former registered holder(s) exactly as name(s) appear(s) on stock certificate(s) or on a security position listing or by person(s) authorized to become registered holder(s) as evidenced by certificates and documents transmitted herewith. If signature is by trustees, executors, administrators, guardians, attorneys-in-fact, officers of corporations or others acting in a fiduciary or representative capacity, please set forth full title and see Instruction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___________________________________________________</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  _____________________________________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and 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Complete ONLY if required by Instruction 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USE BY FINANCIAL INSTITUTION ONLY.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7183755" cy="857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755" cy="857885"/>
                    </a:xfrm>
                    <a:prstGeom prst="rect">
                      <a:avLst/>
                    </a:prstGeom>
                    <a:noFill/>
                  </pic:spPr>
                </pic:pic>
              </a:graphicData>
            </a:graphic>
          </wp:anchor>
        </w:drawing>
      </w:r>
    </w:p>
    <w:p>
      <w:pPr>
        <w:spacing w:after="0" w:line="230"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Firm:</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spacing w:after="0" w:line="5"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ind w:left="80"/>
        <w:spacing w:after="0" w:line="231" w:lineRule="auto"/>
        <w:tabs>
          <w:tab w:leader="none" w:pos="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ind w:left="80"/>
        <w:spacing w:after="0"/>
        <w:rPr>
          <w:sz w:val="20"/>
          <w:szCs w:val="20"/>
          <w:color w:val="auto"/>
        </w:rPr>
      </w:pPr>
      <w:r>
        <w:rPr>
          <w:rFonts w:ascii="Times New Roman" w:cs="Times New Roman" w:eastAsia="Times New Roman" w:hAnsi="Times New Roman"/>
          <w:sz w:val="18"/>
          <w:szCs w:val="18"/>
          <w:color w:val="auto"/>
        </w:rPr>
        <w:t>Address: _______________________________________________________________</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COMPLETED BY ALL SURRENDERING U.S. HOLDERS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7157085" cy="42830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085" cy="428307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PAYER: CONTINENTAL STOCK TRANSFER &amp; TRUST COMPANY</w:t>
      </w:r>
    </w:p>
    <w:p>
      <w:pPr>
        <w:sectPr>
          <w:pgSz w:w="11900" w:h="16838" w:orient="portrait"/>
          <w:cols w:equalWidth="0" w:num="1">
            <w:col w:w="11280"/>
          </w:cols>
          <w:pgMar w:left="300" w:top="1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SUBSTITUTE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Form W-9</w:t>
      </w:r>
    </w:p>
    <w:p>
      <w:pPr>
        <w:spacing w:after="0" w:line="344" w:lineRule="exact"/>
        <w:rPr>
          <w:sz w:val="20"/>
          <w:szCs w:val="20"/>
          <w:color w:val="auto"/>
        </w:rPr>
      </w:pPr>
    </w:p>
    <w:p>
      <w:pPr>
        <w:ind w:left="60" w:right="540"/>
        <w:spacing w:after="0" w:line="313" w:lineRule="auto"/>
        <w:rPr>
          <w:sz w:val="20"/>
          <w:szCs w:val="20"/>
          <w:color w:val="auto"/>
        </w:rPr>
      </w:pPr>
      <w:r>
        <w:rPr>
          <w:rFonts w:ascii="Times New Roman" w:cs="Times New Roman" w:eastAsia="Times New Roman" w:hAnsi="Times New Roman"/>
          <w:sz w:val="14"/>
          <w:szCs w:val="14"/>
          <w:b w:val="1"/>
          <w:bCs w:val="1"/>
          <w:color w:val="auto"/>
        </w:rPr>
        <w:t>Department of the Treasury Internal Revenue Service</w:t>
      </w:r>
    </w:p>
    <w:p>
      <w:pPr>
        <w:spacing w:after="0" w:line="113" w:lineRule="exact"/>
        <w:rPr>
          <w:sz w:val="20"/>
          <w:szCs w:val="20"/>
          <w:color w:val="auto"/>
        </w:rPr>
      </w:pPr>
    </w:p>
    <w:p>
      <w:pPr>
        <w:ind w:left="60" w:right="480"/>
        <w:spacing w:after="0" w:line="261" w:lineRule="auto"/>
        <w:rPr>
          <w:sz w:val="20"/>
          <w:szCs w:val="20"/>
          <w:color w:val="auto"/>
        </w:rPr>
      </w:pPr>
      <w:r>
        <w:rPr>
          <w:rFonts w:ascii="Times New Roman" w:cs="Times New Roman" w:eastAsia="Times New Roman" w:hAnsi="Times New Roman"/>
          <w:sz w:val="15"/>
          <w:szCs w:val="15"/>
          <w:b w:val="1"/>
          <w:bCs w:val="1"/>
          <w:color w:val="auto"/>
        </w:rPr>
        <w:t>Request for Taxpayer Identification Number (TIN) And Certification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Name:</w:t>
      </w: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Address: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Check appropriate box:</w:t>
            </w:r>
          </w:p>
        </w:tc>
        <w:tc>
          <w:tcPr>
            <w:tcW w:w="2660" w:type="dxa"/>
            <w:vAlign w:val="bottom"/>
            <w:gridSpan w:val="2"/>
            <w:vMerge w:val="restart"/>
          </w:tcPr>
          <w:p>
            <w:pPr>
              <w:ind w:left="160"/>
              <w:spacing w:after="0" w:line="173" w:lineRule="exact"/>
              <w:rPr>
                <w:sz w:val="20"/>
                <w:szCs w:val="20"/>
                <w:color w:val="auto"/>
              </w:rPr>
            </w:pPr>
            <w:r>
              <w:rPr>
                <w:rFonts w:ascii="Times New Roman" w:cs="Times New Roman" w:eastAsia="Times New Roman" w:hAnsi="Times New Roman"/>
                <w:sz w:val="15"/>
                <w:szCs w:val="15"/>
                <w:color w:val="auto"/>
              </w:rPr>
              <w:t xml:space="preserve">Corporation </w:t>
            </w:r>
            <w:r>
              <w:rPr>
                <w:rFonts w:ascii="MS PGothic" w:cs="MS PGothic" w:eastAsia="MS PGothic" w:hAnsi="MS PGothic"/>
                <w:sz w:val="15"/>
                <w:szCs w:val="15"/>
                <w:color w:val="auto"/>
              </w:rPr>
              <w:t>☐</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Individual/Sole Proprietor </w:t>
            </w:r>
            <w:r>
              <w:rPr>
                <w:rFonts w:ascii="MS PGothic" w:cs="MS PGothic" w:eastAsia="MS PGothic" w:hAnsi="MS PGothic"/>
                <w:sz w:val="15"/>
                <w:szCs w:val="15"/>
                <w:color w:val="auto"/>
              </w:rPr>
              <w:t>☐</w:t>
            </w:r>
          </w:p>
        </w:tc>
        <w:tc>
          <w:tcPr>
            <w:tcW w:w="266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Partnership </w:t>
            </w:r>
            <w:r>
              <w:rPr>
                <w:rFonts w:ascii="MS PGothic" w:cs="MS PGothic" w:eastAsia="MS PGothic" w:hAnsi="MS PGothic"/>
                <w:sz w:val="15"/>
                <w:szCs w:val="15"/>
                <w:color w:val="auto"/>
              </w:rPr>
              <w:t>☐</w:t>
            </w:r>
          </w:p>
        </w:tc>
        <w:tc>
          <w:tcPr>
            <w:tcW w:w="1440" w:type="dxa"/>
            <w:vAlign w:val="bottom"/>
            <w:gridSpan w:val="2"/>
          </w:tcPr>
          <w:p>
            <w:pPr>
              <w:ind w:left="180"/>
              <w:spacing w:after="0" w:line="173" w:lineRule="exact"/>
              <w:rPr>
                <w:sz w:val="20"/>
                <w:szCs w:val="20"/>
                <w:color w:val="auto"/>
              </w:rPr>
            </w:pPr>
            <w:r>
              <w:rPr>
                <w:rFonts w:ascii="Times New Roman" w:cs="Times New Roman" w:eastAsia="Times New Roman" w:hAnsi="Times New Roman"/>
                <w:sz w:val="15"/>
                <w:szCs w:val="15"/>
                <w:color w:val="auto"/>
              </w:rPr>
              <w:t xml:space="preserve">Other (specify) </w:t>
            </w:r>
            <w:r>
              <w:rPr>
                <w:rFonts w:ascii="MS PGothic" w:cs="MS PGothic" w:eastAsia="MS PGothic" w:hAnsi="MS PGothic"/>
                <w:sz w:val="15"/>
                <w:szCs w:val="15"/>
                <w:color w:val="auto"/>
              </w:rPr>
              <w:t>☐</w:t>
            </w:r>
          </w:p>
        </w:tc>
        <w:tc>
          <w:tcPr>
            <w:tcW w:w="2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Exempt from</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0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680" w:type="dxa"/>
            <w:vAlign w:val="bottom"/>
            <w:tcBorders>
              <w:bottom w:val="single" w:sz="8" w:color="auto"/>
            </w:tcBorders>
            <w:gridSpan w:val="2"/>
          </w:tcPr>
          <w:p>
            <w:pPr>
              <w:ind w:left="720"/>
              <w:spacing w:after="0" w:line="173" w:lineRule="exact"/>
              <w:rPr>
                <w:sz w:val="20"/>
                <w:szCs w:val="20"/>
                <w:color w:val="auto"/>
              </w:rPr>
            </w:pPr>
            <w:r>
              <w:rPr>
                <w:rFonts w:ascii="Times New Roman" w:cs="Times New Roman" w:eastAsia="Times New Roman" w:hAnsi="Times New Roman"/>
                <w:sz w:val="15"/>
                <w:szCs w:val="15"/>
                <w:color w:val="auto"/>
              </w:rPr>
              <w:t xml:space="preserve">Backup Withholding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4"/>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Part I</w:t>
            </w:r>
            <w:r>
              <w:rPr>
                <w:rFonts w:ascii="Times New Roman" w:cs="Times New Roman" w:eastAsia="Times New Roman" w:hAnsi="Times New Roman"/>
                <w:sz w:val="15"/>
                <w:szCs w:val="15"/>
                <w:color w:val="auto"/>
              </w:rPr>
              <w:t>. Please provide your taxpayer identification number in the space at</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SSN: </w:t>
            </w:r>
            <w:r>
              <w:rPr>
                <w:rFonts w:ascii="Times New Roman" w:cs="Times New Roman" w:eastAsia="Times New Roman" w:hAnsi="Times New Roman"/>
                <w:sz w:val="15"/>
                <w:szCs w:val="15"/>
                <w:color w:val="auto"/>
              </w:rPr>
              <w:t>_____________</w:t>
            </w:r>
          </w:p>
        </w:tc>
        <w:tc>
          <w:tcPr>
            <w:tcW w:w="0" w:type="dxa"/>
            <w:vAlign w:val="bottom"/>
          </w:tcPr>
          <w:p>
            <w:pPr>
              <w:spacing w:after="0"/>
              <w:rPr>
                <w:sz w:val="1"/>
                <w:szCs w:val="1"/>
                <w:color w:val="auto"/>
              </w:rPr>
            </w:pPr>
          </w:p>
        </w:tc>
      </w:tr>
      <w:tr>
        <w:trPr>
          <w:trHeight w:val="177"/>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right. If awaiting TIN, write "Applied For" in space at right and complete</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OR</w:t>
            </w:r>
          </w:p>
        </w:tc>
        <w:tc>
          <w:tcPr>
            <w:tcW w:w="0" w:type="dxa"/>
            <w:vAlign w:val="bottom"/>
          </w:tcPr>
          <w:p>
            <w:pPr>
              <w:spacing w:after="0"/>
              <w:rPr>
                <w:sz w:val="1"/>
                <w:szCs w:val="1"/>
                <w:color w:val="auto"/>
              </w:rPr>
            </w:pPr>
          </w:p>
        </w:tc>
      </w:tr>
      <w:tr>
        <w:trPr>
          <w:trHeight w:val="194"/>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the Certificate of Awaiting Taxpayer Identification Number below.</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EIN: </w:t>
            </w:r>
            <w:r>
              <w:rPr>
                <w:rFonts w:ascii="Times New Roman" w:cs="Times New Roman" w:eastAsia="Times New Roman" w:hAnsi="Times New Roman"/>
                <w:sz w:val="15"/>
                <w:szCs w:val="15"/>
                <w:color w:val="auto"/>
              </w:rPr>
              <w:t>_____________</w:t>
            </w:r>
          </w:p>
        </w:tc>
        <w:tc>
          <w:tcPr>
            <w:tcW w:w="0" w:type="dxa"/>
            <w:vAlign w:val="bottom"/>
          </w:tcPr>
          <w:p>
            <w:pPr>
              <w:spacing w:after="0"/>
              <w:rPr>
                <w:sz w:val="1"/>
                <w:szCs w:val="1"/>
                <w:color w:val="auto"/>
              </w:rPr>
            </w:pPr>
          </w:p>
        </w:tc>
      </w:tr>
      <w:tr>
        <w:trPr>
          <w:trHeight w:val="36"/>
        </w:trPr>
        <w:tc>
          <w:tcPr>
            <w:tcW w:w="10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right="60"/>
        <w:spacing w:after="0" w:line="276" w:lineRule="auto"/>
        <w:rPr>
          <w:sz w:val="20"/>
          <w:szCs w:val="20"/>
          <w:color w:val="auto"/>
        </w:rPr>
      </w:pPr>
      <w:r>
        <w:rPr>
          <w:rFonts w:ascii="Times New Roman" w:cs="Times New Roman" w:eastAsia="Times New Roman" w:hAnsi="Times New Roman"/>
          <w:sz w:val="15"/>
          <w:szCs w:val="15"/>
          <w:b w:val="1"/>
          <w:bCs w:val="1"/>
          <w:color w:val="auto"/>
        </w:rPr>
        <w:t>Part II</w:t>
      </w:r>
      <w:r>
        <w:rPr>
          <w:rFonts w:ascii="Times New Roman" w:cs="Times New Roman" w:eastAsia="Times New Roman" w:hAnsi="Times New Roman"/>
          <w:sz w:val="15"/>
          <w:szCs w:val="15"/>
          <w:color w:val="auto"/>
        </w:rPr>
        <w:t>. For Payees exempt from backup withholding, see the enclosed “Guidelines for Certification of Taxpayer Identification Number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on Substitute Form W-9” and complete as instructed therein.</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III. Certification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Under penalties of perjury, I certify that:</w:t>
      </w:r>
    </w:p>
    <w:p>
      <w:pPr>
        <w:spacing w:after="0" w:line="5" w:lineRule="exact"/>
        <w:rPr>
          <w:sz w:val="20"/>
          <w:szCs w:val="20"/>
          <w:color w:val="auto"/>
        </w:rPr>
      </w:pPr>
    </w:p>
    <w:p>
      <w:pPr>
        <w:ind w:left="380" w:right="60" w:hanging="334"/>
        <w:spacing w:after="0" w:line="253" w:lineRule="auto"/>
        <w:tabs>
          <w:tab w:leader="none" w:pos="423"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shown on this form is my correct Taxpayer Identification Number (or, as indicated, I am waiting for a number to be issued to me):</w:t>
      </w:r>
    </w:p>
    <w:p>
      <w:pPr>
        <w:spacing w:after="0" w:line="154" w:lineRule="exact"/>
        <w:rPr>
          <w:rFonts w:ascii="Times New Roman" w:cs="Times New Roman" w:eastAsia="Times New Roman" w:hAnsi="Times New Roman"/>
          <w:sz w:val="15"/>
          <w:szCs w:val="15"/>
          <w:color w:val="auto"/>
        </w:rPr>
      </w:pPr>
    </w:p>
    <w:p>
      <w:pPr>
        <w:jc w:val="both"/>
        <w:ind w:left="380" w:right="60" w:hanging="334"/>
        <w:spacing w:after="0" w:line="260" w:lineRule="auto"/>
        <w:tabs>
          <w:tab w:leader="none" w:pos="378"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not subject to backup withholding because: (a) I am exempt from backup withholding, or (b) I have not been notified by the IRS that I am subject to backup withholding as a result of a failure to report all interests or dividends, or (c) the IRS has notified me that I am no longer subject to backup withholding; and</w:t>
      </w:r>
    </w:p>
    <w:p>
      <w:pPr>
        <w:spacing w:after="0" w:line="149" w:lineRule="exact"/>
        <w:rPr>
          <w:rFonts w:ascii="Times New Roman" w:cs="Times New Roman" w:eastAsia="Times New Roman" w:hAnsi="Times New Roman"/>
          <w:sz w:val="15"/>
          <w:szCs w:val="15"/>
          <w:color w:val="auto"/>
        </w:rPr>
      </w:pPr>
    </w:p>
    <w:p>
      <w:pPr>
        <w:ind w:left="440" w:hanging="394"/>
        <w:spacing w:after="0"/>
        <w:tabs>
          <w:tab w:leader="none" w:pos="4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a U.S. person (including a U.S. resident alien).</w:t>
      </w:r>
    </w:p>
    <w:p>
      <w:pPr>
        <w:spacing w:after="0" w:line="180" w:lineRule="exact"/>
        <w:rPr>
          <w:sz w:val="20"/>
          <w:szCs w:val="20"/>
          <w:color w:val="auto"/>
        </w:rPr>
      </w:pPr>
    </w:p>
    <w:p>
      <w:pPr>
        <w:jc w:val="both"/>
        <w:ind w:left="40" w:right="60"/>
        <w:spacing w:after="0" w:line="256" w:lineRule="auto"/>
        <w:rPr>
          <w:sz w:val="20"/>
          <w:szCs w:val="20"/>
          <w:color w:val="auto"/>
        </w:rPr>
      </w:pPr>
      <w:r>
        <w:rPr>
          <w:rFonts w:ascii="Times New Roman" w:cs="Times New Roman" w:eastAsia="Times New Roman" w:hAnsi="Times New Roman"/>
          <w:sz w:val="15"/>
          <w:szCs w:val="15"/>
          <w:b w:val="1"/>
          <w:bCs w:val="1"/>
          <w:color w:val="auto"/>
        </w:rPr>
        <w:t>Certification Instructions—</w:t>
      </w:r>
      <w:r>
        <w:rPr>
          <w:rFonts w:ascii="Times New Roman" w:cs="Times New Roman" w:eastAsia="Times New Roman" w:hAnsi="Times New Roman"/>
          <w:sz w:val="15"/>
          <w:szCs w:val="15"/>
          <w:color w:val="auto"/>
        </w:rPr>
        <w:t>You must cross out item (2) above if you have been notified by the IRS that you are subject to backup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withholding because you have failed to report all interest or dividends on your tax return. However, if after being notified by the IRS that you were subject to backup withholding you received another notification from the IRS that you are no longer subject to backup withholding, do not cross out item (2).</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Signature: ______________ Date: ____________________ , 20</w:t>
      </w:r>
    </w:p>
    <w:p>
      <w:pPr>
        <w:spacing w:after="0" w:line="200" w:lineRule="exact"/>
        <w:rPr>
          <w:sz w:val="20"/>
          <w:szCs w:val="20"/>
          <w:color w:val="auto"/>
        </w:rPr>
      </w:pPr>
    </w:p>
    <w:p>
      <w:pPr>
        <w:sectPr>
          <w:pgSz w:w="11900" w:h="16838" w:orient="portrait"/>
          <w:cols w:equalWidth="0" w:num="2">
            <w:col w:w="2360" w:space="720"/>
            <w:col w:w="8200"/>
          </w:cols>
          <w:pgMar w:left="300" w:top="114" w:right="31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 must complete the following certificate if you wrote “applied for” in part I of this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157085" cy="1070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085" cy="1070610"/>
                    </a:xfrm>
                    <a:prstGeom prst="rect">
                      <a:avLst/>
                    </a:prstGeom>
                    <a:noFill/>
                  </pic:spPr>
                </pic:pic>
              </a:graphicData>
            </a:graphic>
          </wp:anchor>
        </w:drawing>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CERTIFICATE OF AWAITING TAXPAYER IDENTIFICATION NUMBER</w:t>
      </w:r>
    </w:p>
    <w:p>
      <w:pPr>
        <w:spacing w:after="0" w:line="184" w:lineRule="exact"/>
        <w:rPr>
          <w:sz w:val="20"/>
          <w:szCs w:val="20"/>
          <w:color w:val="auto"/>
        </w:rPr>
      </w:pPr>
    </w:p>
    <w:p>
      <w:pPr>
        <w:jc w:val="both"/>
        <w:ind w:left="60" w:right="40" w:firstLine="266"/>
        <w:spacing w:after="0" w:line="253" w:lineRule="auto"/>
        <w:rPr>
          <w:sz w:val="20"/>
          <w:szCs w:val="20"/>
          <w:color w:val="auto"/>
        </w:rPr>
      </w:pPr>
      <w:r>
        <w:rPr>
          <w:rFonts w:ascii="Times New Roman" w:cs="Times New Roman" w:eastAsia="Times New Roman" w:hAnsi="Times New Roman"/>
          <w:sz w:val="15"/>
          <w:szCs w:val="15"/>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notwithstanding the information I provided in Part III of the Substitute Form W-9 (and the fact that I have completed this Certificate of Awaiting Taxpayer Identification Number), all reportable payments made to me hereafter will be subject to backup withholding tax until I provide a properly certified taxpayer identification number within 60 days of the date of this Substitute Form W-9.</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Signature: ____________________ 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259080</wp:posOffset>
            </wp:positionV>
            <wp:extent cx="715708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INSTRUCTIONS FOR LETTER OF TRANSMITTAL</w:t>
      </w:r>
    </w:p>
    <w:p>
      <w:pPr>
        <w:spacing w:after="0" w:line="192" w:lineRule="exact"/>
        <w:rPr>
          <w:sz w:val="20"/>
          <w:szCs w:val="20"/>
          <w:color w:val="auto"/>
        </w:rPr>
      </w:pPr>
    </w:p>
    <w:p>
      <w:pPr>
        <w:ind w:left="580" w:hanging="571"/>
        <w:spacing w:after="0"/>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 of Signature. </w:t>
      </w:r>
      <w:r>
        <w:rPr>
          <w:rFonts w:ascii="Times New Roman" w:cs="Times New Roman" w:eastAsia="Times New Roman" w:hAnsi="Times New Roman"/>
          <w:sz w:val="18"/>
          <w:szCs w:val="18"/>
          <w:color w:val="auto"/>
        </w:rPr>
        <w:t>Signatures on all Letters of Transmittal must be guaranteed by a financial institution that is a member of a Securities</w:t>
      </w:r>
    </w:p>
    <w:p>
      <w:pPr>
        <w:spacing w:after="0" w:line="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Transfer Association approved medallion program such as STAMP, SEMP or MSP (an “Eligible Institution”), except in cases where securities are surrendered</w:t>
      </w:r>
    </w:p>
    <w:p>
      <w:pPr>
        <w:spacing w:after="0" w:line="4" w:lineRule="exact"/>
        <w:rPr>
          <w:rFonts w:ascii="Times New Roman" w:cs="Times New Roman" w:eastAsia="Times New Roman" w:hAnsi="Times New Roman"/>
          <w:sz w:val="18"/>
          <w:szCs w:val="18"/>
          <w:color w:val="auto"/>
        </w:rPr>
      </w:pPr>
    </w:p>
    <w:p>
      <w:pPr>
        <w:ind w:right="1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by a registered holder of the securities who has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xml:space="preserve"> completed either the box entitled “Special Payment/Issuance Instructions” or the box entitled “Special Delivery Instructions” on the Letter of Transmittal or (ii) for the account of an Eligible Institution. </w:t>
      </w:r>
      <w:r>
        <w:rPr>
          <w:rFonts w:ascii="Times New Roman" w:cs="Times New Roman" w:eastAsia="Times New Roman" w:hAnsi="Times New Roman"/>
          <w:sz w:val="18"/>
          <w:szCs w:val="18"/>
          <w:b w:val="1"/>
          <w:bCs w:val="1"/>
          <w:color w:val="auto"/>
        </w:rPr>
        <w:t>See Instruction 4.</w:t>
      </w:r>
    </w:p>
    <w:p>
      <w:pPr>
        <w:spacing w:after="0" w:line="164" w:lineRule="exact"/>
        <w:rPr>
          <w:rFonts w:ascii="Times New Roman" w:cs="Times New Roman" w:eastAsia="Times New Roman" w:hAnsi="Times New Roman"/>
          <w:sz w:val="18"/>
          <w:szCs w:val="18"/>
          <w:color w:val="auto"/>
        </w:rPr>
      </w:pPr>
    </w:p>
    <w:p>
      <w:pPr>
        <w:ind w:right="180" w:firstLine="9"/>
        <w:spacing w:after="0" w:line="295" w:lineRule="auto"/>
        <w:tabs>
          <w:tab w:leader="none" w:pos="57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Delivery of Letter of Transmittal and Certificates. </w:t>
      </w:r>
      <w:r>
        <w:rPr>
          <w:rFonts w:ascii="Times New Roman" w:cs="Times New Roman" w:eastAsia="Times New Roman" w:hAnsi="Times New Roman"/>
          <w:sz w:val="17"/>
          <w:szCs w:val="17"/>
          <w:color w:val="auto"/>
        </w:rPr>
        <w:t>The Letter of Transmittal, properly completed and duly executed, together with the certificate(s)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securities described should be delivered to Continental Stock Transfer &amp; Trust Company in the envelope enclosed for your convenience.</w:t>
      </w:r>
    </w:p>
    <w:p>
      <w:pPr>
        <w:spacing w:after="0" w:line="1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b w:val="1"/>
          <w:bCs w:val="1"/>
          <w:color w:val="auto"/>
        </w:rPr>
        <w:t>THE METHOD OF DELIVERY OF CERTIFICATE(S) AND ALL OTHER REQUIRED DOCUMENTS IS AT THE ELECTION AND RISK OF THE OWNER, BUT IF SENT BY MAIL, IT IS RECOMMENDED THAT THEY BE SENT BY REGISTERED MAIL WITH RETURN RECEIPT REQUESTED. DELIVERY OF THE DOCUMENTS WILL BE EFFECTIVE, AND RISK OF LOSS AND TITLE WITH RESPECT THERETO SHALL PASS, ONLY WHEN THE MATERIALS ARE ACTUALLY RECEIVED BY THE PAYING AGENT.</w:t>
      </w:r>
    </w:p>
    <w:p>
      <w:pPr>
        <w:spacing w:after="0" w:line="162" w:lineRule="exact"/>
        <w:rPr>
          <w:sz w:val="20"/>
          <w:szCs w:val="20"/>
          <w:color w:val="auto"/>
        </w:rPr>
      </w:pPr>
    </w:p>
    <w:p>
      <w:pPr>
        <w:ind w:right="60" w:firstLine="9"/>
        <w:spacing w:after="0" w:line="265" w:lineRule="auto"/>
        <w:tabs>
          <w:tab w:leader="none" w:pos="57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Inadequate Space. </w:t>
      </w:r>
      <w:r>
        <w:rPr>
          <w:rFonts w:ascii="Times New Roman" w:cs="Times New Roman" w:eastAsia="Times New Roman" w:hAnsi="Times New Roman"/>
          <w:sz w:val="18"/>
          <w:szCs w:val="18"/>
          <w:color w:val="auto"/>
        </w:rPr>
        <w:t>If the space provided on the Letter of Transmittal is inadequate, the certificate numbers and the number of shares should be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separate schedule to be attached thereto.</w:t>
      </w:r>
    </w:p>
    <w:p>
      <w:pPr>
        <w:spacing w:after="0" w:line="141" w:lineRule="exact"/>
        <w:rPr>
          <w:rFonts w:ascii="Times New Roman" w:cs="Times New Roman" w:eastAsia="Times New Roman" w:hAnsi="Times New Roman"/>
          <w:sz w:val="18"/>
          <w:szCs w:val="18"/>
          <w:color w:val="auto"/>
        </w:rPr>
      </w:pPr>
    </w:p>
    <w:p>
      <w:pPr>
        <w:ind w:right="280" w:firstLine="9"/>
        <w:spacing w:after="0" w:line="265" w:lineRule="auto"/>
        <w:tabs>
          <w:tab w:leader="none" w:pos="57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Signatures of Letter of Transmittal, Stock Powers and Endorsements. </w:t>
      </w:r>
      <w:r>
        <w:rPr>
          <w:rFonts w:ascii="Times New Roman" w:cs="Times New Roman" w:eastAsia="Times New Roman" w:hAnsi="Times New Roman"/>
          <w:sz w:val="18"/>
          <w:szCs w:val="18"/>
          <w:color w:val="auto"/>
        </w:rPr>
        <w:t>When the Letter of Transmittal is signed by the registered owner(s)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certificate(s) listed and surrendered thereby, no endorsements of certificates or separate stock powers are required.</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certificate(s) surrendered is (are) owned of record by two or more joint owners, all such owners must sign the Letter of Transmittal.</w:t>
      </w:r>
    </w:p>
    <w:p>
      <w:pPr>
        <w:spacing w:after="0" w:line="192" w:lineRule="exact"/>
        <w:rPr>
          <w:sz w:val="20"/>
          <w:szCs w:val="20"/>
          <w:color w:val="auto"/>
        </w:rPr>
      </w:pPr>
    </w:p>
    <w:p>
      <w:pPr>
        <w:ind w:right="840" w:firstLine="426"/>
        <w:spacing w:after="0" w:line="260" w:lineRule="auto"/>
        <w:rPr>
          <w:sz w:val="20"/>
          <w:szCs w:val="20"/>
          <w:color w:val="auto"/>
        </w:rPr>
      </w:pPr>
      <w:r>
        <w:rPr>
          <w:rFonts w:ascii="Times New Roman" w:cs="Times New Roman" w:eastAsia="Times New Roman" w:hAnsi="Times New Roman"/>
          <w:sz w:val="18"/>
          <w:szCs w:val="18"/>
          <w:color w:val="auto"/>
        </w:rPr>
        <w:t>If any surrendered certificates are registered in different names, it will be necessary to complete, sign and submit as many separate Letters of Transmittal as there are different registrations of certificates.</w:t>
      </w:r>
    </w:p>
    <w:p>
      <w:pPr>
        <w:spacing w:after="0" w:line="151" w:lineRule="exact"/>
        <w:rPr>
          <w:sz w:val="20"/>
          <w:szCs w:val="20"/>
          <w:color w:val="auto"/>
        </w:rPr>
      </w:pPr>
    </w:p>
    <w:p>
      <w:pPr>
        <w:ind w:right="180" w:firstLine="426"/>
        <w:spacing w:after="0" w:line="246" w:lineRule="auto"/>
        <w:rPr>
          <w:sz w:val="20"/>
          <w:szCs w:val="20"/>
          <w:color w:val="auto"/>
        </w:rPr>
      </w:pPr>
      <w:r>
        <w:rPr>
          <w:rFonts w:ascii="Times New Roman" w:cs="Times New Roman" w:eastAsia="Times New Roman" w:hAnsi="Times New Roman"/>
          <w:sz w:val="18"/>
          <w:szCs w:val="18"/>
          <w:color w:val="auto"/>
        </w:rPr>
        <w:t xml:space="preserve">If the Letter of Transmittal is signed by a person other than the registered owner of the certificate(s) listed, such certificate(s) must be endorsed or accompanied by appropriate stock powers, in either case signed exactly as the name or names of the registered owner or owners appear on the certificate(s). Signatures on such certificates or stock powers must be guaranteed by an Eligible Institution. </w:t>
      </w:r>
      <w:r>
        <w:rPr>
          <w:rFonts w:ascii="Times New Roman" w:cs="Times New Roman" w:eastAsia="Times New Roman" w:hAnsi="Times New Roman"/>
          <w:sz w:val="18"/>
          <w:szCs w:val="18"/>
          <w:b w:val="1"/>
          <w:bCs w:val="1"/>
          <w:color w:val="auto"/>
        </w:rPr>
        <w:t>See Instruction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426"/>
        <w:spacing w:after="0" w:line="246" w:lineRule="auto"/>
        <w:rPr>
          <w:sz w:val="20"/>
          <w:szCs w:val="20"/>
          <w:color w:val="auto"/>
        </w:rPr>
      </w:pPr>
      <w:r>
        <w:rPr>
          <w:rFonts w:ascii="Times New Roman" w:cs="Times New Roman" w:eastAsia="Times New Roman" w:hAnsi="Times New Roman"/>
          <w:sz w:val="18"/>
          <w:szCs w:val="18"/>
          <w:color w:val="auto"/>
        </w:rPr>
        <w:t>If the Letter of Transmittal or any certificate or stock power is signed by trustees, executors, administrators, guardians, attorney-in-fact, officers of corporations or others, acting in a fiduciary or representative capacity, such persons should so indicate when signing and proper evidence, satisfactory to Continental Stock Transfer &amp; Trust Company, the Company’s transfer agent, of their authority to do so must be submitted.</w:t>
      </w:r>
    </w:p>
    <w:p>
      <w:pPr>
        <w:spacing w:after="0" w:line="158" w:lineRule="exact"/>
        <w:rPr>
          <w:sz w:val="20"/>
          <w:szCs w:val="20"/>
          <w:color w:val="auto"/>
        </w:rPr>
      </w:pPr>
    </w:p>
    <w:p>
      <w:pPr>
        <w:ind w:right="14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Payment and Delivery Instructions. </w:t>
      </w:r>
      <w:r>
        <w:rPr>
          <w:rFonts w:ascii="Times New Roman" w:cs="Times New Roman" w:eastAsia="Times New Roman" w:hAnsi="Times New Roman"/>
          <w:sz w:val="18"/>
          <w:szCs w:val="18"/>
          <w:color w:val="auto"/>
        </w:rPr>
        <w:t>Indicate the name and address to which payment for the securities is to be issued and/or sent if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name and address of the person(s) signing the Letter of Transmittal.</w:t>
      </w:r>
    </w:p>
    <w:p>
      <w:pPr>
        <w:spacing w:after="0" w:line="141" w:lineRule="exact"/>
        <w:rPr>
          <w:rFonts w:ascii="Times New Roman" w:cs="Times New Roman" w:eastAsia="Times New Roman" w:hAnsi="Times New Roman"/>
          <w:sz w:val="18"/>
          <w:szCs w:val="18"/>
          <w:color w:val="auto"/>
        </w:rPr>
      </w:pPr>
    </w:p>
    <w:p>
      <w:pPr>
        <w:ind w:right="180" w:firstLine="9"/>
        <w:spacing w:after="0" w:line="248"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Substitute Form W-9. </w:t>
      </w:r>
      <w:r>
        <w:rPr>
          <w:rFonts w:ascii="Times New Roman" w:cs="Times New Roman" w:eastAsia="Times New Roman" w:hAnsi="Times New Roman"/>
          <w:sz w:val="18"/>
          <w:szCs w:val="18"/>
          <w:color w:val="auto"/>
        </w:rPr>
        <w:t>Enter your social security or employer identification number, and complete, sign and date the Substitute W-9 certification.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are a foreign person, you must provide a properly completed and executed Internal Revenue Service Form W-8BEN, which you can obtain from Continental Stock Transfer &amp; Trust Company.</w:t>
      </w:r>
    </w:p>
    <w:p>
      <w:pPr>
        <w:spacing w:after="0" w:line="157" w:lineRule="exact"/>
        <w:rPr>
          <w:rFonts w:ascii="Times New Roman" w:cs="Times New Roman" w:eastAsia="Times New Roman" w:hAnsi="Times New Roman"/>
          <w:sz w:val="18"/>
          <w:szCs w:val="18"/>
          <w:color w:val="auto"/>
        </w:rPr>
      </w:pPr>
    </w:p>
    <w:p>
      <w:pPr>
        <w:ind w:right="2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Copies. </w:t>
      </w:r>
      <w:r>
        <w:rPr>
          <w:rFonts w:ascii="Times New Roman" w:cs="Times New Roman" w:eastAsia="Times New Roman" w:hAnsi="Times New Roman"/>
          <w:sz w:val="18"/>
          <w:szCs w:val="18"/>
          <w:color w:val="auto"/>
        </w:rPr>
        <w:t>Additional copies of the Letter of Transmittal may be obtained from the Reorganization Department of Continental Stock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&amp; Trust Company at the address listed below.</w:t>
      </w:r>
    </w:p>
    <w:p>
      <w:pPr>
        <w:spacing w:after="0" w:line="141" w:lineRule="exact"/>
        <w:rPr>
          <w:rFonts w:ascii="Times New Roman" w:cs="Times New Roman" w:eastAsia="Times New Roman" w:hAnsi="Times New Roman"/>
          <w:sz w:val="18"/>
          <w:szCs w:val="18"/>
          <w:color w:val="auto"/>
        </w:rPr>
      </w:pPr>
    </w:p>
    <w:p>
      <w:pPr>
        <w:ind w:right="38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Lost, Stolen or Destroyed Certificates. </w:t>
      </w:r>
      <w:r>
        <w:rPr>
          <w:rFonts w:ascii="Times New Roman" w:cs="Times New Roman" w:eastAsia="Times New Roman" w:hAnsi="Times New Roman"/>
          <w:sz w:val="18"/>
          <w:szCs w:val="18"/>
          <w:color w:val="auto"/>
        </w:rPr>
        <w:t>If any stock certificates have been lost, stolen or destroyed, please so indicate on the front of the Letter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Transmittal, and additional paperwork will be sent to you to replace the lost, stolen or destroyed certificates.</w:t>
      </w:r>
    </w:p>
    <w:p>
      <w:pPr>
        <w:spacing w:after="0" w:line="146" w:lineRule="exact"/>
        <w:rPr>
          <w:sz w:val="20"/>
          <w:szCs w:val="20"/>
          <w:color w:val="auto"/>
        </w:rPr>
      </w:pPr>
    </w:p>
    <w:p>
      <w:pPr>
        <w:ind w:right="100" w:firstLine="426"/>
        <w:spacing w:after="0" w:line="237" w:lineRule="auto"/>
        <w:rPr>
          <w:sz w:val="20"/>
          <w:szCs w:val="20"/>
          <w:color w:val="auto"/>
        </w:rPr>
      </w:pPr>
      <w:r>
        <w:rPr>
          <w:rFonts w:ascii="Times New Roman" w:cs="Times New Roman" w:eastAsia="Times New Roman" w:hAnsi="Times New Roman"/>
          <w:sz w:val="18"/>
          <w:szCs w:val="18"/>
          <w:color w:val="auto"/>
        </w:rPr>
        <w:t>All questions as to the validity, form and eligibility of any surrender of certificates will be determined by Continental Stock Transfer &amp; Trust Company and the Company, and such determination shall be final and binding. Continental Stock Transfer &amp; Trust Company and the Company reserve the right to waive any irregularities or defects in the surrender of any certificates. A surrender will not be deemed to have been made until all irregularities have been cured or waived. Neither Continental Stock Transfer &amp; Trust Company nor the Company is under any obligation to waive or to provide any notification of any irregularities or defects in the surrender of any certificates, nor shall Continental Stock Transfer &amp; Trust Company or the Company be liable for any failure to give such notification.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For Information</w:t>
      </w:r>
      <w:r>
        <w:rPr>
          <w:rFonts w:ascii="Times New Roman" w:cs="Times New Roman" w:eastAsia="Times New Roman" w:hAnsi="Times New Roman"/>
          <w:sz w:val="18"/>
          <w:szCs w:val="18"/>
          <w:color w:val="auto"/>
        </w:rPr>
        <w:t>:</w:t>
      </w:r>
    </w:p>
    <w:p>
      <w:pPr>
        <w:jc w:val="center"/>
        <w:ind w:right="-39"/>
        <w:spacing w:after="0" w:line="238" w:lineRule="auto"/>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39"/>
        <w:spacing w:after="0" w:line="187" w:lineRule="auto"/>
        <w:rPr>
          <w:sz w:val="20"/>
          <w:szCs w:val="20"/>
          <w:color w:val="auto"/>
        </w:rPr>
      </w:pPr>
      <w:r>
        <w:rPr>
          <w:rFonts w:ascii="Times New Roman" w:cs="Times New Roman" w:eastAsia="Times New Roman" w:hAnsi="Times New Roman"/>
          <w:sz w:val="15"/>
          <w:szCs w:val="15"/>
          <w:color w:val="auto"/>
        </w:rPr>
        <w:t>1 State Street –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Floor</w:t>
      </w:r>
    </w:p>
    <w:p>
      <w:pPr>
        <w:jc w:val="center"/>
        <w:ind w:right="-39"/>
        <w:spacing w:after="0" w:line="232" w:lineRule="auto"/>
        <w:rPr>
          <w:sz w:val="20"/>
          <w:szCs w:val="20"/>
          <w:color w:val="auto"/>
        </w:rPr>
      </w:pPr>
      <w:r>
        <w:rPr>
          <w:rFonts w:ascii="Times New Roman" w:cs="Times New Roman" w:eastAsia="Times New Roman" w:hAnsi="Times New Roman"/>
          <w:sz w:val="18"/>
          <w:szCs w:val="18"/>
          <w:color w:val="auto"/>
        </w:rPr>
        <w:t>New York, New York 10004</w:t>
      </w:r>
    </w:p>
    <w:p>
      <w:pPr>
        <w:jc w:val="center"/>
        <w:ind w:right="-39"/>
        <w:spacing w:after="0"/>
        <w:rPr>
          <w:sz w:val="20"/>
          <w:szCs w:val="20"/>
          <w:color w:val="auto"/>
        </w:rPr>
      </w:pPr>
      <w:r>
        <w:rPr>
          <w:rFonts w:ascii="Times New Roman" w:cs="Times New Roman" w:eastAsia="Times New Roman" w:hAnsi="Times New Roman"/>
          <w:sz w:val="18"/>
          <w:szCs w:val="18"/>
          <w:color w:val="auto"/>
        </w:rPr>
        <w:t>917-262-2378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CERIFICATE OF INCORPORATION OF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of this corporation is Nautilus Biotechnology,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94"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94"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94" w:lineRule="exact"/>
        <w:rPr>
          <w:sz w:val="20"/>
          <w:szCs w:val="20"/>
          <w:color w:val="auto"/>
        </w:rPr>
      </w:pPr>
    </w:p>
    <w:p>
      <w:pPr>
        <w:jc w:val="both"/>
        <w:ind w:right="300" w:firstLine="532"/>
        <w:spacing w:after="0" w:line="246" w:lineRule="auto"/>
        <w:rPr>
          <w:sz w:val="20"/>
          <w:szCs w:val="20"/>
          <w:color w:val="auto"/>
        </w:rPr>
      </w:pPr>
      <w:r>
        <w:rPr>
          <w:rFonts w:ascii="Times New Roman" w:cs="Times New Roman" w:eastAsia="Times New Roman" w:hAnsi="Times New Roman"/>
          <w:sz w:val="18"/>
          <w:szCs w:val="18"/>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62" w:lineRule="exact"/>
        <w:rPr>
          <w:sz w:val="20"/>
          <w:szCs w:val="20"/>
          <w:color w:val="auto"/>
        </w:rPr>
      </w:pPr>
    </w:p>
    <w:p>
      <w:pPr>
        <w:ind w:right="60" w:firstLine="532"/>
        <w:spacing w:after="0" w:line="260"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51" w:lineRule="exact"/>
        <w:rPr>
          <w:sz w:val="20"/>
          <w:szCs w:val="20"/>
          <w:color w:val="auto"/>
        </w:rPr>
      </w:pPr>
    </w:p>
    <w:p>
      <w:pPr>
        <w:ind w:right="60" w:firstLine="532"/>
        <w:spacing w:after="0" w:line="249" w:lineRule="auto"/>
        <w:rPr>
          <w:sz w:val="20"/>
          <w:szCs w:val="20"/>
          <w:color w:val="auto"/>
        </w:rPr>
      </w:pPr>
      <w:r>
        <w:rPr>
          <w:rFonts w:ascii="Times New Roman" w:cs="Times New Roman" w:eastAsia="Times New Roman" w:hAnsi="Times New Roman"/>
          <w:sz w:val="17"/>
          <w:szCs w:val="17"/>
          <w:color w:val="auto"/>
        </w:rPr>
        <w:t>Section 3. The Preferred Stock may be issued from time to time in one or more series pursuant to a resolution or resolutions providing for such issue duly adopted by the Board of Directors of the Company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69" w:name="page170"/>
    <w:bookmarkEnd w:id="169"/>
    <w:p>
      <w:pPr>
        <w:ind w:firstLine="532"/>
        <w:spacing w:after="0" w:line="23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71" w:lineRule="exact"/>
        <w:rPr>
          <w:sz w:val="20"/>
          <w:szCs w:val="20"/>
          <w:color w:val="auto"/>
        </w:rPr>
      </w:pPr>
    </w:p>
    <w:p>
      <w:pPr>
        <w:ind w:firstLine="532"/>
        <w:spacing w:after="0" w:line="239"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94" w:lineRule="exact"/>
        <w:rPr>
          <w:sz w:val="20"/>
          <w:szCs w:val="20"/>
          <w:color w:val="auto"/>
        </w:rPr>
      </w:pPr>
    </w:p>
    <w:p>
      <w:pPr>
        <w:ind w:right="60" w:firstLine="532"/>
        <w:spacing w:after="0" w:line="23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73" w:lineRule="exact"/>
        <w:rPr>
          <w:sz w:val="20"/>
          <w:szCs w:val="20"/>
          <w:color w:val="auto"/>
        </w:rPr>
      </w:pPr>
    </w:p>
    <w:p>
      <w:pPr>
        <w:ind w:right="20" w:firstLine="532"/>
        <w:spacing w:after="0" w:line="248" w:lineRule="auto"/>
        <w:rPr>
          <w:sz w:val="20"/>
          <w:szCs w:val="20"/>
          <w:color w:val="auto"/>
        </w:rPr>
      </w:pPr>
      <w:r>
        <w:rPr>
          <w:rFonts w:ascii="Times New Roman" w:cs="Times New Roman" w:eastAsia="Times New Roman" w:hAnsi="Times New Roman"/>
          <w:sz w:val="17"/>
          <w:szCs w:val="17"/>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no decrease in the number of directors constituting the Board of Directors shall shorten the term of any incumbent director.</w:t>
      </w:r>
    </w:p>
    <w:p>
      <w:pPr>
        <w:spacing w:after="0" w:line="3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96" w:lineRule="exact"/>
        <w:rPr>
          <w:sz w:val="20"/>
          <w:szCs w:val="20"/>
          <w:color w:val="auto"/>
        </w:rPr>
      </w:pPr>
    </w:p>
    <w:p>
      <w:pPr>
        <w:ind w:right="20" w:firstLine="532"/>
        <w:spacing w:after="0" w:line="241" w:lineRule="auto"/>
        <w:rPr>
          <w:sz w:val="20"/>
          <w:szCs w:val="20"/>
          <w:color w:val="auto"/>
        </w:rPr>
      </w:pPr>
      <w:r>
        <w:rPr>
          <w:rFonts w:ascii="Times New Roman" w:cs="Times New Roman" w:eastAsia="Times New Roman" w:hAnsi="Times New Roman"/>
          <w:sz w:val="18"/>
          <w:szCs w:val="18"/>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67" w:lineRule="exact"/>
        <w:rPr>
          <w:sz w:val="20"/>
          <w:szCs w:val="20"/>
          <w:color w:val="auto"/>
        </w:rPr>
      </w:pPr>
    </w:p>
    <w:p>
      <w:pPr>
        <w:ind w:firstLine="532"/>
        <w:spacing w:after="0" w:line="236"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94"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Company is to have perpetual existence.</w:t>
      </w:r>
    </w:p>
    <w:p>
      <w:pPr>
        <w:spacing w:after="0" w:line="192" w:lineRule="exact"/>
        <w:rPr>
          <w:sz w:val="20"/>
          <w:szCs w:val="20"/>
          <w:color w:val="auto"/>
        </w:rPr>
      </w:pPr>
    </w:p>
    <w:p>
      <w:pPr>
        <w:ind w:right="120" w:firstLine="532"/>
        <w:spacing w:after="0" w:line="24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62" w:lineRule="exact"/>
        <w:rPr>
          <w:sz w:val="20"/>
          <w:szCs w:val="20"/>
          <w:color w:val="auto"/>
        </w:rPr>
      </w:pPr>
    </w:p>
    <w:p>
      <w:pPr>
        <w:ind w:right="140" w:firstLine="532"/>
        <w:spacing w:after="0" w:line="236"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73"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election of directors need not be by written ballot unless the Bylaws of the Company shall so provide.</w:t>
      </w:r>
    </w:p>
    <w:p>
      <w:pPr>
        <w:spacing w:after="0" w:line="192"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No stockholder will be permitted to cumulate votes at any election of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94" w:lineRule="exact"/>
        <w:rPr>
          <w:sz w:val="20"/>
          <w:szCs w:val="20"/>
          <w:color w:val="auto"/>
        </w:rPr>
      </w:pPr>
    </w:p>
    <w:p>
      <w:pPr>
        <w:ind w:right="100" w:firstLine="532"/>
        <w:spacing w:after="0" w:line="246" w:lineRule="auto"/>
        <w:rPr>
          <w:sz w:val="20"/>
          <w:szCs w:val="20"/>
          <w:color w:val="auto"/>
        </w:rPr>
      </w:pPr>
      <w:r>
        <w:rPr>
          <w:rFonts w:ascii="Times New Roman" w:cs="Times New Roman" w:eastAsia="Times New Roman" w:hAnsi="Times New Roman"/>
          <w:sz w:val="18"/>
          <w:szCs w:val="18"/>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3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1" w:name="page172"/>
    <w:bookmarkEnd w:id="171"/>
    <w:p>
      <w:pPr>
        <w:ind w:right="120" w:firstLine="532"/>
        <w:spacing w:after="0" w:line="238"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71" w:lineRule="exact"/>
        <w:rPr>
          <w:sz w:val="20"/>
          <w:szCs w:val="20"/>
          <w:color w:val="auto"/>
        </w:rPr>
      </w:pPr>
    </w:p>
    <w:p>
      <w:pPr>
        <w:ind w:right="420" w:firstLine="532"/>
        <w:spacing w:after="0" w:line="260"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94" w:lineRule="exact"/>
        <w:rPr>
          <w:sz w:val="20"/>
          <w:szCs w:val="20"/>
          <w:color w:val="auto"/>
        </w:rPr>
      </w:pPr>
    </w:p>
    <w:p>
      <w:pPr>
        <w:ind w:right="60" w:firstLine="532"/>
        <w:spacing w:after="0" w:line="24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7" w:lineRule="exact"/>
        <w:rPr>
          <w:sz w:val="20"/>
          <w:szCs w:val="20"/>
          <w:color w:val="auto"/>
        </w:rPr>
      </w:pPr>
    </w:p>
    <w:p>
      <w:pPr>
        <w:ind w:firstLine="532"/>
        <w:spacing w:after="0" w:line="236"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69" w:lineRule="exact"/>
        <w:rPr>
          <w:sz w:val="20"/>
          <w:szCs w:val="20"/>
          <w:color w:val="auto"/>
        </w:rPr>
      </w:pPr>
    </w:p>
    <w:p>
      <w:pPr>
        <w:ind w:right="400" w:firstLine="532"/>
        <w:spacing w:after="0" w:line="239" w:lineRule="auto"/>
        <w:rPr>
          <w:sz w:val="20"/>
          <w:szCs w:val="20"/>
          <w:color w:val="auto"/>
        </w:rPr>
      </w:pPr>
      <w:r>
        <w:rPr>
          <w:rFonts w:ascii="Times New Roman" w:cs="Times New Roman" w:eastAsia="Times New Roman" w:hAnsi="Times New Roman"/>
          <w:sz w:val="18"/>
          <w:szCs w:val="18"/>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7" w:lineRule="exact"/>
        <w:rPr>
          <w:sz w:val="20"/>
          <w:szCs w:val="20"/>
          <w:color w:val="auto"/>
        </w:rPr>
      </w:pPr>
    </w:p>
    <w:p>
      <w:pPr>
        <w:ind w:right="300" w:firstLine="532"/>
        <w:spacing w:after="0" w:line="241" w:lineRule="auto"/>
        <w:rPr>
          <w:sz w:val="20"/>
          <w:szCs w:val="20"/>
          <w:color w:val="auto"/>
        </w:rPr>
      </w:pPr>
      <w:r>
        <w:rPr>
          <w:rFonts w:ascii="Times New Roman" w:cs="Times New Roman" w:eastAsia="Times New Roman" w:hAnsi="Times New Roman"/>
          <w:sz w:val="18"/>
          <w:szCs w:val="18"/>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3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96"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7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The Company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and mailing address of the incorporator are as follows: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INSERT NAME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INSERT MAILING ADDRESS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certificate of incorporation shall be effective at __:__ _.m. Eastern Time on ___________ __, 2021.</w:t>
      </w:r>
    </w:p>
    <w:p>
      <w:pPr>
        <w:spacing w:after="0" w:line="3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I, the undersigned, as the sole incorporator of the Company, have signed this Certificate of Incorporation on this ____ day of _________ 2021.</w:t>
      </w:r>
    </w:p>
    <w:p>
      <w:pPr>
        <w:sectPr>
          <w:pgSz w:w="11900" w:h="16838" w:orient="portrait"/>
          <w:cols w:equalWidth="0" w:num="1">
            <w:col w:w="10140"/>
          </w:cols>
          <w:pgMar w:left="840" w:top="461" w:right="9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000"/>
        <w:spacing w:after="0"/>
        <w:tabs>
          <w:tab w:leader="none" w:pos="3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_______________________</w:t>
      </w:r>
    </w:p>
    <w:p>
      <w:pPr>
        <w:spacing w:after="0" w:line="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Name:</w:t>
      </w:r>
    </w:p>
    <w:p>
      <w:pPr>
        <w:ind w:left="352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29210</wp:posOffset>
            </wp:positionV>
            <wp:extent cx="7157085"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840" w:top="461" w:right="919"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5"/>
          <w:szCs w:val="15"/>
          <w:b w:val="1"/>
          <w:bCs w:val="1"/>
          <w:color w:val="auto"/>
        </w:rPr>
        <w:t>BYLAWS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(initially adopted on [bylaw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231140</wp:posOffset>
            </wp:positionV>
            <wp:extent cx="7157085"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94"/>
        </w:trPr>
        <w:tc>
          <w:tcPr>
            <w:tcW w:w="1640" w:type="dxa"/>
            <w:vAlign w:val="bottom"/>
          </w:tcPr>
          <w:p>
            <w:pPr>
              <w:spacing w:after="0"/>
              <w:rPr>
                <w:sz w:val="16"/>
                <w:szCs w:val="16"/>
                <w:color w:val="auto"/>
              </w:rPr>
            </w:pPr>
          </w:p>
        </w:tc>
        <w:tc>
          <w:tcPr>
            <w:tcW w:w="7160" w:type="dxa"/>
            <w:vAlign w:val="bottom"/>
          </w:tcPr>
          <w:p>
            <w:pPr>
              <w:ind w:left="32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50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5"/>
                <w:szCs w:val="15"/>
                <w:b w:val="1"/>
                <w:bCs w:val="1"/>
                <w:i w:val="1"/>
                <w:iCs w:val="1"/>
                <w:color w:val="auto"/>
                <w:w w:val="97"/>
              </w:rPr>
              <w:t>Page</w:t>
            </w:r>
          </w:p>
        </w:tc>
        <w:tc>
          <w:tcPr>
            <w:tcW w:w="0" w:type="dxa"/>
            <w:vAlign w:val="bottom"/>
          </w:tcPr>
          <w:p>
            <w:pPr>
              <w:spacing w:after="0"/>
              <w:rPr>
                <w:sz w:val="1"/>
                <w:szCs w:val="1"/>
                <w:color w:val="auto"/>
              </w:rPr>
            </w:pPr>
          </w:p>
        </w:tc>
      </w:tr>
      <w:tr>
        <w:trPr>
          <w:trHeight w:val="177"/>
        </w:trPr>
        <w:tc>
          <w:tcPr>
            <w:tcW w:w="164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800" w:type="dxa"/>
            <w:vAlign w:val="bottom"/>
            <w:gridSpan w:val="2"/>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 - CORPORATE OFFICES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REGISTERED OFFICE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1.2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OTHER OFFICES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 - MEETINGS OF STOCKHOLDERS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PLACE OF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ANNUAL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SPECIAL MEETING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2.4</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ADVANCE NOTICE PROCEDURES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2.5</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NOTICE OF STOCKHOLDERS’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2.6</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QUORUM</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2.7</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ADJOURNED MEETING; NOTICE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2.8</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CONDUCT OF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2.9</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VOTING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2.10</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STOCKHOLDER ACTION BY WRITTEN CONSENT WITHOUT A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RECORD DATES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PROXIES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LIST OF STOCKHOLDERS ENTITLED TO VOTE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2.14</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INSPECTORS OF ELECTION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III -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POWERS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NUMBER OF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3.3</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ELECTION, QUALIFICATION AND TERM OF OFFICE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3.4</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RESIGNATION AND VACANCIES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3.5</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PLACE OF MEETINGS; MEETINGS BY TELEPHONE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3.6</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REGULAR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3.7</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SPECIAL MEETINGS;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3.8</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QUORUM; VOTING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3.9</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BOARD ACTION BY WRITTEN CONSENT WITHOUT A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3.10</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FEES AND COMPENSATION OF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3.11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REMOVAL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IV - COMMITTEES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4.1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COMMITTEES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4.2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COMMITTEE MINUTES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4.3</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MEETINGS AND ACTION OF COMMITTEES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4.4</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SUBCOMMITTEES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ARTICLE V - OFFICERS</w:t>
            </w:r>
          </w:p>
        </w:tc>
        <w:tc>
          <w:tcPr>
            <w:tcW w:w="716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OFFICERS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APPOINTMENT OF OFFICERS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SUBORDINATE OFFICERS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Page</w:t>
            </w:r>
          </w:p>
        </w:tc>
      </w:tr>
      <w:tr>
        <w:trPr>
          <w:trHeight w:val="160"/>
        </w:trPr>
        <w:tc>
          <w:tcPr>
            <w:tcW w:w="15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REMOVAL AND RESIGNATION OF OFFICERS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VACANCIES IN OFFICES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REPRESENTATION OF SECURITIES OF OTHER ENTITIES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AUTHORITY AND DUTIES OF OFFICERS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 - STOCK</w:t>
            </w:r>
          </w:p>
        </w:tc>
        <w:tc>
          <w:tcPr>
            <w:tcW w:w="8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CERTIFICATES; PARTLY PAID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SPECIAL DESIGNATION ON CERTIFICATES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6.3</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LOST CERTIFICATES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TRANSFER OF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TRANSFER AGREEMENTS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REGISTERED STOCKHOLDERS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6.8</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LOCK-UP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77"/>
        </w:trPr>
        <w:tc>
          <w:tcPr>
            <w:tcW w:w="9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 MANNER OF GIVING NOTICE AND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7.1</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OF STOCKHOLDERS’ MEETINGS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7.2</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NOTICE TO STOCKHOLDERS SHARING AN ADDRESS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7.3</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TO PERSON WITH WHOM COMMUNICATION IS UNLAWFUL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7.4</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WAIVER OF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VIII - INDEMNIFICATION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INDEMNIFICATION OF DIRECTORS AND OFFICERS IN THIRD PARTY PROCEEDINGS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INDEMNIFICATION OF DIRECTORS AND OFFICERS IN ACTIONS BY OR IN THE RIGHT OF THE COMPANY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8.3</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SUCCESSFUL DEFENSE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INDEMNIFICATION OF OTHERS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ADVANCED PAYMENT OF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LIMITATION ON INDEMNIFICATION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DETERMINATION; CLAIM</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8.8</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NON-EXCLUSIVITY OF RIGHTS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8.9</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INSURANCE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8.10</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SURVIVAL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8.11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EFFECT OF REPEAL OR MODIFICATION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8.12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CERTAIN DEFINITIONS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9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 GENERAL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9.1</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EXECUTION OF CORPORATE CONTRACTS AND INSTRUMENTS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9.2</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FISCAL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9.3</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9.4</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CONSTRUCTION; DEFINITIONS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9.5</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FORUM SELECTION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ARTICLE X - AMENDMENTS</w:t>
            </w:r>
          </w:p>
        </w:tc>
        <w:tc>
          <w:tcPr>
            <w:tcW w:w="4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5"/>
          <w:szCs w:val="15"/>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126365</wp:posOffset>
            </wp:positionV>
            <wp:extent cx="143700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37005" cy="1397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 - CORPORATE OFFICES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4"/>
          <w:szCs w:val="14"/>
          <w:color w:val="auto"/>
        </w:rPr>
        <w:t>REGISTERED OFFICE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registered office of Nautilus Biotechnology,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be fixed in the Company’s certificate of incorporation, as the same may be amended from time to time.</w:t>
      </w:r>
    </w:p>
    <w:p>
      <w:pPr>
        <w:spacing w:after="0" w:line="19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4"/>
          <w:szCs w:val="14"/>
          <w:color w:val="auto"/>
        </w:rPr>
        <w:t>OTHER OFFICES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may at any time establish other offices.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 - MEETINGS OF STOCKHOLDERS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color w:val="auto"/>
        </w:rPr>
        <w:t>PLACE OF MEETINGS</w:t>
      </w:r>
    </w:p>
    <w:p>
      <w:pPr>
        <w:spacing w:after="0" w:line="180"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In the absence of any such designation or determination, stockholders’ meetings shall be held at the Company’s principal executive office.</w:t>
      </w:r>
    </w:p>
    <w:p>
      <w:pPr>
        <w:spacing w:after="0" w:line="15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color w:val="auto"/>
        </w:rPr>
        <w:t>ANNUAL MEETING</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5"/>
          <w:szCs w:val="15"/>
          <w:b w:val="1"/>
          <w:bCs w:val="1"/>
          <w:color w:val="auto"/>
        </w:rPr>
        <w:t>Whole Board</w:t>
      </w:r>
      <w:r>
        <w:rPr>
          <w:rFonts w:ascii="Times New Roman" w:cs="Times New Roman" w:eastAsia="Times New Roman" w:hAnsi="Times New Roman"/>
          <w:sz w:val="15"/>
          <w:szCs w:val="15"/>
          <w:color w:val="auto"/>
        </w:rPr>
        <w:t>” shall mean the total number of authorized directorships whether or not there exist any vacancies or other unfilled seats in previously authorized directorships.</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color w:val="auto"/>
        </w:rPr>
        <w:t>SPECIAL MEETING</w:t>
      </w:r>
    </w:p>
    <w:p>
      <w:pPr>
        <w:spacing w:after="0" w:line="182" w:lineRule="exact"/>
        <w:rPr>
          <w:sz w:val="20"/>
          <w:szCs w:val="20"/>
          <w:color w:val="auto"/>
        </w:rPr>
      </w:pPr>
    </w:p>
    <w:p>
      <w:pPr>
        <w:jc w:val="both"/>
        <w:ind w:firstLine="1074"/>
        <w:spacing w:after="0" w:line="253" w:lineRule="auto"/>
        <w:tabs>
          <w:tab w:leader="none" w:pos="1681"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9" w:name="page180"/>
    <w:bookmarkEnd w:id="179"/>
    <w:p>
      <w:pPr>
        <w:jc w:val="both"/>
        <w:ind w:firstLine="1074"/>
        <w:spacing w:after="0" w:line="255" w:lineRule="auto"/>
        <w:tabs>
          <w:tab w:leader="none" w:pos="1801"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4"/>
          <w:szCs w:val="14"/>
          <w:color w:val="auto"/>
        </w:rPr>
        <w:t>ADVANCE NOTICE PROCEDURES</w:t>
      </w:r>
    </w:p>
    <w:p>
      <w:pPr>
        <w:spacing w:after="0" w:line="180" w:lineRule="exact"/>
        <w:rPr>
          <w:sz w:val="20"/>
          <w:szCs w:val="20"/>
          <w:color w:val="auto"/>
        </w:rPr>
      </w:pPr>
    </w:p>
    <w:p>
      <w:pPr>
        <w:ind w:left="1600" w:hanging="526"/>
        <w:spacing w:after="0"/>
        <w:tabs>
          <w:tab w:leader="none" w:pos="160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Annual Meetings of Stockholders.</w:t>
      </w:r>
    </w:p>
    <w:p>
      <w:pPr>
        <w:spacing w:after="0" w:line="184" w:lineRule="exact"/>
        <w:rPr>
          <w:rFonts w:ascii="Times New Roman" w:cs="Times New Roman" w:eastAsia="Times New Roman" w:hAnsi="Times New Roman"/>
          <w:sz w:val="15"/>
          <w:szCs w:val="15"/>
          <w:color w:val="auto"/>
        </w:rPr>
      </w:pPr>
    </w:p>
    <w:p>
      <w:pPr>
        <w:jc w:val="both"/>
        <w:ind w:firstLine="1606"/>
        <w:spacing w:after="0" w:line="252" w:lineRule="auto"/>
        <w:tabs>
          <w:tab w:leader="none" w:pos="2145"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55" w:lineRule="exact"/>
        <w:rPr>
          <w:rFonts w:ascii="Times New Roman" w:cs="Times New Roman" w:eastAsia="Times New Roman" w:hAnsi="Times New Roman"/>
          <w:sz w:val="15"/>
          <w:szCs w:val="15"/>
          <w:color w:val="auto"/>
        </w:rPr>
      </w:pPr>
    </w:p>
    <w:p>
      <w:pPr>
        <w:jc w:val="both"/>
        <w:ind w:firstLine="1606"/>
        <w:spacing w:after="0" w:line="268" w:lineRule="auto"/>
        <w:tabs>
          <w:tab w:leader="none" w:pos="2390"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 w:cs="Times New Roman" w:eastAsia="Times New Roman" w:hAnsi="Times New Roman"/>
          <w:sz w:val="14"/>
          <w:szCs w:val="14"/>
          <w:b w:val="1"/>
          <w:bCs w:val="1"/>
          <w:color w:val="auto"/>
        </w:rPr>
        <w:t>Public announcement</w:t>
      </w:r>
      <w:r>
        <w:rPr>
          <w:rFonts w:ascii="Times New Roman" w:cs="Times New Roman" w:eastAsia="Times New Roman" w:hAnsi="Times New Roman"/>
          <w:sz w:val="14"/>
          <w:szCs w:val="14"/>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Times New Roman" w:cs="Times New Roman" w:eastAsia="Times New Roman" w:hAnsi="Times New Roman"/>
          <w:sz w:val="14"/>
          <w:szCs w:val="14"/>
          <w:b w:val="1"/>
          <w:bCs w:val="1"/>
          <w:color w:val="auto"/>
        </w:rPr>
        <w:t>1934 Act</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0" w:name="page181"/>
    <w:bookmarkEnd w:id="180"/>
    <w:p>
      <w:pPr>
        <w:ind w:left="2180" w:hanging="574"/>
        <w:spacing w:after="0"/>
        <w:tabs>
          <w:tab w:leader="none" w:pos="218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stockholder’s notice to the secretary must set forth:</w:t>
      </w:r>
    </w:p>
    <w:p>
      <w:pPr>
        <w:spacing w:after="0" w:line="182"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person whom the stockholder proposes to nominate for election as a director:</w:t>
      </w:r>
    </w:p>
    <w:p>
      <w:pPr>
        <w:spacing w:after="0" w:line="182" w:lineRule="exact"/>
        <w:rPr>
          <w:rFonts w:ascii="Times New Roman" w:cs="Times New Roman" w:eastAsia="Times New Roman" w:hAnsi="Times New Roman"/>
          <w:sz w:val="15"/>
          <w:szCs w:val="15"/>
          <w:color w:val="auto"/>
        </w:rPr>
      </w:pPr>
    </w:p>
    <w:p>
      <w:pPr>
        <w:jc w:val="both"/>
        <w:ind w:firstLine="2671"/>
        <w:spacing w:after="0" w:line="253" w:lineRule="auto"/>
        <w:tabs>
          <w:tab w:leader="none" w:pos="3141"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55"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written consent to being named in such stockholder’s proxy statement as a nominee of such stockholder and to serving as</w:t>
      </w:r>
    </w:p>
    <w:p>
      <w:pPr>
        <w:spacing w:after="0" w:line="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a director of the Company if elected;</w:t>
      </w:r>
    </w:p>
    <w:p>
      <w:pPr>
        <w:spacing w:after="0" w:line="168" w:lineRule="exact"/>
        <w:rPr>
          <w:rFonts w:ascii="Times New Roman" w:cs="Times New Roman" w:eastAsia="Times New Roman" w:hAnsi="Times New Roman"/>
          <w:sz w:val="14"/>
          <w:szCs w:val="14"/>
          <w:color w:val="auto"/>
        </w:rPr>
      </w:pPr>
    </w:p>
    <w:p>
      <w:pPr>
        <w:jc w:val="both"/>
        <w:ind w:firstLine="2671"/>
        <w:spacing w:after="0" w:line="260" w:lineRule="auto"/>
        <w:tabs>
          <w:tab w:leader="none" w:pos="3415"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 w:cs="Times New Roman" w:eastAsia="Times New Roman" w:hAnsi="Times New Roman"/>
          <w:sz w:val="15"/>
          <w:szCs w:val="15"/>
          <w:b w:val="1"/>
          <w:bCs w:val="1"/>
          <w:color w:val="auto"/>
        </w:rPr>
        <w:t>Third-Party Compensation Arrangement</w:t>
      </w:r>
      <w:r>
        <w:rPr>
          <w:rFonts w:ascii="Times New Roman" w:cs="Times New Roman" w:eastAsia="Times New Roman" w:hAnsi="Times New Roman"/>
          <w:sz w:val="15"/>
          <w:szCs w:val="15"/>
          <w:color w:val="auto"/>
        </w:rPr>
        <w:t>”); and</w:t>
      </w:r>
    </w:p>
    <w:p>
      <w:pPr>
        <w:spacing w:after="0" w:line="149"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42"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49"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any other business that the stockholder proposes to bring before the annual meeting:</w:t>
      </w:r>
    </w:p>
    <w:p>
      <w:pPr>
        <w:spacing w:after="0" w:line="182"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description of the business desired to be brought before the annual meeting;</w:t>
      </w:r>
    </w:p>
    <w:p>
      <w:pPr>
        <w:spacing w:after="0" w:line="182" w:lineRule="exact"/>
        <w:rPr>
          <w:rFonts w:ascii="Times New Roman" w:cs="Times New Roman" w:eastAsia="Times New Roman" w:hAnsi="Times New Roman"/>
          <w:sz w:val="15"/>
          <w:szCs w:val="15"/>
          <w:color w:val="auto"/>
        </w:rPr>
      </w:pPr>
    </w:p>
    <w:p>
      <w:pPr>
        <w:ind w:left="3280" w:hanging="609"/>
        <w:spacing w:after="0"/>
        <w:tabs>
          <w:tab w:leader="none" w:pos="328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text of the proposal or business (including the text of any resolutions proposed for consideration and, if applicable, the text of any</w:t>
      </w:r>
    </w:p>
    <w:p>
      <w:pPr>
        <w:spacing w:after="0" w:line="1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amendment to these bylaws);</w:t>
      </w:r>
    </w:p>
    <w:p>
      <w:pPr>
        <w:spacing w:after="0" w:line="168"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reasons for conducting such business at the annual meeting;</w:t>
      </w:r>
    </w:p>
    <w:p>
      <w:pPr>
        <w:spacing w:after="0" w:line="182" w:lineRule="exact"/>
        <w:rPr>
          <w:rFonts w:ascii="Times New Roman" w:cs="Times New Roman" w:eastAsia="Times New Roman" w:hAnsi="Times New Roman"/>
          <w:sz w:val="15"/>
          <w:szCs w:val="15"/>
          <w:color w:val="auto"/>
        </w:rPr>
      </w:pPr>
    </w:p>
    <w:p>
      <w:pPr>
        <w:ind w:firstLine="2671"/>
        <w:spacing w:after="0" w:line="273" w:lineRule="auto"/>
        <w:tabs>
          <w:tab w:leader="none" w:pos="338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1" w:name="page182"/>
    <w:bookmarkEnd w:id="181"/>
    <w:p>
      <w:pPr>
        <w:jc w:val="both"/>
        <w:ind w:firstLine="2671"/>
        <w:spacing w:after="0" w:line="260" w:lineRule="auto"/>
        <w:tabs>
          <w:tab w:leader="none" w:pos="3248"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49"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the stockholder giving the notice and the beneficial owner, if any, on whose behalf the nomination or proposal is made:</w:t>
      </w:r>
    </w:p>
    <w:p>
      <w:pPr>
        <w:spacing w:after="0" w:line="182" w:lineRule="exact"/>
        <w:rPr>
          <w:rFonts w:ascii="Times New Roman" w:cs="Times New Roman" w:eastAsia="Times New Roman" w:hAnsi="Times New Roman"/>
          <w:sz w:val="15"/>
          <w:szCs w:val="15"/>
          <w:color w:val="auto"/>
        </w:rPr>
      </w:pPr>
    </w:p>
    <w:p>
      <w:pPr>
        <w:ind w:firstLine="2671"/>
        <w:spacing w:after="0" w:line="273" w:lineRule="auto"/>
        <w:tabs>
          <w:tab w:leader="none" w:pos="3302"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such stockholder (as they appear on the Company’s books), of such beneficial owner and of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ind w:firstLine="2671"/>
        <w:spacing w:after="0" w:line="273" w:lineRule="auto"/>
        <w:tabs>
          <w:tab w:leader="none" w:pos="3265"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53"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49" w:lineRule="exact"/>
        <w:rPr>
          <w:rFonts w:ascii="Times New Roman" w:cs="Times New Roman" w:eastAsia="Times New Roman" w:hAnsi="Times New Roman"/>
          <w:sz w:val="15"/>
          <w:szCs w:val="15"/>
          <w:color w:val="auto"/>
        </w:rPr>
      </w:pPr>
    </w:p>
    <w:p>
      <w:pPr>
        <w:jc w:val="both"/>
        <w:ind w:firstLine="2671"/>
        <w:spacing w:after="0" w:line="252" w:lineRule="auto"/>
        <w:tabs>
          <w:tab w:leader="none" w:pos="3281"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5"/>
          <w:szCs w:val="15"/>
          <w:b w:val="1"/>
          <w:bCs w:val="1"/>
          <w:color w:val="auto"/>
        </w:rPr>
        <w:t>Derivative Instrument</w:t>
      </w:r>
      <w:r>
        <w:rPr>
          <w:rFonts w:ascii="Times New Roman" w:cs="Times New Roman" w:eastAsia="Times New Roman" w:hAnsi="Times New Roman"/>
          <w:sz w:val="15"/>
          <w:szCs w:val="15"/>
          <w:color w:val="auto"/>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55" w:lineRule="exact"/>
        <w:rPr>
          <w:rFonts w:ascii="Times New Roman" w:cs="Times New Roman" w:eastAsia="Times New Roman" w:hAnsi="Times New Roman"/>
          <w:sz w:val="15"/>
          <w:szCs w:val="15"/>
          <w:color w:val="auto"/>
        </w:rPr>
      </w:pPr>
    </w:p>
    <w:p>
      <w:pPr>
        <w:ind w:firstLine="2671"/>
        <w:spacing w:after="0" w:line="273" w:lineRule="auto"/>
        <w:tabs>
          <w:tab w:leader="none" w:pos="3268"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327"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49"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37"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2" w:name="page183"/>
    <w:bookmarkEnd w:id="182"/>
    <w:p>
      <w:pPr>
        <w:ind w:right="20" w:firstLine="2671"/>
        <w:spacing w:after="0" w:line="273" w:lineRule="auto"/>
        <w:tabs>
          <w:tab w:leader="none" w:pos="3337"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68"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49"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and undertaking that the stockholder is a holder of record of stock of the Company as of the date of submission of the</w:t>
      </w:r>
    </w:p>
    <w:p>
      <w:pPr>
        <w:spacing w:after="0" w:line="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stockholder’s notice and intends to appear in person or by proxy at the meeting to bring such nomination or other business before the meeting;</w:t>
      </w:r>
    </w:p>
    <w:p>
      <w:pPr>
        <w:spacing w:after="0" w:line="168" w:lineRule="exact"/>
        <w:rPr>
          <w:rFonts w:ascii="Times New Roman" w:cs="Times New Roman" w:eastAsia="Times New Roman" w:hAnsi="Times New Roman"/>
          <w:sz w:val="14"/>
          <w:szCs w:val="14"/>
          <w:color w:val="auto"/>
        </w:rPr>
      </w:pPr>
    </w:p>
    <w:p>
      <w:pPr>
        <w:ind w:left="3380" w:hanging="709"/>
        <w:spacing w:after="0"/>
        <w:tabs>
          <w:tab w:leader="none" w:pos="3380"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and undertaking that such stockholder or any such beneficial owner intends, or is part of a group that intends, to</w:t>
      </w:r>
    </w:p>
    <w:p>
      <w:pPr>
        <w:spacing w:after="0" w:line="19" w:lineRule="exact"/>
        <w:rPr>
          <w:rFonts w:ascii="Times New Roman" w:cs="Times New Roman" w:eastAsia="Times New Roman" w:hAnsi="Times New Roman"/>
          <w:sz w:val="15"/>
          <w:szCs w:val="15"/>
          <w:color w:val="auto"/>
        </w:rPr>
      </w:pPr>
    </w:p>
    <w:p>
      <w:pPr>
        <w:ind w:firstLine="9"/>
        <w:spacing w:after="0" w:line="253" w:lineRule="auto"/>
        <w:tabs>
          <w:tab w:leader="none" w:pos="212"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54"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64"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49" w:lineRule="exact"/>
        <w:rPr>
          <w:rFonts w:ascii="Times New Roman" w:cs="Times New Roman" w:eastAsia="Times New Roman" w:hAnsi="Times New Roman"/>
          <w:sz w:val="15"/>
          <w:szCs w:val="15"/>
          <w:color w:val="auto"/>
        </w:rPr>
      </w:pPr>
    </w:p>
    <w:p>
      <w:pPr>
        <w:ind w:firstLine="2671"/>
        <w:spacing w:after="0" w:line="273" w:lineRule="auto"/>
        <w:tabs>
          <w:tab w:leader="none" w:pos="3323"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information relating to any proposed item of business as the Company may reasonably require to determine whether such proposed item of business is a proper matter for stockholder action.</w:t>
      </w:r>
    </w:p>
    <w:p>
      <w:pPr>
        <w:spacing w:after="0" w:line="140" w:lineRule="exact"/>
        <w:rPr>
          <w:rFonts w:ascii="Times New Roman" w:cs="Times New Roman" w:eastAsia="Times New Roman" w:hAnsi="Times New Roman"/>
          <w:sz w:val="15"/>
          <w:szCs w:val="15"/>
          <w:color w:val="auto"/>
        </w:rPr>
      </w:pPr>
    </w:p>
    <w:p>
      <w:pPr>
        <w:jc w:val="both"/>
        <w:ind w:firstLine="1606"/>
        <w:spacing w:after="0" w:line="249" w:lineRule="auto"/>
        <w:tabs>
          <w:tab w:leader="none" w:pos="2215"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3" w:name="page184"/>
    <w:bookmarkEnd w:id="183"/>
    <w:p>
      <w:pPr>
        <w:jc w:val="both"/>
        <w:ind w:firstLine="1074"/>
        <w:spacing w:after="0" w:line="249" w:lineRule="auto"/>
        <w:tabs>
          <w:tab w:leader="none" w:pos="1607"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Special Meetings of Stockholders</w:t>
      </w:r>
      <w:r>
        <w:rPr>
          <w:rFonts w:ascii="Times New Roman" w:cs="Times New Roman" w:eastAsia="Times New Roman" w:hAnsi="Times New Roman"/>
          <w:sz w:val="15"/>
          <w:szCs w:val="15"/>
          <w:color w:val="auto"/>
        </w:rPr>
        <w:t>. Except to the extent required by the DGCL, and subject to Section 2.3(a), special meetings of stockholders may be called only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61"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Requirements.</w:t>
      </w:r>
    </w:p>
    <w:p>
      <w:pPr>
        <w:spacing w:after="0" w:line="184" w:lineRule="exact"/>
        <w:rPr>
          <w:rFonts w:ascii="Times New Roman" w:cs="Times New Roman" w:eastAsia="Times New Roman" w:hAnsi="Times New Roman"/>
          <w:sz w:val="15"/>
          <w:szCs w:val="15"/>
          <w:color w:val="auto"/>
        </w:rPr>
      </w:pPr>
    </w:p>
    <w:p>
      <w:pPr>
        <w:ind w:firstLine="1606"/>
        <w:spacing w:after="0" w:line="273" w:lineRule="auto"/>
        <w:tabs>
          <w:tab w:leader="none" w:pos="2192"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140" w:lineRule="exact"/>
        <w:rPr>
          <w:rFonts w:ascii="Times New Roman" w:cs="Times New Roman" w:eastAsia="Times New Roman" w:hAnsi="Times New Roman"/>
          <w:sz w:val="15"/>
          <w:szCs w:val="15"/>
          <w:color w:val="auto"/>
        </w:rPr>
      </w:pPr>
    </w:p>
    <w:p>
      <w:pPr>
        <w:jc w:val="both"/>
        <w:ind w:firstLine="2139"/>
        <w:spacing w:after="0" w:line="287" w:lineRule="auto"/>
        <w:tabs>
          <w:tab w:leader="none" w:pos="2678" w:val="left"/>
        </w:tabs>
        <w:numPr>
          <w:ilvl w:val="2"/>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32" w:lineRule="exact"/>
        <w:rPr>
          <w:rFonts w:ascii="Times New Roman" w:cs="Times New Roman" w:eastAsia="Times New Roman" w:hAnsi="Times New Roman"/>
          <w:sz w:val="14"/>
          <w:szCs w:val="14"/>
          <w:color w:val="auto"/>
        </w:rPr>
      </w:pPr>
    </w:p>
    <w:p>
      <w:pPr>
        <w:ind w:firstLine="2139"/>
        <w:spacing w:after="0" w:line="273" w:lineRule="auto"/>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40" w:lineRule="exact"/>
        <w:rPr>
          <w:rFonts w:ascii="Times New Roman" w:cs="Times New Roman" w:eastAsia="Times New Roman" w:hAnsi="Times New Roman"/>
          <w:sz w:val="15"/>
          <w:szCs w:val="15"/>
          <w:color w:val="auto"/>
        </w:rPr>
      </w:pPr>
    </w:p>
    <w:p>
      <w:pPr>
        <w:ind w:firstLine="2139"/>
        <w:spacing w:after="0" w:line="273" w:lineRule="auto"/>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unless previously disclosed to the Company, such nominee is not, and will not become, a party to any Third-Party Compensation Arrangement;</w:t>
      </w:r>
    </w:p>
    <w:p>
      <w:pPr>
        <w:spacing w:after="0" w:line="140" w:lineRule="exact"/>
        <w:rPr>
          <w:rFonts w:ascii="Times New Roman" w:cs="Times New Roman" w:eastAsia="Times New Roman" w:hAnsi="Times New Roman"/>
          <w:sz w:val="15"/>
          <w:szCs w:val="15"/>
          <w:color w:val="auto"/>
        </w:rPr>
      </w:pPr>
    </w:p>
    <w:p>
      <w:pPr>
        <w:ind w:firstLine="2139"/>
        <w:spacing w:after="0" w:line="273" w:lineRule="auto"/>
        <w:tabs>
          <w:tab w:leader="none" w:pos="2724"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40"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such nominee, if elected, intends to serve a full term on the Board of Directors.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4" w:name="page185"/>
    <w:bookmarkEnd w:id="184"/>
    <w:p>
      <w:pPr>
        <w:ind w:firstLine="1606"/>
        <w:spacing w:after="0" w:line="273" w:lineRule="auto"/>
        <w:tabs>
          <w:tab w:leader="none" w:pos="226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40" w:lineRule="exact"/>
        <w:rPr>
          <w:rFonts w:ascii="Times New Roman" w:cs="Times New Roman" w:eastAsia="Times New Roman" w:hAnsi="Times New Roman"/>
          <w:sz w:val="15"/>
          <w:szCs w:val="15"/>
          <w:color w:val="auto"/>
        </w:rPr>
      </w:pPr>
    </w:p>
    <w:p>
      <w:pPr>
        <w:ind w:firstLine="1606"/>
        <w:spacing w:after="0" w:line="273" w:lineRule="auto"/>
        <w:tabs>
          <w:tab w:leader="none" w:pos="233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40" w:lineRule="exact"/>
        <w:rPr>
          <w:rFonts w:ascii="Times New Roman" w:cs="Times New Roman" w:eastAsia="Times New Roman" w:hAnsi="Times New Roman"/>
          <w:sz w:val="15"/>
          <w:szCs w:val="15"/>
          <w:color w:val="auto"/>
        </w:rPr>
      </w:pPr>
    </w:p>
    <w:p>
      <w:pPr>
        <w:jc w:val="both"/>
        <w:ind w:firstLine="1606"/>
        <w:spacing w:after="0" w:line="260" w:lineRule="auto"/>
        <w:tabs>
          <w:tab w:leader="none" w:pos="2129"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49" w:lineRule="exact"/>
        <w:rPr>
          <w:rFonts w:ascii="Times New Roman" w:cs="Times New Roman" w:eastAsia="Times New Roman" w:hAnsi="Times New Roman"/>
          <w:sz w:val="15"/>
          <w:szCs w:val="15"/>
          <w:color w:val="auto"/>
        </w:rPr>
      </w:pPr>
    </w:p>
    <w:p>
      <w:pPr>
        <w:jc w:val="both"/>
        <w:ind w:firstLine="1606"/>
        <w:spacing w:after="0" w:line="252" w:lineRule="auto"/>
        <w:tabs>
          <w:tab w:leader="none" w:pos="2247"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55" w:lineRule="exact"/>
        <w:rPr>
          <w:rFonts w:ascii="Times New Roman" w:cs="Times New Roman" w:eastAsia="Times New Roman" w:hAnsi="Times New Roman"/>
          <w:sz w:val="15"/>
          <w:szCs w:val="15"/>
          <w:color w:val="auto"/>
        </w:rPr>
      </w:pPr>
    </w:p>
    <w:p>
      <w:pPr>
        <w:jc w:val="both"/>
        <w:ind w:firstLine="1606"/>
        <w:spacing w:after="0" w:line="255" w:lineRule="auto"/>
        <w:tabs>
          <w:tab w:leader="none" w:pos="219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54" w:lineRule="exact"/>
        <w:rPr>
          <w:rFonts w:ascii="Times New Roman" w:cs="Times New Roman" w:eastAsia="Times New Roman" w:hAnsi="Times New Roman"/>
          <w:sz w:val="15"/>
          <w:szCs w:val="15"/>
          <w:color w:val="auto"/>
        </w:rPr>
      </w:pPr>
    </w:p>
    <w:p>
      <w:pPr>
        <w:jc w:val="both"/>
        <w:ind w:firstLine="1606"/>
        <w:spacing w:after="0" w:line="180" w:lineRule="exact"/>
        <w:tabs>
          <w:tab w:leader="none" w:pos="2151"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5" w:name="page186"/>
    <w:bookmarkEnd w:id="185"/>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4"/>
          <w:szCs w:val="14"/>
          <w:color w:val="auto"/>
        </w:rPr>
        <w:t>NOTICE OF STOCKHOLDERS’ MEETINGS</w:t>
      </w:r>
    </w:p>
    <w:p>
      <w:pPr>
        <w:spacing w:after="0" w:line="182"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4"/>
          <w:szCs w:val="14"/>
          <w:color w:val="auto"/>
        </w:rPr>
        <w:t>QUORUM</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5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2.7</w:t>
      </w:r>
      <w:r>
        <w:rPr>
          <w:sz w:val="20"/>
          <w:szCs w:val="20"/>
          <w:color w:val="auto"/>
        </w:rPr>
        <w:tab/>
      </w:r>
      <w:r>
        <w:rPr>
          <w:rFonts w:ascii="Times New Roman" w:cs="Times New Roman" w:eastAsia="Times New Roman" w:hAnsi="Times New Roman"/>
          <w:sz w:val="14"/>
          <w:szCs w:val="14"/>
          <w:color w:val="auto"/>
        </w:rPr>
        <w:t>ADJOURNED MEETING; NOTICE</w:t>
      </w:r>
    </w:p>
    <w:p>
      <w:pPr>
        <w:spacing w:after="0" w:line="182"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5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2.8</w:t>
      </w:r>
      <w:r>
        <w:rPr>
          <w:sz w:val="20"/>
          <w:szCs w:val="20"/>
          <w:color w:val="auto"/>
        </w:rPr>
        <w:tab/>
      </w:r>
      <w:r>
        <w:rPr>
          <w:rFonts w:ascii="Times New Roman" w:cs="Times New Roman" w:eastAsia="Times New Roman" w:hAnsi="Times New Roman"/>
          <w:sz w:val="14"/>
          <w:szCs w:val="14"/>
          <w:color w:val="auto"/>
        </w:rPr>
        <w:t>CONDUCT OF BUSINESS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86" w:name="page187"/>
    <w:bookmarkEnd w:id="186"/>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2.9</w:t>
      </w:r>
      <w:r>
        <w:rPr>
          <w:sz w:val="20"/>
          <w:szCs w:val="20"/>
          <w:color w:val="auto"/>
        </w:rPr>
        <w:tab/>
      </w:r>
      <w:r>
        <w:rPr>
          <w:rFonts w:ascii="Times New Roman" w:cs="Times New Roman" w:eastAsia="Times New Roman" w:hAnsi="Times New Roman"/>
          <w:sz w:val="14"/>
          <w:szCs w:val="14"/>
          <w:color w:val="auto"/>
        </w:rPr>
        <w:t>VOTING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0"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Except as may be otherwise provided in the certificate of incorporation or these bylaws, each stockholder shall be entitled to one vote for each share of capital stock held by such stockholder.</w:t>
      </w:r>
    </w:p>
    <w:p>
      <w:pPr>
        <w:spacing w:after="0" w:line="140"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5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2.10</w:t>
      </w:r>
      <w:r>
        <w:rPr>
          <w:sz w:val="20"/>
          <w:szCs w:val="20"/>
          <w:color w:val="auto"/>
        </w:rPr>
        <w:tab/>
      </w:r>
      <w:r>
        <w:rPr>
          <w:rFonts w:ascii="Times New Roman" w:cs="Times New Roman" w:eastAsia="Times New Roman" w:hAnsi="Times New Roman"/>
          <w:sz w:val="14"/>
          <w:szCs w:val="14"/>
          <w:color w:val="auto"/>
        </w:rPr>
        <w:t>STOCKHOLDER ACTION BY WRITTEN CONSENT WITHOUT A MEETING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color w:val="auto"/>
        </w:rPr>
        <w:t>RECORD DATES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87" w:name="page188"/>
    <w:bookmarkEnd w:id="187"/>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8"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53"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4"/>
          <w:szCs w:val="14"/>
          <w:color w:val="auto"/>
        </w:rPr>
        <w:t>PROXIES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2.13</w:t>
      </w:r>
      <w:r>
        <w:rPr>
          <w:sz w:val="20"/>
          <w:szCs w:val="20"/>
          <w:color w:val="auto"/>
        </w:rPr>
        <w:tab/>
      </w:r>
      <w:r>
        <w:rPr>
          <w:rFonts w:ascii="Times New Roman" w:cs="Times New Roman" w:eastAsia="Times New Roman" w:hAnsi="Times New Roman"/>
          <w:sz w:val="14"/>
          <w:szCs w:val="14"/>
          <w:color w:val="auto"/>
        </w:rPr>
        <w:t>LIST OF STOCKHOLDERS ENTITLED TO VOTE</w:t>
      </w:r>
    </w:p>
    <w:p>
      <w:pPr>
        <w:spacing w:after="0" w:line="180"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 xml:space="preserve">The Company shall prepare, at least 10 days before every meeting of stockholders, a complete list of the stockholders entitled to vote at the meeting;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8" w:name="page189"/>
    <w:bookmarkEnd w:id="188"/>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2.14</w:t>
      </w:r>
      <w:r>
        <w:rPr>
          <w:sz w:val="20"/>
          <w:szCs w:val="20"/>
          <w:color w:val="auto"/>
        </w:rPr>
        <w:tab/>
      </w:r>
      <w:r>
        <w:rPr>
          <w:rFonts w:ascii="Times New Roman" w:cs="Times New Roman" w:eastAsia="Times New Roman" w:hAnsi="Times New Roman"/>
          <w:sz w:val="14"/>
          <w:szCs w:val="14"/>
          <w:color w:val="auto"/>
        </w:rPr>
        <w:t>INSPECTORS OF ELECTION</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Such inspectors shall:</w:t>
      </w:r>
    </w:p>
    <w:p>
      <w:pPr>
        <w:spacing w:after="0" w:line="182" w:lineRule="exact"/>
        <w:rPr>
          <w:sz w:val="20"/>
          <w:szCs w:val="20"/>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ascertain the number of shares outstanding and the voting power of each;</w:t>
      </w:r>
    </w:p>
    <w:p>
      <w:pPr>
        <w:spacing w:after="0" w:line="182" w:lineRule="exact"/>
        <w:rPr>
          <w:rFonts w:ascii="Times New Roman" w:cs="Times New Roman" w:eastAsia="Times New Roman" w:hAnsi="Times New Roman"/>
          <w:sz w:val="15"/>
          <w:szCs w:val="15"/>
          <w:color w:val="auto"/>
        </w:rPr>
      </w:pPr>
    </w:p>
    <w:p>
      <w:pPr>
        <w:ind w:left="1620" w:hanging="546"/>
        <w:spacing w:after="0"/>
        <w:tabs>
          <w:tab w:leader="none" w:pos="162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shares represented at the meeting and the validity of proxies and ballots;</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 all votes and ballots;</w:t>
      </w:r>
    </w:p>
    <w:p>
      <w:pPr>
        <w:spacing w:after="0" w:line="182" w:lineRule="exact"/>
        <w:rPr>
          <w:rFonts w:ascii="Times New Roman" w:cs="Times New Roman" w:eastAsia="Times New Roman" w:hAnsi="Times New Roman"/>
          <w:sz w:val="15"/>
          <w:szCs w:val="15"/>
          <w:color w:val="auto"/>
        </w:rPr>
      </w:pPr>
    </w:p>
    <w:p>
      <w:pPr>
        <w:ind w:left="1500" w:hanging="426"/>
        <w:spacing w:after="0"/>
        <w:tabs>
          <w:tab w:leader="none" w:pos="15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and retain for a reasonable period a record of the disposition of any challenges made to any determination by the inspectors; and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certify their determination of the number of shares represented at the meeting, and their count of all votes and ballots.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5"/>
          <w:szCs w:val="15"/>
          <w:i w:val="1"/>
          <w:iCs w:val="1"/>
          <w:color w:val="auto"/>
        </w:rPr>
        <w:t>prima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facie </w:t>
      </w:r>
      <w:r>
        <w:rPr>
          <w:rFonts w:ascii="Times New Roman" w:cs="Times New Roman" w:eastAsia="Times New Roman" w:hAnsi="Times New Roman"/>
          <w:sz w:val="15"/>
          <w:szCs w:val="15"/>
          <w:color w:val="auto"/>
        </w:rPr>
        <w:t>evidence of the facts stated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 - DIRECTORS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4"/>
          <w:szCs w:val="14"/>
          <w:color w:val="auto"/>
        </w:rPr>
        <w:t>POWERS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business and affairs of the Company shall be managed by or under the direction of the Board of Directors, except as may be otherwise provided in the DGCL or the certificate of incorporation.</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4"/>
          <w:szCs w:val="14"/>
          <w:color w:val="auto"/>
        </w:rPr>
        <w:t>NUMBER OF DIRECTORS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89" w:name="page190"/>
    <w:bookmarkEnd w:id="189"/>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4"/>
          <w:szCs w:val="14"/>
          <w:color w:val="auto"/>
        </w:rPr>
        <w:t>ELECTION, QUALIFICATION AND TERM OF OFFICE OF DIRECTORS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so provided in the certificate of incorporation, the directors of the Company shall be divided into three classes.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4"/>
          <w:szCs w:val="14"/>
          <w:color w:val="auto"/>
        </w:rPr>
        <w:t>RESIGNATION AND VACANCIES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56"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3.5</w:t>
      </w:r>
      <w:r>
        <w:rPr>
          <w:sz w:val="20"/>
          <w:szCs w:val="20"/>
          <w:color w:val="auto"/>
        </w:rPr>
        <w:tab/>
      </w:r>
      <w:r>
        <w:rPr>
          <w:rFonts w:ascii="Times New Roman" w:cs="Times New Roman" w:eastAsia="Times New Roman" w:hAnsi="Times New Roman"/>
          <w:sz w:val="14"/>
          <w:szCs w:val="14"/>
          <w:color w:val="auto"/>
        </w:rPr>
        <w:t>PLACE OF MEETINGS; MEETINGS BY TELEPHONE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Board of Directors may hold meetings, both regular and special, either within or outside the State of Delaware.</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3.6</w:t>
      </w:r>
      <w:r>
        <w:rPr>
          <w:sz w:val="20"/>
          <w:szCs w:val="20"/>
          <w:color w:val="auto"/>
        </w:rPr>
        <w:tab/>
      </w:r>
      <w:r>
        <w:rPr>
          <w:rFonts w:ascii="Times New Roman" w:cs="Times New Roman" w:eastAsia="Times New Roman" w:hAnsi="Times New Roman"/>
          <w:sz w:val="14"/>
          <w:szCs w:val="14"/>
          <w:color w:val="auto"/>
        </w:rPr>
        <w:t>REGULAR MEETINGS</w:t>
      </w:r>
    </w:p>
    <w:p>
      <w:pPr>
        <w:spacing w:after="0" w:line="1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Regular meetings of the Board of Directors may be held without notice at such time and at such place as shall from time to time be determined by the Board of Directors.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0" w:name="page191"/>
    <w:bookmarkEnd w:id="190"/>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3.7</w:t>
      </w:r>
      <w:r>
        <w:rPr>
          <w:sz w:val="20"/>
          <w:szCs w:val="20"/>
          <w:color w:val="auto"/>
        </w:rPr>
        <w:tab/>
      </w:r>
      <w:r>
        <w:rPr>
          <w:rFonts w:ascii="Times New Roman" w:cs="Times New Roman" w:eastAsia="Times New Roman" w:hAnsi="Times New Roman"/>
          <w:sz w:val="14"/>
          <w:szCs w:val="14"/>
          <w:color w:val="auto"/>
        </w:rPr>
        <w:t>SPECIAL MEETINGS; NOTICE</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Notice of the time and place of special meetings shall be:</w:t>
      </w:r>
    </w:p>
    <w:p>
      <w:pPr>
        <w:spacing w:after="0" w:line="182" w:lineRule="exact"/>
        <w:rPr>
          <w:sz w:val="20"/>
          <w:szCs w:val="20"/>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personally by hand, by courier or by telephone;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United States first-class mail, postage prepaid;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facsimile;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electronic mail; or</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given by electronic transmission (as defined in Section 232 of the DGCL),</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40"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3.8</w:t>
      </w:r>
      <w:r>
        <w:rPr>
          <w:sz w:val="20"/>
          <w:szCs w:val="20"/>
          <w:color w:val="auto"/>
        </w:rPr>
        <w:tab/>
      </w:r>
      <w:r>
        <w:rPr>
          <w:rFonts w:ascii="Times New Roman" w:cs="Times New Roman" w:eastAsia="Times New Roman" w:hAnsi="Times New Roman"/>
          <w:sz w:val="14"/>
          <w:szCs w:val="14"/>
          <w:color w:val="auto"/>
        </w:rPr>
        <w:t>QUORUM; VOTING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40"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40"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1" w:name="page192"/>
    <w:bookmarkEnd w:id="191"/>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3.9</w:t>
      </w:r>
      <w:r>
        <w:rPr>
          <w:sz w:val="20"/>
          <w:szCs w:val="20"/>
          <w:color w:val="auto"/>
        </w:rPr>
        <w:tab/>
      </w:r>
      <w:r>
        <w:rPr>
          <w:rFonts w:ascii="Times New Roman" w:cs="Times New Roman" w:eastAsia="Times New Roman" w:hAnsi="Times New Roman"/>
          <w:sz w:val="14"/>
          <w:szCs w:val="14"/>
          <w:color w:val="auto"/>
        </w:rPr>
        <w:t>BOARD ACTION BY WRITTEN CONSENT WITHOUT A MEETING</w:t>
      </w:r>
    </w:p>
    <w:p>
      <w:pPr>
        <w:spacing w:after="0" w:line="182" w:lineRule="exact"/>
        <w:rPr>
          <w:sz w:val="20"/>
          <w:szCs w:val="20"/>
          <w:color w:val="auto"/>
        </w:rPr>
      </w:pPr>
    </w:p>
    <w:p>
      <w:pPr>
        <w:ind w:firstLine="532"/>
        <w:spacing w:after="0" w:line="256"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w:t>
      </w:r>
    </w:p>
    <w:p>
      <w:pPr>
        <w:spacing w:after="0" w:line="1" w:lineRule="exact"/>
        <w:rPr>
          <w:sz w:val="20"/>
          <w:szCs w:val="20"/>
          <w:color w:val="auto"/>
        </w:rPr>
      </w:pPr>
    </w:p>
    <w:p>
      <w:pPr>
        <w:jc w:val="both"/>
        <w:ind w:firstLine="9"/>
        <w:spacing w:after="0" w:line="248" w:lineRule="auto"/>
        <w:tabs>
          <w:tab w:leader="none" w:pos="226"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15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3.10</w:t>
      </w:r>
      <w:r>
        <w:rPr>
          <w:sz w:val="20"/>
          <w:szCs w:val="20"/>
          <w:color w:val="auto"/>
        </w:rPr>
        <w:tab/>
      </w:r>
      <w:r>
        <w:rPr>
          <w:rFonts w:ascii="Times New Roman" w:cs="Times New Roman" w:eastAsia="Times New Roman" w:hAnsi="Times New Roman"/>
          <w:sz w:val="14"/>
          <w:szCs w:val="14"/>
          <w:color w:val="auto"/>
        </w:rPr>
        <w:t>FEES AND COMPENSATION OF DIRECTORS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the Board of Directors shall have the authority to fix the compensation of directors.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3.11</w:t>
      </w:r>
      <w:r>
        <w:rPr>
          <w:sz w:val="20"/>
          <w:szCs w:val="20"/>
          <w:color w:val="auto"/>
        </w:rPr>
        <w:tab/>
      </w:r>
      <w:r>
        <w:rPr>
          <w:rFonts w:ascii="Times New Roman" w:cs="Times New Roman" w:eastAsia="Times New Roman" w:hAnsi="Times New Roman"/>
          <w:sz w:val="14"/>
          <w:szCs w:val="14"/>
          <w:color w:val="auto"/>
        </w:rPr>
        <w:t>REMOVAL OF DIRECTORS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 - COMMITTEES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4"/>
          <w:szCs w:val="14"/>
          <w:color w:val="auto"/>
        </w:rPr>
        <w:t>COMMITTEES OF DIRECTORS</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2" w:name="page193"/>
    <w:bookmarkEnd w:id="192"/>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4"/>
          <w:szCs w:val="14"/>
          <w:color w:val="auto"/>
        </w:rPr>
        <w:t>COMMITTEE MINUTES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committee and subcommittee shall keep regular minutes of its meetings.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4"/>
          <w:szCs w:val="14"/>
          <w:color w:val="auto"/>
        </w:rPr>
        <w:t>MEETINGS AND ACTION OF COMMITTEES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Meetings and actions of committees and subcommittees shall be governed by, and held and taken in accordance with, the provisions of:</w:t>
      </w:r>
    </w:p>
    <w:p>
      <w:pPr>
        <w:spacing w:after="0" w:line="182" w:lineRule="exact"/>
        <w:rPr>
          <w:sz w:val="20"/>
          <w:szCs w:val="20"/>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3.5 (place of meetings and meetings by telephone);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3.6 (regular meetings);</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3.7 (special meetings and notice);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3.8 (quorum; voting);</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3.9 (action without a meeting); and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7.4 (waiver of notice)</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 the time and place of regular meetings of committees or subcommittees may be determined either by resolution of the Board of Directors or by resolution of the committee or subcommittee;</w:t>
      </w:r>
    </w:p>
    <w:p>
      <w:pPr>
        <w:spacing w:after="0" w:line="1" w:lineRule="exact"/>
        <w:rPr>
          <w:sz w:val="20"/>
          <w:szCs w:val="20"/>
          <w:color w:val="auto"/>
        </w:rPr>
      </w:pPr>
    </w:p>
    <w:p>
      <w:pPr>
        <w:jc w:val="both"/>
        <w:ind w:firstLine="9"/>
        <w:spacing w:after="0" w:line="249" w:lineRule="auto"/>
        <w:tabs>
          <w:tab w:leader="none" w:pos="22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57"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4"/>
          <w:szCs w:val="14"/>
          <w:color w:val="auto"/>
        </w:rPr>
        <w:t>SUBCOMMITTEES</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5"/>
          <w:szCs w:val="15"/>
          <w:b w:val="1"/>
          <w:bCs w:val="1"/>
          <w:color w:val="auto"/>
        </w:rPr>
        <w:t>ARTICLE V - OFFICERS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4"/>
          <w:szCs w:val="14"/>
          <w:color w:val="auto"/>
        </w:rPr>
        <w:t>OFFICERS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4"/>
          <w:szCs w:val="14"/>
          <w:color w:val="auto"/>
        </w:rPr>
        <w:t>APPOINTMENT OF OFFICERS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4"/>
          <w:szCs w:val="14"/>
          <w:color w:val="auto"/>
        </w:rPr>
        <w:t>SUBORDINATE OFFICERS</w:t>
      </w:r>
    </w:p>
    <w:p>
      <w:pPr>
        <w:spacing w:after="0" w:line="18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4"/>
          <w:szCs w:val="14"/>
          <w:color w:val="auto"/>
        </w:rPr>
        <w:t>REMOVAL AND RESIGNATION OF OFFICERS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40"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5.5</w:t>
      </w:r>
      <w:r>
        <w:rPr>
          <w:sz w:val="20"/>
          <w:szCs w:val="20"/>
          <w:color w:val="auto"/>
        </w:rPr>
        <w:tab/>
      </w:r>
      <w:r>
        <w:rPr>
          <w:rFonts w:ascii="Times New Roman" w:cs="Times New Roman" w:eastAsia="Times New Roman" w:hAnsi="Times New Roman"/>
          <w:sz w:val="14"/>
          <w:szCs w:val="14"/>
          <w:color w:val="auto"/>
        </w:rPr>
        <w:t>VACANCIES IN OFFICES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Any vacancy occurring in any office of the Company shall be filled by the Board of Directors or as provided in Section 5.3.</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4"/>
          <w:szCs w:val="14"/>
          <w:color w:val="auto"/>
        </w:rPr>
        <w:t>REPRESENTATION OF SECURITIES OF OTHER ENTITIES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4" w:name="page195"/>
    <w:bookmarkEnd w:id="194"/>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5.7</w:t>
      </w:r>
      <w:r>
        <w:rPr>
          <w:sz w:val="20"/>
          <w:szCs w:val="20"/>
          <w:color w:val="auto"/>
        </w:rPr>
        <w:tab/>
      </w:r>
      <w:r>
        <w:rPr>
          <w:rFonts w:ascii="Times New Roman" w:cs="Times New Roman" w:eastAsia="Times New Roman" w:hAnsi="Times New Roman"/>
          <w:sz w:val="14"/>
          <w:szCs w:val="14"/>
          <w:color w:val="auto"/>
        </w:rPr>
        <w:t>AUTHORITY AND DUTIES OF OFFICERS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 - STOCK</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4"/>
          <w:szCs w:val="14"/>
          <w:color w:val="auto"/>
        </w:rPr>
        <w:t>STOCK CERTIFICATES; PARTLY PAID SHARES</w:t>
      </w:r>
    </w:p>
    <w:p>
      <w:pPr>
        <w:spacing w:after="0" w:line="182"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57"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6.2</w:t>
      </w:r>
      <w:r>
        <w:rPr>
          <w:sz w:val="20"/>
          <w:szCs w:val="20"/>
          <w:color w:val="auto"/>
        </w:rPr>
        <w:tab/>
      </w:r>
      <w:r>
        <w:rPr>
          <w:rFonts w:ascii="Times New Roman" w:cs="Times New Roman" w:eastAsia="Times New Roman" w:hAnsi="Times New Roman"/>
          <w:sz w:val="14"/>
          <w:szCs w:val="14"/>
          <w:color w:val="auto"/>
        </w:rPr>
        <w:t>SPECIAL DESIGNATION ON CERTIFICATES</w:t>
      </w:r>
    </w:p>
    <w:p>
      <w:pPr>
        <w:spacing w:after="0" w:line="182" w:lineRule="exact"/>
        <w:rPr>
          <w:sz w:val="20"/>
          <w:szCs w:val="20"/>
          <w:color w:val="auto"/>
        </w:rPr>
      </w:pPr>
    </w:p>
    <w:p>
      <w:pPr>
        <w:jc w:val="both"/>
        <w:ind w:firstLine="532"/>
        <w:spacing w:after="0" w:line="249" w:lineRule="auto"/>
        <w:rPr>
          <w:sz w:val="20"/>
          <w:szCs w:val="20"/>
          <w:color w:val="auto"/>
        </w:rPr>
      </w:pPr>
      <w:r>
        <w:rPr>
          <w:rFonts w:ascii="Times New Roman" w:cs="Times New Roman" w:eastAsia="Times New Roman" w:hAnsi="Times New Roman"/>
          <w:sz w:val="15"/>
          <w:szCs w:val="15"/>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5" w:name="page196"/>
    <w:bookmarkEnd w:id="195"/>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6.3</w:t>
      </w:r>
      <w:r>
        <w:rPr>
          <w:sz w:val="20"/>
          <w:szCs w:val="20"/>
          <w:color w:val="auto"/>
        </w:rPr>
        <w:tab/>
      </w:r>
      <w:r>
        <w:rPr>
          <w:rFonts w:ascii="Times New Roman" w:cs="Times New Roman" w:eastAsia="Times New Roman" w:hAnsi="Times New Roman"/>
          <w:sz w:val="14"/>
          <w:szCs w:val="14"/>
          <w:color w:val="auto"/>
        </w:rPr>
        <w:t>LOST CERTIFICATES</w:t>
      </w:r>
    </w:p>
    <w:p>
      <w:pPr>
        <w:spacing w:after="0" w:line="182" w:lineRule="exact"/>
        <w:rPr>
          <w:sz w:val="20"/>
          <w:szCs w:val="20"/>
          <w:color w:val="auto"/>
        </w:rPr>
      </w:pPr>
    </w:p>
    <w:p>
      <w:pPr>
        <w:jc w:val="both"/>
        <w:ind w:firstLine="532"/>
        <w:spacing w:after="0" w:line="279" w:lineRule="auto"/>
        <w:rPr>
          <w:sz w:val="20"/>
          <w:szCs w:val="20"/>
          <w:color w:val="auto"/>
        </w:rPr>
      </w:pPr>
      <w:r>
        <w:rPr>
          <w:rFonts w:ascii="Times New Roman" w:cs="Times New Roman" w:eastAsia="Times New Roman" w:hAnsi="Times New Roman"/>
          <w:sz w:val="14"/>
          <w:szCs w:val="14"/>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3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6.4</w:t>
      </w:r>
      <w:r>
        <w:rPr>
          <w:sz w:val="20"/>
          <w:szCs w:val="20"/>
          <w:color w:val="auto"/>
        </w:rPr>
        <w:tab/>
      </w:r>
      <w:r>
        <w:rPr>
          <w:rFonts w:ascii="Times New Roman" w:cs="Times New Roman" w:eastAsia="Times New Roman" w:hAnsi="Times New Roman"/>
          <w:sz w:val="14"/>
          <w:szCs w:val="14"/>
          <w:color w:val="auto"/>
        </w:rPr>
        <w:t>DIVIDENDS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6.5</w:t>
      </w:r>
      <w:r>
        <w:rPr>
          <w:sz w:val="20"/>
          <w:szCs w:val="20"/>
          <w:color w:val="auto"/>
        </w:rPr>
        <w:tab/>
      </w:r>
      <w:r>
        <w:rPr>
          <w:rFonts w:ascii="Times New Roman" w:cs="Times New Roman" w:eastAsia="Times New Roman" w:hAnsi="Times New Roman"/>
          <w:sz w:val="14"/>
          <w:szCs w:val="14"/>
          <w:color w:val="auto"/>
        </w:rPr>
        <w:t>TRANSFER OF STOCK</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6.6</w:t>
      </w:r>
      <w:r>
        <w:rPr>
          <w:sz w:val="20"/>
          <w:szCs w:val="20"/>
          <w:color w:val="auto"/>
        </w:rPr>
        <w:tab/>
      </w:r>
      <w:r>
        <w:rPr>
          <w:rFonts w:ascii="Times New Roman" w:cs="Times New Roman" w:eastAsia="Times New Roman" w:hAnsi="Times New Roman"/>
          <w:sz w:val="14"/>
          <w:szCs w:val="14"/>
          <w:color w:val="auto"/>
        </w:rPr>
        <w:t>STOCK TRANSFER AGREEMENTS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6" w:name="page197"/>
    <w:bookmarkEnd w:id="196"/>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6.7</w:t>
      </w:r>
      <w:r>
        <w:rPr>
          <w:sz w:val="20"/>
          <w:szCs w:val="20"/>
          <w:color w:val="auto"/>
        </w:rPr>
        <w:tab/>
      </w:r>
      <w:r>
        <w:rPr>
          <w:rFonts w:ascii="Times New Roman" w:cs="Times New Roman" w:eastAsia="Times New Roman" w:hAnsi="Times New Roman"/>
          <w:sz w:val="14"/>
          <w:szCs w:val="14"/>
          <w:color w:val="auto"/>
        </w:rPr>
        <w:t>REGISTERED STOCKHOLDERS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w:t>
      </w:r>
    </w:p>
    <w:p>
      <w:pPr>
        <w:spacing w:after="0" w:line="182" w:lineRule="exact"/>
        <w:rPr>
          <w:sz w:val="20"/>
          <w:szCs w:val="20"/>
          <w:color w:val="auto"/>
        </w:rPr>
      </w:pPr>
    </w:p>
    <w:p>
      <w:pPr>
        <w:ind w:left="1700" w:hanging="626"/>
        <w:spacing w:after="0"/>
        <w:tabs>
          <w:tab w:leader="none" w:pos="170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be entitled to recognize the exclusive right of a person registered on its books as the owner of shares to receive dividends and notices and to vote as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owner; and</w:t>
      </w:r>
    </w:p>
    <w:p>
      <w:pPr>
        <w:spacing w:after="0" w:line="168" w:lineRule="exact"/>
        <w:rPr>
          <w:sz w:val="20"/>
          <w:szCs w:val="20"/>
          <w:color w:val="auto"/>
        </w:rPr>
      </w:pPr>
    </w:p>
    <w:p>
      <w:pPr>
        <w:ind w:firstLine="1074"/>
        <w:spacing w:after="0" w:line="273" w:lineRule="auto"/>
        <w:tabs>
          <w:tab w:leader="none" w:pos="1617"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6.8</w:t>
      </w:r>
      <w:r>
        <w:rPr>
          <w:sz w:val="20"/>
          <w:szCs w:val="20"/>
          <w:color w:val="auto"/>
        </w:rPr>
        <w:tab/>
      </w:r>
      <w:r>
        <w:rPr>
          <w:rFonts w:ascii="Times New Roman" w:cs="Times New Roman" w:eastAsia="Times New Roman" w:hAnsi="Times New Roman"/>
          <w:sz w:val="14"/>
          <w:szCs w:val="14"/>
          <w:color w:val="auto"/>
        </w:rPr>
        <w:t>LOCK-UP</w:t>
      </w:r>
    </w:p>
    <w:p>
      <w:pPr>
        <w:spacing w:after="0" w:line="180" w:lineRule="exact"/>
        <w:rPr>
          <w:sz w:val="20"/>
          <w:szCs w:val="20"/>
          <w:color w:val="auto"/>
        </w:rPr>
      </w:pPr>
    </w:p>
    <w:p>
      <w:pPr>
        <w:jc w:val="both"/>
        <w:ind w:firstLine="1074"/>
        <w:spacing w:after="0" w:line="254" w:lineRule="auto"/>
        <w:tabs>
          <w:tab w:leader="none" w:pos="1735"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6.8(b), the holders (the “</w:t>
      </w:r>
      <w:r>
        <w:rPr>
          <w:rFonts w:ascii="Times New Roman" w:cs="Times New Roman" w:eastAsia="Times New Roman" w:hAnsi="Times New Roman"/>
          <w:sz w:val="15"/>
          <w:szCs w:val="15"/>
          <w:b w:val="1"/>
          <w:bCs w:val="1"/>
          <w:color w:val="auto"/>
        </w:rPr>
        <w:t>Lock-up Holders</w:t>
      </w:r>
      <w:r>
        <w:rPr>
          <w:rFonts w:ascii="Times New Roman" w:cs="Times New Roman" w:eastAsia="Times New Roman" w:hAnsi="Times New Roman"/>
          <w:sz w:val="15"/>
          <w:szCs w:val="15"/>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Times New Roman" w:cs="Times New Roman" w:eastAsia="Times New Roman" w:hAnsi="Times New Roman"/>
          <w:sz w:val="15"/>
          <w:szCs w:val="15"/>
          <w:b w:val="1"/>
          <w:bCs w:val="1"/>
          <w:color w:val="auto"/>
        </w:rPr>
        <w:t>Existing Equity Award Shares</w:t>
      </w:r>
      <w:r>
        <w:rPr>
          <w:rFonts w:ascii="Times New Roman" w:cs="Times New Roman" w:eastAsia="Times New Roman" w:hAnsi="Times New Roman"/>
          <w:sz w:val="15"/>
          <w:szCs w:val="15"/>
          <w:color w:val="auto"/>
        </w:rPr>
        <w:t>”), may not Transfer any Lock-up Shares until the end of the Lock-up Period (the “</w:t>
      </w:r>
      <w:r>
        <w:rPr>
          <w:rFonts w:ascii="Times New Roman" w:cs="Times New Roman" w:eastAsia="Times New Roman" w:hAnsi="Times New Roman"/>
          <w:sz w:val="15"/>
          <w:szCs w:val="15"/>
          <w:b w:val="1"/>
          <w:bCs w:val="1"/>
          <w:color w:val="auto"/>
        </w:rPr>
        <w:t>Lock-up</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jc w:val="both"/>
        <w:ind w:firstLine="1074"/>
        <w:spacing w:after="0" w:line="266" w:lineRule="auto"/>
        <w:tabs>
          <w:tab w:leader="none" w:pos="1629"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 (vi) if such Lock-up Holder is a trust, to a trustor or beneficiary of the trust or to the estate of a beneficiary of such trust; (vii) to the Company’s officers, directors or their affiliates; (viii) to a nominee or custodian of a person or entity to whom a disposition or transfer would be permissible under subsections (i) through</w:t>
      </w:r>
    </w:p>
    <w:p>
      <w:pPr>
        <w:spacing w:after="0" w:line="5" w:lineRule="exact"/>
        <w:rPr>
          <w:rFonts w:ascii="Times New Roman" w:cs="Times New Roman" w:eastAsia="Times New Roman" w:hAnsi="Times New Roman"/>
          <w:sz w:val="14"/>
          <w:szCs w:val="14"/>
          <w:color w:val="auto"/>
        </w:rPr>
      </w:pPr>
    </w:p>
    <w:p>
      <w:pPr>
        <w:jc w:val="both"/>
        <w:ind w:firstLine="9"/>
        <w:spacing w:after="0" w:line="268" w:lineRule="auto"/>
        <w:tabs>
          <w:tab w:leader="none" w:pos="304"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this Section 6.8(b); (ix) as a pledge of shares of common stock as security or collateral in connection with any borrowing or the incurrence of any indebtedness by such Lock-up Holder;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plan does not provide for the Transfer of Lock-up Shares during the Lock-Up Period.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7" w:name="page198"/>
    <w:bookmarkEnd w:id="197"/>
    <w:p>
      <w:pPr>
        <w:jc w:val="both"/>
        <w:ind w:firstLine="1122"/>
        <w:spacing w:after="0" w:line="253" w:lineRule="auto"/>
        <w:tabs>
          <w:tab w:leader="none" w:pos="1777"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155"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 of this Section 6.8:</w:t>
      </w:r>
    </w:p>
    <w:p>
      <w:pPr>
        <w:spacing w:after="0" w:line="180" w:lineRule="exact"/>
        <w:rPr>
          <w:rFonts w:ascii="Times New Roman" w:cs="Times New Roman" w:eastAsia="Times New Roman" w:hAnsi="Times New Roman"/>
          <w:sz w:val="15"/>
          <w:szCs w:val="15"/>
          <w:color w:val="auto"/>
        </w:rPr>
      </w:pPr>
    </w:p>
    <w:p>
      <w:pPr>
        <w:ind w:firstLine="1606"/>
        <w:spacing w:after="0" w:line="276" w:lineRule="auto"/>
        <w:tabs>
          <w:tab w:leader="none" w:pos="2033"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Lock-up Period</w:t>
      </w:r>
      <w:r>
        <w:rPr>
          <w:rFonts w:ascii="Times New Roman" w:cs="Times New Roman" w:eastAsia="Times New Roman" w:hAnsi="Times New Roman"/>
          <w:sz w:val="15"/>
          <w:szCs w:val="15"/>
          <w:color w:val="auto"/>
        </w:rPr>
        <w:t>” means the period beginning on the closing date of the Business Combination Transaction and ending at the close of business on the date that is 180 days after the closing date of the Business Combination Transaction;</w:t>
      </w:r>
    </w:p>
    <w:p>
      <w:pPr>
        <w:spacing w:after="0" w:line="135" w:lineRule="exact"/>
        <w:rPr>
          <w:rFonts w:ascii="Times New Roman" w:cs="Times New Roman" w:eastAsia="Times New Roman" w:hAnsi="Times New Roman"/>
          <w:sz w:val="15"/>
          <w:szCs w:val="15"/>
          <w:color w:val="auto"/>
        </w:rPr>
      </w:pPr>
    </w:p>
    <w:p>
      <w:pPr>
        <w:jc w:val="both"/>
        <w:ind w:firstLine="1606"/>
        <w:spacing w:after="0" w:line="251" w:lineRule="auto"/>
        <w:tabs>
          <w:tab w:leader="none" w:pos="2218"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Lock-up Shares</w:t>
      </w:r>
      <w:r>
        <w:rPr>
          <w:rFonts w:ascii="Times New Roman" w:cs="Times New Roman" w:eastAsia="Times New Roman" w:hAnsi="Times New Roman"/>
          <w:sz w:val="15"/>
          <w:szCs w:val="15"/>
          <w:color w:val="auto"/>
        </w:rPr>
        <w:t xml:space="preserve">”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 w:cs="Times New Roman" w:eastAsia="Times New Roman" w:hAnsi="Times New Roman"/>
          <w:sz w:val="15"/>
          <w:szCs w:val="15"/>
          <w:b w:val="1"/>
          <w:bCs w:val="1"/>
          <w:color w:val="auto"/>
        </w:rPr>
        <w:t>Business Combination Agreement</w:t>
      </w:r>
      <w:r>
        <w:rPr>
          <w:rFonts w:ascii="Times New Roman" w:cs="Times New Roman" w:eastAsia="Times New Roman" w:hAnsi="Times New Roman"/>
          <w:sz w:val="15"/>
          <w:szCs w:val="15"/>
          <w:color w:val="auto"/>
        </w:rPr>
        <w:t>”)) or the PIPE Financing (as defined in the Business Combination Agreement) shall not constitute Lock-up Shares;</w:t>
      </w:r>
    </w:p>
    <w:p>
      <w:pPr>
        <w:spacing w:after="0" w:line="157" w:lineRule="exact"/>
        <w:rPr>
          <w:rFonts w:ascii="Times New Roman" w:cs="Times New Roman" w:eastAsia="Times New Roman" w:hAnsi="Times New Roman"/>
          <w:sz w:val="15"/>
          <w:szCs w:val="15"/>
          <w:color w:val="auto"/>
        </w:rPr>
      </w:pPr>
    </w:p>
    <w:p>
      <w:pPr>
        <w:ind w:firstLine="1606"/>
        <w:spacing w:after="0" w:line="276" w:lineRule="auto"/>
        <w:tabs>
          <w:tab w:leader="none" w:pos="2170"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Permitted Transferees</w:t>
      </w:r>
      <w:r>
        <w:rPr>
          <w:rFonts w:ascii="Times New Roman" w:cs="Times New Roman" w:eastAsia="Times New Roman" w:hAnsi="Times New Roman"/>
          <w:sz w:val="15"/>
          <w:szCs w:val="15"/>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135" w:lineRule="exact"/>
        <w:rPr>
          <w:rFonts w:ascii="Times New Roman" w:cs="Times New Roman" w:eastAsia="Times New Roman" w:hAnsi="Times New Roman"/>
          <w:sz w:val="15"/>
          <w:szCs w:val="15"/>
          <w:color w:val="auto"/>
        </w:rPr>
      </w:pPr>
    </w:p>
    <w:p>
      <w:pPr>
        <w:jc w:val="both"/>
        <w:ind w:firstLine="1606"/>
        <w:spacing w:after="0" w:line="256" w:lineRule="auto"/>
        <w:tabs>
          <w:tab w:leader="none" w:pos="2189"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8" w:name="page199"/>
    <w:bookmarkEnd w:id="198"/>
    <w:p>
      <w:pPr>
        <w:ind w:left="3560"/>
        <w:spacing w:after="0"/>
        <w:rPr>
          <w:sz w:val="20"/>
          <w:szCs w:val="20"/>
          <w:color w:val="auto"/>
        </w:rPr>
      </w:pPr>
      <w:r>
        <w:rPr>
          <w:rFonts w:ascii="Times New Roman" w:cs="Times New Roman" w:eastAsia="Times New Roman" w:hAnsi="Times New Roman"/>
          <w:sz w:val="15"/>
          <w:szCs w:val="15"/>
          <w:b w:val="1"/>
          <w:bCs w:val="1"/>
          <w:color w:val="auto"/>
        </w:rPr>
        <w:t>ARTICLE VII - MANNER OF GIVING NOTICE AND WAIVER</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4"/>
          <w:szCs w:val="14"/>
          <w:color w:val="auto"/>
        </w:rPr>
        <w:t>NOTICE OF STOCKHOLDERS’ MEETINGS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Notice of any meeting of stockholders shall be given in the manner set forth in the DGCL.</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4"/>
          <w:szCs w:val="14"/>
          <w:color w:val="auto"/>
        </w:rPr>
        <w:t>NOTICE TO STOCKHOLDERS SHARING AN ADDRESS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7.3</w:t>
      </w:r>
      <w:r>
        <w:rPr>
          <w:sz w:val="20"/>
          <w:szCs w:val="20"/>
          <w:color w:val="auto"/>
        </w:rPr>
        <w:tab/>
      </w:r>
      <w:r>
        <w:rPr>
          <w:rFonts w:ascii="Times New Roman" w:cs="Times New Roman" w:eastAsia="Times New Roman" w:hAnsi="Times New Roman"/>
          <w:sz w:val="14"/>
          <w:szCs w:val="14"/>
          <w:color w:val="auto"/>
        </w:rPr>
        <w:t>NOTICE TO PERSON WITH WHOM COMMUNICATION IS UNLAWFUL</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7.4</w:t>
      </w:r>
      <w:r>
        <w:rPr>
          <w:sz w:val="20"/>
          <w:szCs w:val="20"/>
          <w:color w:val="auto"/>
        </w:rPr>
        <w:tab/>
      </w:r>
      <w:r>
        <w:rPr>
          <w:rFonts w:ascii="Times New Roman" w:cs="Times New Roman" w:eastAsia="Times New Roman" w:hAnsi="Times New Roman"/>
          <w:sz w:val="14"/>
          <w:szCs w:val="14"/>
          <w:color w:val="auto"/>
        </w:rPr>
        <w:t>WAIVER OF NOTICE</w:t>
      </w:r>
    </w:p>
    <w:p>
      <w:pPr>
        <w:spacing w:after="0" w:line="182" w:lineRule="exact"/>
        <w:rPr>
          <w:sz w:val="20"/>
          <w:szCs w:val="20"/>
          <w:color w:val="auto"/>
        </w:rPr>
      </w:pPr>
    </w:p>
    <w:p>
      <w:pPr>
        <w:jc w:val="both"/>
        <w:ind w:firstLine="532"/>
        <w:spacing w:after="0" w:line="276" w:lineRule="auto"/>
        <w:rPr>
          <w:sz w:val="20"/>
          <w:szCs w:val="20"/>
          <w:color w:val="auto"/>
        </w:rPr>
      </w:pPr>
      <w:r>
        <w:rPr>
          <w:rFonts w:ascii="Times New Roman" w:cs="Times New Roman" w:eastAsia="Times New Roman" w:hAnsi="Times New Roman"/>
          <w:sz w:val="14"/>
          <w:szCs w:val="14"/>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9" w:name="page200"/>
    <w:bookmarkEnd w:id="199"/>
    <w:p>
      <w:pPr>
        <w:ind w:left="4380"/>
        <w:spacing w:after="0"/>
        <w:rPr>
          <w:sz w:val="20"/>
          <w:szCs w:val="20"/>
          <w:color w:val="auto"/>
        </w:rPr>
      </w:pPr>
      <w:r>
        <w:rPr>
          <w:rFonts w:ascii="Times New Roman" w:cs="Times New Roman" w:eastAsia="Times New Roman" w:hAnsi="Times New Roman"/>
          <w:sz w:val="15"/>
          <w:szCs w:val="15"/>
          <w:b w:val="1"/>
          <w:bCs w:val="1"/>
          <w:color w:val="auto"/>
        </w:rPr>
        <w:t>ARTICLE VIII - INDEMNIFICATION</w:t>
      </w:r>
    </w:p>
    <w:p>
      <w:pPr>
        <w:spacing w:after="0" w:line="18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4"/>
          <w:szCs w:val="14"/>
          <w:color w:val="auto"/>
        </w:rPr>
        <w:t>INDEMNIFICATION OF DIRECTORS AND OFFICERS IN THIRD PARTY PROCEEDINGS</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5"/>
          <w:szCs w:val="15"/>
          <w:b w:val="1"/>
          <w:bCs w:val="1"/>
          <w:color w:val="auto"/>
        </w:rPr>
        <w:t>Proceeding</w:t>
      </w:r>
      <w:r>
        <w:rPr>
          <w:rFonts w:ascii="Times New Roman" w:cs="Times New Roman" w:eastAsia="Times New Roman" w:hAnsi="Times New Roman"/>
          <w:sz w:val="15"/>
          <w:szCs w:val="15"/>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58"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4"/>
          <w:szCs w:val="14"/>
          <w:color w:val="auto"/>
        </w:rPr>
        <w:t>INDEMNIFICATION OF DIRECTORS AND OFFICERS IN ACTIONS BY OR IN THE RIGHT OF THE COMPANY</w:t>
      </w:r>
    </w:p>
    <w:p>
      <w:pPr>
        <w:spacing w:after="0" w:line="182" w:lineRule="exact"/>
        <w:rPr>
          <w:sz w:val="20"/>
          <w:szCs w:val="20"/>
          <w:color w:val="auto"/>
        </w:rPr>
      </w:pPr>
    </w:p>
    <w:p>
      <w:pPr>
        <w:jc w:val="both"/>
        <w:ind w:firstLine="532"/>
        <w:spacing w:after="0" w:line="271" w:lineRule="auto"/>
        <w:rPr>
          <w:sz w:val="20"/>
          <w:szCs w:val="20"/>
          <w:color w:val="auto"/>
        </w:rPr>
      </w:pPr>
      <w:r>
        <w:rPr>
          <w:rFonts w:ascii="Times New Roman" w:cs="Times New Roman" w:eastAsia="Times New Roman" w:hAnsi="Times New Roman"/>
          <w:sz w:val="14"/>
          <w:szCs w:val="14"/>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8.3</w:t>
      </w:r>
      <w:r>
        <w:rPr>
          <w:sz w:val="20"/>
          <w:szCs w:val="20"/>
          <w:color w:val="auto"/>
        </w:rPr>
        <w:tab/>
      </w:r>
      <w:r>
        <w:rPr>
          <w:rFonts w:ascii="Times New Roman" w:cs="Times New Roman" w:eastAsia="Times New Roman" w:hAnsi="Times New Roman"/>
          <w:sz w:val="14"/>
          <w:szCs w:val="14"/>
          <w:color w:val="auto"/>
        </w:rPr>
        <w:t>SUCCESSFUL DEFENSE</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0" w:name="page201"/>
    <w:bookmarkEnd w:id="200"/>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8.4</w:t>
      </w:r>
      <w:r>
        <w:rPr>
          <w:sz w:val="20"/>
          <w:szCs w:val="20"/>
          <w:color w:val="auto"/>
        </w:rPr>
        <w:tab/>
      </w:r>
      <w:r>
        <w:rPr>
          <w:rFonts w:ascii="Times New Roman" w:cs="Times New Roman" w:eastAsia="Times New Roman" w:hAnsi="Times New Roman"/>
          <w:sz w:val="14"/>
          <w:szCs w:val="14"/>
          <w:color w:val="auto"/>
        </w:rPr>
        <w:t>INDEMNIFICATION OF OTHERS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8.5</w:t>
      </w:r>
      <w:r>
        <w:rPr>
          <w:sz w:val="20"/>
          <w:szCs w:val="20"/>
          <w:color w:val="auto"/>
        </w:rPr>
        <w:tab/>
      </w:r>
      <w:r>
        <w:rPr>
          <w:rFonts w:ascii="Times New Roman" w:cs="Times New Roman" w:eastAsia="Times New Roman" w:hAnsi="Times New Roman"/>
          <w:sz w:val="14"/>
          <w:szCs w:val="14"/>
          <w:color w:val="auto"/>
        </w:rPr>
        <w:t>ADVANCED PAYMENT OF EXPENSES</w:t>
      </w:r>
    </w:p>
    <w:p>
      <w:pPr>
        <w:spacing w:after="0" w:line="182" w:lineRule="exact"/>
        <w:rPr>
          <w:sz w:val="20"/>
          <w:szCs w:val="20"/>
          <w:color w:val="auto"/>
        </w:rPr>
      </w:pPr>
    </w:p>
    <w:p>
      <w:pPr>
        <w:jc w:val="both"/>
        <w:ind w:firstLine="532"/>
        <w:spacing w:after="0" w:line="272" w:lineRule="auto"/>
        <w:rPr>
          <w:sz w:val="20"/>
          <w:szCs w:val="20"/>
          <w:color w:val="auto"/>
        </w:rPr>
      </w:pPr>
      <w:r>
        <w:rPr>
          <w:rFonts w:ascii="Times New Roman" w:cs="Times New Roman" w:eastAsia="Times New Roman" w:hAnsi="Times New Roman"/>
          <w:sz w:val="14"/>
          <w:szCs w:val="14"/>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43"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1" w:name="page202"/>
    <w:bookmarkEnd w:id="201"/>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8.6</w:t>
      </w:r>
      <w:r>
        <w:rPr>
          <w:sz w:val="20"/>
          <w:szCs w:val="20"/>
          <w:color w:val="auto"/>
        </w:rPr>
        <w:tab/>
      </w:r>
      <w:r>
        <w:rPr>
          <w:rFonts w:ascii="Times New Roman" w:cs="Times New Roman" w:eastAsia="Times New Roman" w:hAnsi="Times New Roman"/>
          <w:sz w:val="14"/>
          <w:szCs w:val="14"/>
          <w:color w:val="auto"/>
        </w:rPr>
        <w:t>LIMITATION ON INDEMNIFICATION</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Subject to the requirements in Section 8.3 and the DGCL, the Company shall not be obligated to indemnify any person pursuant to this Article VIII in connection with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Proceeding (or any part of any Proceeding):</w:t>
      </w:r>
    </w:p>
    <w:p>
      <w:pPr>
        <w:spacing w:after="0" w:line="168" w:lineRule="exact"/>
        <w:rPr>
          <w:sz w:val="20"/>
          <w:szCs w:val="20"/>
          <w:color w:val="auto"/>
        </w:rPr>
      </w:pPr>
    </w:p>
    <w:p>
      <w:pPr>
        <w:ind w:firstLine="1074"/>
        <w:spacing w:after="0" w:line="273" w:lineRule="auto"/>
        <w:tabs>
          <w:tab w:leader="none" w:pos="1631"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which payment has actually been made to or on behalf of such person under any statute, insurance policy, indemnity provision, vote or otherwise, except with respect to any excess beyond the amount paid;</w:t>
      </w:r>
    </w:p>
    <w:p>
      <w:pPr>
        <w:spacing w:after="0" w:line="140" w:lineRule="exact"/>
        <w:rPr>
          <w:rFonts w:ascii="Times New Roman" w:cs="Times New Roman" w:eastAsia="Times New Roman" w:hAnsi="Times New Roman"/>
          <w:sz w:val="15"/>
          <w:szCs w:val="15"/>
          <w:color w:val="auto"/>
        </w:rPr>
      </w:pPr>
    </w:p>
    <w:p>
      <w:pPr>
        <w:ind w:firstLine="1074"/>
        <w:spacing w:after="0" w:line="273" w:lineRule="auto"/>
        <w:tabs>
          <w:tab w:leader="none" w:pos="1607"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40" w:lineRule="exact"/>
        <w:rPr>
          <w:rFonts w:ascii="Times New Roman" w:cs="Times New Roman" w:eastAsia="Times New Roman" w:hAnsi="Times New Roman"/>
          <w:sz w:val="15"/>
          <w:szCs w:val="15"/>
          <w:color w:val="auto"/>
        </w:rPr>
      </w:pPr>
    </w:p>
    <w:p>
      <w:pPr>
        <w:jc w:val="both"/>
        <w:ind w:firstLine="1074"/>
        <w:spacing w:after="0" w:line="255" w:lineRule="auto"/>
        <w:tabs>
          <w:tab w:leader="none" w:pos="1697"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54" w:lineRule="exact"/>
        <w:rPr>
          <w:rFonts w:ascii="Times New Roman" w:cs="Times New Roman" w:eastAsia="Times New Roman" w:hAnsi="Times New Roman"/>
          <w:sz w:val="15"/>
          <w:szCs w:val="15"/>
          <w:color w:val="auto"/>
        </w:rPr>
      </w:pPr>
    </w:p>
    <w:p>
      <w:pPr>
        <w:jc w:val="both"/>
        <w:ind w:firstLine="1074"/>
        <w:spacing w:after="0" w:line="255" w:lineRule="auto"/>
        <w:tabs>
          <w:tab w:leader="none" w:pos="1789"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5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prohibited by applicable law.</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8.7</w:t>
      </w:r>
      <w:r>
        <w:rPr>
          <w:sz w:val="20"/>
          <w:szCs w:val="20"/>
          <w:color w:val="auto"/>
        </w:rPr>
        <w:tab/>
      </w:r>
      <w:r>
        <w:rPr>
          <w:rFonts w:ascii="Times New Roman" w:cs="Times New Roman" w:eastAsia="Times New Roman" w:hAnsi="Times New Roman"/>
          <w:sz w:val="14"/>
          <w:szCs w:val="14"/>
          <w:color w:val="auto"/>
        </w:rPr>
        <w:t>DETERMINATION; CLAIM</w:t>
      </w:r>
    </w:p>
    <w:p>
      <w:pPr>
        <w:spacing w:after="0" w:line="182" w:lineRule="exact"/>
        <w:rPr>
          <w:sz w:val="20"/>
          <w:szCs w:val="20"/>
          <w:color w:val="auto"/>
        </w:rPr>
      </w:pPr>
    </w:p>
    <w:p>
      <w:pPr>
        <w:jc w:val="both"/>
        <w:ind w:right="20" w:firstLine="532"/>
        <w:spacing w:after="0" w:line="253" w:lineRule="auto"/>
        <w:rPr>
          <w:sz w:val="20"/>
          <w:szCs w:val="20"/>
          <w:color w:val="auto"/>
        </w:rPr>
      </w:pPr>
      <w:r>
        <w:rPr>
          <w:rFonts w:ascii="Times New Roman" w:cs="Times New Roman" w:eastAsia="Times New Roman" w:hAnsi="Times New Roman"/>
          <w:sz w:val="15"/>
          <w:szCs w:val="15"/>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8.8</w:t>
      </w:r>
      <w:r>
        <w:rPr>
          <w:sz w:val="20"/>
          <w:szCs w:val="20"/>
          <w:color w:val="auto"/>
        </w:rPr>
        <w:tab/>
      </w:r>
      <w:r>
        <w:rPr>
          <w:rFonts w:ascii="Times New Roman" w:cs="Times New Roman" w:eastAsia="Times New Roman" w:hAnsi="Times New Roman"/>
          <w:sz w:val="14"/>
          <w:szCs w:val="14"/>
          <w:color w:val="auto"/>
        </w:rPr>
        <w:t>NON-EXCLUSIVITY OF RIGHTS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2" w:name="page203"/>
    <w:bookmarkEnd w:id="202"/>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8.9</w:t>
      </w:r>
      <w:r>
        <w:rPr>
          <w:sz w:val="20"/>
          <w:szCs w:val="20"/>
          <w:color w:val="auto"/>
        </w:rPr>
        <w:tab/>
      </w:r>
      <w:r>
        <w:rPr>
          <w:rFonts w:ascii="Times New Roman" w:cs="Times New Roman" w:eastAsia="Times New Roman" w:hAnsi="Times New Roman"/>
          <w:sz w:val="14"/>
          <w:szCs w:val="14"/>
          <w:color w:val="auto"/>
        </w:rPr>
        <w:t>INSURANCE</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8.10</w:t>
      </w:r>
      <w:r>
        <w:rPr>
          <w:sz w:val="20"/>
          <w:szCs w:val="20"/>
          <w:color w:val="auto"/>
        </w:rPr>
        <w:tab/>
      </w:r>
      <w:r>
        <w:rPr>
          <w:rFonts w:ascii="Times New Roman" w:cs="Times New Roman" w:eastAsia="Times New Roman" w:hAnsi="Times New Roman"/>
          <w:sz w:val="14"/>
          <w:szCs w:val="14"/>
          <w:color w:val="auto"/>
        </w:rPr>
        <w:t>SURVIVAL</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8.11</w:t>
      </w:r>
      <w:r>
        <w:rPr>
          <w:sz w:val="20"/>
          <w:szCs w:val="20"/>
          <w:color w:val="auto"/>
        </w:rPr>
        <w:tab/>
      </w:r>
      <w:r>
        <w:rPr>
          <w:rFonts w:ascii="Times New Roman" w:cs="Times New Roman" w:eastAsia="Times New Roman" w:hAnsi="Times New Roman"/>
          <w:sz w:val="14"/>
          <w:szCs w:val="14"/>
          <w:color w:val="auto"/>
        </w:rPr>
        <w:t>EFFECT OF REPEAL OR MODIFICATION</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8.12</w:t>
      </w:r>
      <w:r>
        <w:rPr>
          <w:sz w:val="20"/>
          <w:szCs w:val="20"/>
          <w:color w:val="auto"/>
        </w:rPr>
        <w:tab/>
      </w:r>
      <w:r>
        <w:rPr>
          <w:rFonts w:ascii="Times New Roman" w:cs="Times New Roman" w:eastAsia="Times New Roman" w:hAnsi="Times New Roman"/>
          <w:sz w:val="14"/>
          <w:szCs w:val="14"/>
          <w:color w:val="auto"/>
        </w:rPr>
        <w:t>CERTAIN DEFINITIONS</w:t>
      </w:r>
    </w:p>
    <w:p>
      <w:pPr>
        <w:spacing w:after="0" w:line="180"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For purposes of this Article VIII, references to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 w:cs="Times New Roman" w:eastAsia="Times New Roman" w:hAnsi="Times New Roman"/>
          <w:sz w:val="15"/>
          <w:szCs w:val="15"/>
          <w:b w:val="1"/>
          <w:bCs w:val="1"/>
          <w:color w:val="auto"/>
        </w:rPr>
        <w:t>other enterprises</w:t>
      </w:r>
      <w:r>
        <w:rPr>
          <w:rFonts w:ascii="Times New Roman" w:cs="Times New Roman" w:eastAsia="Times New Roman" w:hAnsi="Times New Roman"/>
          <w:sz w:val="15"/>
          <w:szCs w:val="15"/>
          <w:color w:val="auto"/>
        </w:rPr>
        <w:t>” shall include employee benefit plans; references to “</w:t>
      </w:r>
      <w:r>
        <w:rPr>
          <w:rFonts w:ascii="Times New Roman" w:cs="Times New Roman" w:eastAsia="Times New Roman" w:hAnsi="Times New Roman"/>
          <w:sz w:val="15"/>
          <w:szCs w:val="15"/>
          <w:b w:val="1"/>
          <w:bCs w:val="1"/>
          <w:color w:val="auto"/>
        </w:rPr>
        <w:t>fines</w:t>
      </w:r>
      <w:r>
        <w:rPr>
          <w:rFonts w:ascii="Times New Roman" w:cs="Times New Roman" w:eastAsia="Times New Roman" w:hAnsi="Times New Roman"/>
          <w:sz w:val="15"/>
          <w:szCs w:val="15"/>
          <w:color w:val="auto"/>
        </w:rPr>
        <w:t>” shall include any excise taxes assessed on a person with respect to an employee benefit plan; and references to “</w:t>
      </w:r>
      <w:r>
        <w:rPr>
          <w:rFonts w:ascii="Times New Roman" w:cs="Times New Roman" w:eastAsia="Times New Roman" w:hAnsi="Times New Roman"/>
          <w:sz w:val="15"/>
          <w:szCs w:val="15"/>
          <w:b w:val="1"/>
          <w:bCs w:val="1"/>
          <w:color w:val="auto"/>
        </w:rPr>
        <w:t>serving at the request of the Company</w:t>
      </w:r>
      <w:r>
        <w:rPr>
          <w:rFonts w:ascii="Times New Roman" w:cs="Times New Roman" w:eastAsia="Times New Roman" w:hAnsi="Times New Roman"/>
          <w:sz w:val="15"/>
          <w:szCs w:val="15"/>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5"/>
          <w:szCs w:val="15"/>
          <w:b w:val="1"/>
          <w:bCs w:val="1"/>
          <w:color w:val="auto"/>
        </w:rPr>
        <w:t>not opposed to the best interests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as referred to in this Article VIII.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3" w:name="page204"/>
    <w:bookmarkEnd w:id="203"/>
    <w:p>
      <w:pPr>
        <w:ind w:left="4400"/>
        <w:spacing w:after="0"/>
        <w:rPr>
          <w:sz w:val="20"/>
          <w:szCs w:val="20"/>
          <w:color w:val="auto"/>
        </w:rPr>
      </w:pPr>
      <w:r>
        <w:rPr>
          <w:rFonts w:ascii="Times New Roman" w:cs="Times New Roman" w:eastAsia="Times New Roman" w:hAnsi="Times New Roman"/>
          <w:sz w:val="15"/>
          <w:szCs w:val="15"/>
          <w:b w:val="1"/>
          <w:bCs w:val="1"/>
          <w:color w:val="auto"/>
        </w:rPr>
        <w:t>ARTICLE IX - GENERAL MATTERS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color w:val="auto"/>
        </w:rPr>
        <w:t>EXECUTION OF CORPORATE CONTRACTS AND INSTRUMENTS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4"/>
          <w:szCs w:val="14"/>
          <w:color w:val="auto"/>
        </w:rPr>
        <w:t>FISCAL YEAR</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fiscal year of the Company shall be fixed by resolution of the Board of Directors and may be changed by the Board of Directors.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4"/>
          <w:szCs w:val="14"/>
          <w:color w:val="auto"/>
        </w:rPr>
        <w:t>SEAL</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9.4</w:t>
      </w:r>
      <w:r>
        <w:rPr>
          <w:sz w:val="20"/>
          <w:szCs w:val="20"/>
          <w:color w:val="auto"/>
        </w:rPr>
        <w:tab/>
      </w:r>
      <w:r>
        <w:rPr>
          <w:rFonts w:ascii="Times New Roman" w:cs="Times New Roman" w:eastAsia="Times New Roman" w:hAnsi="Times New Roman"/>
          <w:sz w:val="14"/>
          <w:szCs w:val="14"/>
          <w:color w:val="auto"/>
        </w:rPr>
        <w:t>CONSTRUCTION; DEFINITIONS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9.5</w:t>
      </w:r>
      <w:r>
        <w:rPr>
          <w:sz w:val="20"/>
          <w:szCs w:val="20"/>
          <w:color w:val="auto"/>
        </w:rPr>
        <w:tab/>
      </w:r>
      <w:r>
        <w:rPr>
          <w:rFonts w:ascii="Times New Roman" w:cs="Times New Roman" w:eastAsia="Times New Roman" w:hAnsi="Times New Roman"/>
          <w:sz w:val="14"/>
          <w:szCs w:val="14"/>
          <w:color w:val="auto"/>
        </w:rPr>
        <w:t>FORUM SELECTION</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4" w:name="page205"/>
    <w:bookmarkEnd w:id="204"/>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140" w:lineRule="exact"/>
        <w:rPr>
          <w:sz w:val="20"/>
          <w:szCs w:val="20"/>
          <w:color w:val="auto"/>
        </w:rPr>
      </w:pPr>
    </w:p>
    <w:p>
      <w:pPr>
        <w:jc w:val="both"/>
        <w:ind w:firstLine="532"/>
        <w:spacing w:after="0" w:line="310"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 - AMENDMENTS</w:t>
      </w:r>
    </w:p>
    <w:p>
      <w:pPr>
        <w:spacing w:after="0" w:line="184"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405765</wp:posOffset>
            </wp:positionV>
            <wp:extent cx="7157085" cy="13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5"/>
          <w:szCs w:val="15"/>
          <w:b w:val="1"/>
          <w:bCs w:val="1"/>
          <w:color w:val="auto"/>
        </w:rPr>
        <w:t>ACTION BY WRITTEN CONSENT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STOCKHOLDERS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Delaware corporation)</w:t>
      </w:r>
    </w:p>
    <w:p>
      <w:pPr>
        <w:spacing w:after="0" w:line="164" w:lineRule="exact"/>
        <w:rPr>
          <w:sz w:val="20"/>
          <w:szCs w:val="20"/>
          <w:color w:val="auto"/>
        </w:rPr>
      </w:pPr>
    </w:p>
    <w:p>
      <w:pPr>
        <w:jc w:val="both"/>
        <w:ind w:firstLine="532"/>
        <w:spacing w:after="0" w:line="257" w:lineRule="auto"/>
        <w:rPr>
          <w:sz w:val="20"/>
          <w:szCs w:val="20"/>
          <w:color w:val="auto"/>
        </w:rPr>
      </w:pPr>
      <w:r>
        <w:rPr>
          <w:rFonts w:ascii="Times New Roman" w:cs="Times New Roman" w:eastAsia="Times New Roman" w:hAnsi="Times New Roman"/>
          <w:sz w:val="15"/>
          <w:szCs w:val="15"/>
          <w:color w:val="auto"/>
        </w:rPr>
        <w:t>The undersigned, being the Stockholders (the “</w:t>
      </w:r>
      <w:r>
        <w:rPr>
          <w:rFonts w:ascii="Times New Roman" w:cs="Times New Roman" w:eastAsia="Times New Roman" w:hAnsi="Times New Roman"/>
          <w:sz w:val="15"/>
          <w:szCs w:val="15"/>
          <w:b w:val="1"/>
          <w:bCs w:val="1"/>
          <w:i w:val="1"/>
          <w:iCs w:val="1"/>
          <w:color w:val="auto"/>
        </w:rPr>
        <w:t>Stockholders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of Nautilus Biotechnology,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constituting the holders of the outstanding shares having not less than the minimum number of votes that would be necessary to authorize or take such actions at a meeting at which all the shares entitled to vote thereon were present and voted, by written consent in lieu of a meeting, hereby, pursuant to the provisions of Sections 228 and 251 of the General Corporation Law of the State of Delaware (“</w:t>
      </w:r>
      <w:r>
        <w:rPr>
          <w:rFonts w:ascii="Times New Roman" w:cs="Times New Roman" w:eastAsia="Times New Roman" w:hAnsi="Times New Roman"/>
          <w:sz w:val="15"/>
          <w:szCs w:val="15"/>
          <w:b w:val="1"/>
          <w:bCs w:val="1"/>
          <w:i w:val="1"/>
          <w:iCs w:val="1"/>
          <w:color w:val="auto"/>
        </w:rPr>
        <w:t>DGCL</w:t>
      </w:r>
      <w:r>
        <w:rPr>
          <w:rFonts w:ascii="Times New Roman" w:cs="Times New Roman" w:eastAsia="Times New Roman" w:hAnsi="Times New Roman"/>
          <w:sz w:val="15"/>
          <w:szCs w:val="15"/>
          <w:color w:val="auto"/>
        </w:rPr>
        <w:t>”) and the bylaws of the Company, consent to and approve the following resolutions and each and every action effected thereby: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Approval of the Business Combination Agreement and Related Agreements</w:t>
      </w:r>
    </w:p>
    <w:p>
      <w:pPr>
        <w:spacing w:after="0" w:line="180"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Board of Directors of the Company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has determined that it is advisable, fair to, and in the best interests of, the Company and its Stockholders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Company to enter into that certain Business Combination Agreement, in the form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xml:space="preserve"> (together with all the schedules, exhibits and attachments thereto, the “</w:t>
      </w:r>
      <w:r>
        <w:rPr>
          <w:rFonts w:ascii="Times New Roman" w:cs="Times New Roman" w:eastAsia="Times New Roman" w:hAnsi="Times New Roman"/>
          <w:sz w:val="15"/>
          <w:szCs w:val="15"/>
          <w:b w:val="1"/>
          <w:bCs w:val="1"/>
          <w:i w:val="1"/>
          <w:iCs w:val="1"/>
          <w:color w:val="auto"/>
        </w:rPr>
        <w:t>Business Combination Agreement</w:t>
      </w:r>
      <w:r>
        <w:rPr>
          <w:rFonts w:ascii="Times New Roman" w:cs="Times New Roman" w:eastAsia="Times New Roman" w:hAnsi="Times New Roman"/>
          <w:sz w:val="15"/>
          <w:szCs w:val="15"/>
          <w:color w:val="auto"/>
        </w:rPr>
        <w:t>”), by and among ARYA Sciences Acquisition Corp III, a blank check company incorporated in the Cayman Islands with limited liability as an exempted company (“</w:t>
      </w:r>
      <w:r>
        <w:rPr>
          <w:rFonts w:ascii="Times New Roman" w:cs="Times New Roman" w:eastAsia="Times New Roman" w:hAnsi="Times New Roman"/>
          <w:sz w:val="15"/>
          <w:szCs w:val="15"/>
          <w:b w:val="1"/>
          <w:bCs w:val="1"/>
          <w:i w:val="1"/>
          <w:iCs w:val="1"/>
          <w:color w:val="auto"/>
        </w:rPr>
        <w:t>ARYA</w:t>
      </w:r>
      <w:r>
        <w:rPr>
          <w:rFonts w:ascii="Times New Roman" w:cs="Times New Roman" w:eastAsia="Times New Roman" w:hAnsi="Times New Roman"/>
          <w:sz w:val="15"/>
          <w:szCs w:val="15"/>
          <w:color w:val="auto"/>
        </w:rPr>
        <w:t>”), Mako Merger Sub, Inc., a Delaware corporation and wholly owned subsidiary of ARYA (“</w:t>
      </w:r>
      <w:r>
        <w:rPr>
          <w:rFonts w:ascii="Times New Roman" w:cs="Times New Roman" w:eastAsia="Times New Roman" w:hAnsi="Times New Roman"/>
          <w:sz w:val="15"/>
          <w:szCs w:val="15"/>
          <w:b w:val="1"/>
          <w:bCs w:val="1"/>
          <w:i w:val="1"/>
          <w:iCs w:val="1"/>
          <w:color w:val="auto"/>
        </w:rPr>
        <w:t>Merger Sub</w:t>
      </w:r>
      <w:r>
        <w:rPr>
          <w:rFonts w:ascii="Times New Roman" w:cs="Times New Roman" w:eastAsia="Times New Roman" w:hAnsi="Times New Roman"/>
          <w:sz w:val="15"/>
          <w:szCs w:val="15"/>
          <w:color w:val="auto"/>
        </w:rPr>
        <w:t>”) and the Company, pursuant to which Merger Sub will merge with and into the Company with the Company surviving as a wholly owned subsidiary of ARYA (the entire transaction, the “</w:t>
      </w:r>
      <w:r>
        <w:rPr>
          <w:rFonts w:ascii="Times New Roman" w:cs="Times New Roman" w:eastAsia="Times New Roman" w:hAnsi="Times New Roman"/>
          <w:sz w:val="15"/>
          <w:szCs w:val="15"/>
          <w:b w:val="1"/>
          <w:bCs w:val="1"/>
          <w:i w:val="1"/>
          <w:iCs w:val="1"/>
          <w:color w:val="auto"/>
        </w:rPr>
        <w:t>Merger</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capitalized terms used herein and not otherwise defined shall have the meaning assigned to them in the Business Combination Agreement;</w:t>
      </w:r>
    </w:p>
    <w:p>
      <w:pPr>
        <w:spacing w:after="0" w:line="182" w:lineRule="exact"/>
        <w:rPr>
          <w:sz w:val="20"/>
          <w:szCs w:val="20"/>
          <w:color w:val="auto"/>
        </w:rPr>
      </w:pPr>
    </w:p>
    <w:p>
      <w:pPr>
        <w:jc w:val="both"/>
        <w:ind w:firstLine="532"/>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the Board has approved and declared the transactions contemplated by the Business Combination Agreement, including the Merger, to be advisable, fair to, and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best interests of the Company and the Stockholders of the Company and has recommended that the Stockholders of the Company adopt the Business Combination Agreement and approve the transactions contemplated thereby, including the Merger;</w:t>
      </w:r>
    </w:p>
    <w:p>
      <w:pPr>
        <w:spacing w:after="0" w:line="147"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2.1(b)(vii)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at the Effective Time each Company Share (other than Company Shares cancelled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extinguished pursuant to Section 2.1(b)(viii) of the Business Combination Agreement and any Company Dissenting Shares) issued and outstanding as of immediately prior to the Effective Time shall be automatically canceled and extinguished and converted into the right to receive a number of ARYA Shares equal to the Exchange Ratio, in accordance with the terms of the Business Combination Agreement;</w:t>
      </w:r>
    </w:p>
    <w:p>
      <w:pPr>
        <w:spacing w:after="0" w:line="151" w:lineRule="exact"/>
        <w:rPr>
          <w:sz w:val="20"/>
          <w:szCs w:val="20"/>
          <w:color w:val="auto"/>
        </w:rPr>
      </w:pPr>
    </w:p>
    <w:p>
      <w:pPr>
        <w:jc w:val="both"/>
        <w:ind w:firstLine="532"/>
        <w:spacing w:after="0" w:line="254"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2.4(a)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at the Effective Time, each Company Option that is outstanding immediately prior to the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Time, whether vested or unvested shall be assumed by ARYA and converted into an option to purchase a number of ARYA Shares equal to the product (rounded down to the nearest whole number) of (x) the number of Company Common Shares subject to such Company Option immediately prior to the Effective Time, </w:t>
      </w:r>
      <w:r>
        <w:rPr>
          <w:rFonts w:ascii="Times New Roman" w:cs="Times New Roman" w:eastAsia="Times New Roman" w:hAnsi="Times New Roman"/>
          <w:sz w:val="15"/>
          <w:szCs w:val="15"/>
          <w:u w:val="single" w:color="auto"/>
          <w:color w:val="auto"/>
        </w:rPr>
        <w:t>multiplied</w:t>
      </w:r>
      <w:r>
        <w:rPr>
          <w:rFonts w:ascii="Times New Roman" w:cs="Times New Roman" w:eastAsia="Times New Roman" w:hAnsi="Times New Roman"/>
          <w:sz w:val="15"/>
          <w:szCs w:val="15"/>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Times New Roman" w:cs="Times New Roman" w:eastAsia="Times New Roman" w:hAnsi="Times New Roman"/>
          <w:sz w:val="15"/>
          <w:szCs w:val="15"/>
          <w:u w:val="single" w:color="auto"/>
          <w:color w:val="auto"/>
        </w:rPr>
        <w:t>divided</w:t>
      </w:r>
      <w:r>
        <w:rPr>
          <w:rFonts w:ascii="Times New Roman" w:cs="Times New Roman" w:eastAsia="Times New Roman" w:hAnsi="Times New Roman"/>
          <w:sz w:val="15"/>
          <w:szCs w:val="15"/>
          <w:color w:val="auto"/>
        </w:rPr>
        <w:t xml:space="preserve"> by (ii) the Exchange Ratio, in accordance with the terms of the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7157085"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7" w:right="319" w:bottom="1440" w:gutter="0" w:footer="0" w:header="0"/>
        </w:sectPr>
      </w:pPr>
    </w:p>
    <w:bookmarkStart w:id="207" w:name="page208"/>
    <w:bookmarkEnd w:id="207"/>
    <w:p>
      <w:pPr>
        <w:jc w:val="both"/>
        <w:ind w:firstLine="569"/>
        <w:spacing w:after="0" w:line="26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2.4(b)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each Company Warrant that is outstanding immediately prior to the Effective Time shall be “net”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exercised for Company Common Shares pursuant to its terms, and shall no longer be outstanding and shall automatically be cancelled, extinguished and retired and shall cease to exist, in accordance with the terms of the Business Combination Agreement;</w:t>
      </w:r>
    </w:p>
    <w:p>
      <w:pPr>
        <w:spacing w:after="0" w:line="147" w:lineRule="exact"/>
        <w:rPr>
          <w:sz w:val="20"/>
          <w:szCs w:val="20"/>
          <w:color w:val="auto"/>
        </w:rPr>
      </w:pPr>
    </w:p>
    <w:p>
      <w:pPr>
        <w:jc w:val="both"/>
        <w:ind w:firstLine="532"/>
        <w:spacing w:after="0" w:line="27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undersigned Stockholders are aware of the material facts related to the Business Combination Agreement and the transactions contemplated thereby, including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Merger, and have had adequate opportunity to ask questions regarding the Merger; and</w:t>
      </w:r>
    </w:p>
    <w:p>
      <w:pPr>
        <w:spacing w:after="0" w:line="13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Article V, Section 6(a)(i)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amended and restated certificate of incorporation of the Company (the “</w:t>
      </w:r>
      <w:r>
        <w:rPr>
          <w:rFonts w:ascii="Times New Roman" w:cs="Times New Roman" w:eastAsia="Times New Roman" w:hAnsi="Times New Roman"/>
          <w:sz w:val="15"/>
          <w:szCs w:val="15"/>
          <w:b w:val="1"/>
          <w:bCs w:val="1"/>
          <w:i w:val="1"/>
          <w:iCs w:val="1"/>
          <w:color w:val="auto"/>
        </w:rPr>
        <w:t>Current Certificate</w:t>
      </w:r>
      <w:r>
        <w:rPr>
          <w:rFonts w:ascii="Times New Roman" w:cs="Times New Roman" w:eastAsia="Times New Roman" w:hAnsi="Times New Roman"/>
          <w:sz w:val="15"/>
          <w:szCs w:val="15"/>
          <w:color w:val="auto"/>
        </w:rPr>
        <w:t>”) provides that the Company, without first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obtaining the approval of the majority of holders of Preferred Stock, voting as a singles class on an as-converted basis (the “</w:t>
      </w:r>
      <w:r>
        <w:rPr>
          <w:rFonts w:ascii="Times New Roman" w:cs="Times New Roman" w:eastAsia="Times New Roman" w:hAnsi="Times New Roman"/>
          <w:sz w:val="15"/>
          <w:szCs w:val="15"/>
          <w:b w:val="1"/>
          <w:bCs w:val="1"/>
          <w:i w:val="1"/>
          <w:iCs w:val="1"/>
          <w:color w:val="auto"/>
        </w:rPr>
        <w:t>Requisite Investors</w:t>
      </w:r>
      <w:r>
        <w:rPr>
          <w:rFonts w:ascii="Times New Roman" w:cs="Times New Roman" w:eastAsia="Times New Roman" w:hAnsi="Times New Roman"/>
          <w:sz w:val="15"/>
          <w:szCs w:val="15"/>
          <w:color w:val="auto"/>
        </w:rPr>
        <w:t>”), shall not, among other things, amend, alter or repeal any provision of the Current Certificate, or bylaws of the Company whether by merger or otherwise.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undersigned Stockholders represent the Requisite Investors.</w:t>
      </w:r>
    </w:p>
    <w:p>
      <w:pPr>
        <w:spacing w:after="0" w:line="182"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the undersigned Stockholders of the Company, representing the Requisite Investors, do hereby adopt the Business Combination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hereby approve the principal terms of the Merger and the other transactions contemplated by the Business Combination Agreement.</w:t>
      </w:r>
    </w:p>
    <w:p>
      <w:pPr>
        <w:spacing w:after="0" w:line="136"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Stockholders have determined that the consideration payable in accordance with the terms of the Business Combination Agreement, is fair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reasonable to the Company and the Stockholders.</w:t>
      </w:r>
    </w:p>
    <w:p>
      <w:pPr>
        <w:spacing w:after="0" w:line="136"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each of the officers, be, and each hereby is, authorized, empowered, and directed for, on behalf of and in the name of the Company to (a) negotiate,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execute, deliver and file any agreements, certificates, other instruments or documents, (b) pay expenses and taxes and (c) do or cause to be done any and all such other acts and things as he may deem necessary, appropriate or advisable to effect or implement the Merger and the other transactions contemplated by the Business Combination Agreement, any such action taken by any such officer to be conclusive evidence of such determination.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Waiver of Notice Requirements</w:t>
      </w:r>
    </w:p>
    <w:p>
      <w:pPr>
        <w:spacing w:after="0" w:line="182"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each undersigned Company Stockholder hereby waives any and all notice requirements applicable to, or triggered by, the Merger, the Business Combination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the transactions contemplated thereby that are required under the Bylaws of the Company, any applicable law or any Contract between the undersigned Company Stockholder and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Waiver of Appraisal and Dissenters Rights</w:t>
      </w:r>
    </w:p>
    <w:p>
      <w:pPr>
        <w:spacing w:after="0" w:line="182" w:lineRule="exact"/>
        <w:rPr>
          <w:sz w:val="20"/>
          <w:szCs w:val="20"/>
          <w:color w:val="auto"/>
        </w:rPr>
      </w:pPr>
    </w:p>
    <w:p>
      <w:pPr>
        <w:jc w:val="both"/>
        <w:ind w:firstLine="532"/>
        <w:spacing w:after="0" w:line="254"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 Stockholder of the Company who does not vote in favor of the Merger and is in compliance with all the provisions of the DGCL concerning the right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dissenting Stockholder to demand appraisal of such shares in connection with the Merger (a “</w:t>
      </w:r>
      <w:r>
        <w:rPr>
          <w:rFonts w:ascii="Times New Roman" w:cs="Times New Roman" w:eastAsia="Times New Roman" w:hAnsi="Times New Roman"/>
          <w:sz w:val="15"/>
          <w:szCs w:val="15"/>
          <w:b w:val="1"/>
          <w:bCs w:val="1"/>
          <w:i w:val="1"/>
          <w:iCs w:val="1"/>
          <w:color w:val="auto"/>
        </w:rPr>
        <w:t>Dissenting Stockholder</w:t>
      </w:r>
      <w:r>
        <w:rPr>
          <w:rFonts w:ascii="Times New Roman" w:cs="Times New Roman" w:eastAsia="Times New Roman" w:hAnsi="Times New Roman"/>
          <w:sz w:val="15"/>
          <w:szCs w:val="15"/>
          <w:color w:val="auto"/>
        </w:rPr>
        <w:t xml:space="preserve">”) may, under certain circumstances by following procedures prescribed by Section 262 of the DGCL, excerpts of which are attached hereto as </w:t>
      </w:r>
      <w:r>
        <w:rPr>
          <w:rFonts w:ascii="Times New Roman" w:cs="Times New Roman" w:eastAsia="Times New Roman" w:hAnsi="Times New Roman"/>
          <w:sz w:val="15"/>
          <w:szCs w:val="15"/>
          <w:b w:val="1"/>
          <w:bCs w:val="1"/>
          <w:u w:val="single" w:color="auto"/>
          <w:color w:val="auto"/>
        </w:rPr>
        <w:t>Exhibit B</w:t>
      </w:r>
      <w:r>
        <w:rPr>
          <w:rFonts w:ascii="Times New Roman" w:cs="Times New Roman" w:eastAsia="Times New Roman" w:hAnsi="Times New Roman"/>
          <w:sz w:val="15"/>
          <w:szCs w:val="15"/>
          <w:color w:val="auto"/>
        </w:rPr>
        <w:t>, exercise appraisal rights under the DGCL to receive cash in an amount equal to the “fair value” of such Company Shares as to which such Stockholder has exercised such appraisal rights (such “fair value” will exclude any element of value arising from the accomplishment or expectation of the Merger);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8" w:name="page209"/>
    <w:bookmarkEnd w:id="208"/>
    <w:p>
      <w:pPr>
        <w:ind w:firstLine="569"/>
        <w:spacing w:after="0" w:line="27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 Dissenting Stockholder must follow the appropriate procedures under the DGCL, or suffer the termination or waiver of such appraisal rights or dissenters’ rights,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respectively.</w:t>
      </w:r>
    </w:p>
    <w:p>
      <w:pPr>
        <w:spacing w:after="0" w:line="136" w:lineRule="exact"/>
        <w:rPr>
          <w:sz w:val="20"/>
          <w:szCs w:val="20"/>
          <w:color w:val="auto"/>
        </w:rPr>
      </w:pPr>
    </w:p>
    <w:p>
      <w:pPr>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each undersigned Stockholder, with respect only to himself, herself or itself, hereby waives and agrees not to assert any appraisal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dissenters’ rights or any rights similar that the undersigned Stockholders may have in connection with the Merger, whether under the DGCL or other applicable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Additional Agreements and Acknowledgements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undersigned Company Stockholder understands, agrees to and acknowledges the following:</w:t>
      </w:r>
    </w:p>
    <w:p>
      <w:pPr>
        <w:spacing w:after="0" w:line="182" w:lineRule="exact"/>
        <w:rPr>
          <w:sz w:val="20"/>
          <w:szCs w:val="20"/>
          <w:color w:val="auto"/>
        </w:rPr>
      </w:pPr>
    </w:p>
    <w:p>
      <w:pPr>
        <w:ind w:firstLine="541"/>
        <w:spacing w:after="0" w:line="273" w:lineRule="auto"/>
        <w:tabs>
          <w:tab w:leader="none" w:pos="110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had the opportunity to ask representatives of the Company questions with regard to all the resolutions, agreements, consents and other provisions in this Action by Written Consent and that all such questions have been answered fully and to the satisfaction of such undersigned Company Stockholder.</w:t>
      </w:r>
    </w:p>
    <w:p>
      <w:pPr>
        <w:spacing w:after="0" w:line="140" w:lineRule="exact"/>
        <w:rPr>
          <w:rFonts w:ascii="Times New Roman" w:cs="Times New Roman" w:eastAsia="Times New Roman" w:hAnsi="Times New Roman"/>
          <w:sz w:val="15"/>
          <w:szCs w:val="15"/>
          <w:color w:val="auto"/>
        </w:rPr>
      </w:pPr>
    </w:p>
    <w:p>
      <w:pPr>
        <w:ind w:firstLine="541"/>
        <w:spacing w:after="0" w:line="273" w:lineRule="auto"/>
        <w:tabs>
          <w:tab w:leader="none" w:pos="105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had a reasonable time and opportunity to consult with such undersigned Company Stockholder’s financial, legal, tax and other advisors, if desired, before signing this Action by Written Consent.</w:t>
      </w:r>
    </w:p>
    <w:p>
      <w:pPr>
        <w:spacing w:after="0" w:line="140" w:lineRule="exact"/>
        <w:rPr>
          <w:rFonts w:ascii="Times New Roman" w:cs="Times New Roman" w:eastAsia="Times New Roman" w:hAnsi="Times New Roman"/>
          <w:sz w:val="15"/>
          <w:szCs w:val="15"/>
          <w:color w:val="auto"/>
        </w:rPr>
      </w:pPr>
    </w:p>
    <w:p>
      <w:pPr>
        <w:jc w:val="both"/>
        <w:ind w:firstLine="541"/>
        <w:spacing w:after="0" w:line="260" w:lineRule="auto"/>
        <w:tabs>
          <w:tab w:leader="none" w:pos="1172"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received and reviewed and understands, accepts, consents to, adopts, approves and ratifies the terms of the Business Combination Agreement and all schedules and exhibits thereto, the transactions contemplated by the Business Combination Agreement, and any other agreement entered into by the Company in connection with the transactions contemplated by the Business Combination Agreement.</w:t>
      </w:r>
    </w:p>
    <w:p>
      <w:pPr>
        <w:spacing w:after="0" w:line="149" w:lineRule="exact"/>
        <w:rPr>
          <w:rFonts w:ascii="Times New Roman" w:cs="Times New Roman" w:eastAsia="Times New Roman" w:hAnsi="Times New Roman"/>
          <w:sz w:val="15"/>
          <w:szCs w:val="15"/>
          <w:color w:val="auto"/>
        </w:rPr>
      </w:pPr>
    </w:p>
    <w:p>
      <w:pPr>
        <w:ind w:firstLine="541"/>
        <w:spacing w:after="0" w:line="273" w:lineRule="auto"/>
        <w:tabs>
          <w:tab w:leader="none" w:pos="106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agrees to be bound by the terms of the Business Combination Agreement and confirms that it has no objections to the terms of the Business Combination Agreement or the transactions contemplated by the Business Combination Agreement.</w:t>
      </w:r>
    </w:p>
    <w:p>
      <w:pPr>
        <w:spacing w:after="0" w:line="140" w:lineRule="exact"/>
        <w:rPr>
          <w:rFonts w:ascii="Times New Roman" w:cs="Times New Roman" w:eastAsia="Times New Roman" w:hAnsi="Times New Roman"/>
          <w:sz w:val="15"/>
          <w:szCs w:val="15"/>
          <w:color w:val="auto"/>
        </w:rPr>
      </w:pPr>
    </w:p>
    <w:p>
      <w:pPr>
        <w:ind w:firstLine="541"/>
        <w:spacing w:after="0" w:line="273" w:lineRule="auto"/>
        <w:tabs>
          <w:tab w:leader="none" w:pos="103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ARYA and Merger Sub will be relying on such undersigned Company Stockholder’s execution and delivery to the Company of this Action by Written Consent, and such undersigned Company Stockholder’s agreement to be bound by the terms hereof, in determining whether to proceed to consummate the Merger.</w:t>
      </w:r>
    </w:p>
    <w:p>
      <w:pPr>
        <w:spacing w:after="0" w:line="140" w:lineRule="exact"/>
        <w:rPr>
          <w:rFonts w:ascii="Times New Roman" w:cs="Times New Roman" w:eastAsia="Times New Roman" w:hAnsi="Times New Roman"/>
          <w:sz w:val="15"/>
          <w:szCs w:val="15"/>
          <w:color w:val="auto"/>
        </w:rPr>
      </w:pPr>
    </w:p>
    <w:p>
      <w:pPr>
        <w:jc w:val="both"/>
        <w:ind w:firstLine="541"/>
        <w:spacing w:after="0" w:line="260" w:lineRule="auto"/>
        <w:tabs>
          <w:tab w:leader="none" w:pos="113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applicable law, this Action by Written Consent shall become null and void, and shall have no effect whatsoever and the undersigned Company Stockholder shall have no liability whatsoever hereunder, without any action on the part of any person, upon termination of the Business Combination Agreement in accordance with its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Corporate Name Change</w:t>
      </w:r>
    </w:p>
    <w:p>
      <w:pPr>
        <w:spacing w:after="0" w:line="184" w:lineRule="exact"/>
        <w:rPr>
          <w:sz w:val="20"/>
          <w:szCs w:val="20"/>
          <w:color w:val="auto"/>
        </w:rPr>
      </w:pPr>
    </w:p>
    <w:p>
      <w:pPr>
        <w:jc w:val="both"/>
        <w:ind w:firstLine="532"/>
        <w:spacing w:after="0" w:line="26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in connection with the Merger and other transactions contemplated by the Business Combination Agreement, the undersigned stockholders deem it advisable and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best interest of the Company to amend the Current Certificate in connection with the closing of the Merger to change the Company’s name from “Nautilus Biotechnology, Inc.” to “Nautilus Subsidiary, Inc.” (the “</w:t>
      </w:r>
      <w:r>
        <w:rPr>
          <w:rFonts w:ascii="Times New Roman" w:cs="Times New Roman" w:eastAsia="Times New Roman" w:hAnsi="Times New Roman"/>
          <w:sz w:val="15"/>
          <w:szCs w:val="15"/>
          <w:b w:val="1"/>
          <w:bCs w:val="1"/>
          <w:i w:val="1"/>
          <w:iCs w:val="1"/>
          <w:color w:val="auto"/>
        </w:rPr>
        <w:t>Name Change</w:t>
      </w:r>
      <w:r>
        <w:rPr>
          <w:rFonts w:ascii="Times New Roman" w:cs="Times New Roman" w:eastAsia="Times New Roman" w:hAnsi="Times New Roman"/>
          <w:sz w:val="15"/>
          <w:szCs w:val="15"/>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9" w:name="page210"/>
    <w:bookmarkEnd w:id="209"/>
    <w:p>
      <w:pPr>
        <w:ind w:left="540"/>
        <w:spacing w:after="0"/>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the undersigned stockholders hereby approve the Name Change.</w:t>
      </w:r>
    </w:p>
    <w:p>
      <w:pPr>
        <w:spacing w:after="0" w:line="182"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appropriate officers of the Company are authorized and directed to take whatever steps may be necessary or desirable in consultation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counsel to carry out the above resolution, including the execution and filing of an amendment to the Current Certificate with the Delaware Secretary of State to effect the Name Change.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General Resolutions</w:t>
      </w:r>
    </w:p>
    <w:p>
      <w:pPr>
        <w:spacing w:after="0" w:line="182"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all actions previously taken by the Company that are approved by the resolutions set forth in this Action by Written Consent are hereby ratified, confirmed,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approved and adopted.</w:t>
      </w:r>
    </w:p>
    <w:p>
      <w:pPr>
        <w:spacing w:after="0" w:line="136"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Company is hereby authorized to do or cause to be done any and all such further acts and to do all things necessary or desirable, in its sole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discretion, to otherwise carry out the purposes and intent of the resolutions in this Action by Written Consent.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0" w:name="page211"/>
    <w:bookmarkEnd w:id="210"/>
    <w:p>
      <w:pPr>
        <w:jc w:val="both"/>
        <w:ind w:firstLine="567"/>
        <w:spacing w:after="0" w:line="255" w:lineRule="auto"/>
        <w:rPr>
          <w:sz w:val="20"/>
          <w:szCs w:val="20"/>
          <w:color w:val="auto"/>
        </w:rPr>
      </w:pPr>
      <w:r>
        <w:rPr>
          <w:rFonts w:ascii="Times New Roman" w:cs="Times New Roman" w:eastAsia="Times New Roman" w:hAnsi="Times New Roman"/>
          <w:sz w:val="15"/>
          <w:szCs w:val="15"/>
          <w:color w:val="auto"/>
        </w:rPr>
        <w:t>This Action by Written Consent may be executed in any number of counterparts, each of which shall constitute an original and all of which together shall constitute one action. Any copy, facsimile or other reliable reproduction of this Action by Written Consent may be substituted or used in lieu of the original writing for any and all purposes for which the original writing could be used, provided that such copy, facsimile or other reproduction is a complete reproduction of the entire original writing. This Action by Written Consent shall be filed with the minutes of the proceedings of the Stockholders of the Company.</w:t>
      </w:r>
    </w:p>
    <w:p>
      <w:pPr>
        <w:spacing w:after="0" w:line="330"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20955</wp:posOffset>
            </wp:positionV>
            <wp:extent cx="2359660"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59660" cy="13970"/>
                    </a:xfrm>
                    <a:prstGeom prst="rect">
                      <a:avLst/>
                    </a:prstGeom>
                    <a:noFill/>
                  </pic:spPr>
                </pic:pic>
              </a:graphicData>
            </a:graphic>
          </wp:anchor>
        </w:drawing>
      </w:r>
    </w:p>
    <w:p>
      <w:pPr>
        <w:spacing w:after="0" w:line="19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-106680</wp:posOffset>
            </wp:positionV>
            <wp:extent cx="2359660"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59660" cy="1397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 Combination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40640</wp:posOffset>
            </wp:positionV>
            <wp:extent cx="715708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2" w:name="page213"/>
    <w:bookmarkEnd w:id="212"/>
    <w:p>
      <w:pPr>
        <w:jc w:val="center"/>
        <w:ind w:right="-39"/>
        <w:spacing w:after="0"/>
        <w:rPr>
          <w:sz w:val="20"/>
          <w:szCs w:val="20"/>
          <w:color w:val="auto"/>
        </w:rPr>
      </w:pPr>
      <w:r>
        <w:rPr>
          <w:rFonts w:ascii="Times New Roman" w:cs="Times New Roman" w:eastAsia="Times New Roman" w:hAnsi="Times New Roman"/>
          <w:sz w:val="15"/>
          <w:szCs w:val="15"/>
          <w:b w:val="1"/>
          <w:bCs w:val="1"/>
          <w:u w:val="single" w:color="auto"/>
          <w:color w:val="auto"/>
        </w:rPr>
        <w:t>Exhibit B</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General Company Law of the State of Delaware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262. Appraisal Rights.</w:t>
      </w:r>
    </w:p>
    <w:p>
      <w:pPr>
        <w:spacing w:after="0" w:line="184" w:lineRule="exact"/>
        <w:rPr>
          <w:sz w:val="20"/>
          <w:szCs w:val="20"/>
          <w:color w:val="auto"/>
        </w:rPr>
      </w:pPr>
    </w:p>
    <w:p>
      <w:pPr>
        <w:jc w:val="both"/>
        <w:ind w:firstLine="9"/>
        <w:spacing w:after="0" w:line="252" w:lineRule="auto"/>
        <w:tabs>
          <w:tab w:leader="none" w:pos="204"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55" w:lineRule="exact"/>
        <w:rPr>
          <w:rFonts w:ascii="Times New Roman" w:cs="Times New Roman" w:eastAsia="Times New Roman" w:hAnsi="Times New Roman"/>
          <w:sz w:val="15"/>
          <w:szCs w:val="15"/>
          <w:color w:val="auto"/>
        </w:rPr>
      </w:pPr>
    </w:p>
    <w:p>
      <w:pPr>
        <w:ind w:firstLine="9"/>
        <w:spacing w:after="0" w:line="273" w:lineRule="auto"/>
        <w:tabs>
          <w:tab w:leader="none" w:pos="22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40" w:lineRule="exact"/>
        <w:rPr>
          <w:sz w:val="20"/>
          <w:szCs w:val="20"/>
          <w:color w:val="auto"/>
        </w:rPr>
      </w:pPr>
    </w:p>
    <w:p>
      <w:pPr>
        <w:jc w:val="both"/>
        <w:ind w:firstLine="9"/>
        <w:spacing w:after="0" w:line="253" w:lineRule="auto"/>
        <w:tabs>
          <w:tab w:leader="none" w:pos="21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55" w:lineRule="exact"/>
        <w:rPr>
          <w:rFonts w:ascii="Times New Roman" w:cs="Times New Roman" w:eastAsia="Times New Roman" w:hAnsi="Times New Roman"/>
          <w:sz w:val="15"/>
          <w:szCs w:val="15"/>
          <w:color w:val="auto"/>
        </w:rPr>
      </w:pPr>
    </w:p>
    <w:p>
      <w:pPr>
        <w:jc w:val="both"/>
        <w:ind w:firstLine="9"/>
        <w:spacing w:after="0" w:line="260" w:lineRule="auto"/>
        <w:tabs>
          <w:tab w:leader="none" w:pos="22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Shares of stock of the corporation surviving or resulting from such merger or consolidation, or depository receipts in respect thereof;</w:t>
      </w:r>
    </w:p>
    <w:p>
      <w:pPr>
        <w:spacing w:after="0" w:line="1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color w:val="auto"/>
        </w:rPr>
        <w:t>c. Cash in lieu of fractional shares or fractional depository receipts described in the foregoing paragraphs (b)(2)a. and b. of this section; or</w:t>
      </w:r>
    </w:p>
    <w:p>
      <w:pPr>
        <w:spacing w:after="0" w:line="1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d. Any combination of the shares of stock, depository receipts and cash in lieu of fractional shares or fractional depository receipts described in the foregoing paragraphs (b)(2)a., b. and c. of this section.</w:t>
      </w:r>
    </w:p>
    <w:p>
      <w:pPr>
        <w:spacing w:after="0" w:line="140" w:lineRule="exact"/>
        <w:rPr>
          <w:sz w:val="20"/>
          <w:szCs w:val="20"/>
          <w:color w:val="auto"/>
        </w:rPr>
      </w:pPr>
    </w:p>
    <w:p>
      <w:pPr>
        <w:ind w:firstLine="9"/>
        <w:spacing w:after="0" w:line="273" w:lineRule="auto"/>
        <w:tabs>
          <w:tab w:leader="none" w:pos="213"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40" w:lineRule="exact"/>
        <w:rPr>
          <w:rFonts w:ascii="Times New Roman" w:cs="Times New Roman" w:eastAsia="Times New Roman" w:hAnsi="Times New Roman"/>
          <w:sz w:val="15"/>
          <w:szCs w:val="15"/>
          <w:color w:val="auto"/>
        </w:rPr>
      </w:pPr>
    </w:p>
    <w:p>
      <w:pPr>
        <w:ind w:left="220" w:hanging="211"/>
        <w:spacing w:after="0"/>
        <w:tabs>
          <w:tab w:leader="none" w:pos="22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[Repealed.]</w:t>
      </w:r>
    </w:p>
    <w:p>
      <w:pPr>
        <w:spacing w:after="0" w:line="182" w:lineRule="exact"/>
        <w:rPr>
          <w:sz w:val="20"/>
          <w:szCs w:val="20"/>
          <w:color w:val="auto"/>
        </w:rPr>
      </w:pPr>
    </w:p>
    <w:p>
      <w:pPr>
        <w:jc w:val="both"/>
        <w:ind w:firstLine="9"/>
        <w:spacing w:after="0" w:line="255" w:lineRule="auto"/>
        <w:tabs>
          <w:tab w:leader="none" w:pos="209"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54" w:lineRule="exact"/>
        <w:rPr>
          <w:rFonts w:ascii="Times New Roman" w:cs="Times New Roman" w:eastAsia="Times New Roman" w:hAnsi="Times New Roman"/>
          <w:sz w:val="15"/>
          <w:szCs w:val="15"/>
          <w:color w:val="auto"/>
        </w:rPr>
      </w:pPr>
    </w:p>
    <w:p>
      <w:pPr>
        <w:ind w:left="220" w:hanging="211"/>
        <w:spacing w:after="0"/>
        <w:tabs>
          <w:tab w:leader="none" w:pos="22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Appraisal rights shall be perfected as follows:</w:t>
      </w:r>
    </w:p>
    <w:p>
      <w:pPr>
        <w:spacing w:after="0" w:line="182" w:lineRule="exact"/>
        <w:rPr>
          <w:sz w:val="20"/>
          <w:szCs w:val="20"/>
          <w:color w:val="auto"/>
        </w:rPr>
      </w:pPr>
    </w:p>
    <w:p>
      <w:pPr>
        <w:ind w:left="220" w:hanging="211"/>
        <w:spacing w:after="0"/>
        <w:tabs>
          <w:tab w:leader="none" w:pos="2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proposed merger or consolidation for which appraisal rights are provided under this section is to be submitted for approval at a meeting of stockholders, the corporation, not less than</w:t>
      </w:r>
    </w:p>
    <w:p>
      <w:pPr>
        <w:spacing w:after="0" w:line="30" w:lineRule="exact"/>
        <w:rPr>
          <w:rFonts w:ascii="Times New Roman" w:cs="Times New Roman" w:eastAsia="Times New Roman" w:hAnsi="Times New Roman"/>
          <w:sz w:val="14"/>
          <w:szCs w:val="14"/>
          <w:color w:val="auto"/>
        </w:rPr>
      </w:pPr>
    </w:p>
    <w:p>
      <w:pPr>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4" w:name="page215"/>
    <w:bookmarkEnd w:id="214"/>
    <w:p>
      <w:pPr>
        <w:jc w:val="both"/>
        <w:ind w:firstLine="9"/>
        <w:spacing w:after="0" w:line="248" w:lineRule="auto"/>
        <w:tabs>
          <w:tab w:leader="none" w:pos="223"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63" w:lineRule="exact"/>
        <w:rPr>
          <w:sz w:val="20"/>
          <w:szCs w:val="20"/>
          <w:color w:val="auto"/>
        </w:rPr>
      </w:pPr>
    </w:p>
    <w:p>
      <w:pPr>
        <w:jc w:val="both"/>
        <w:ind w:firstLine="9"/>
        <w:spacing w:after="0" w:line="267" w:lineRule="auto"/>
        <w:tabs>
          <w:tab w:leader="none" w:pos="211"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w:t>
      </w:r>
    </w:p>
    <w:p>
      <w:pPr>
        <w:spacing w:after="0" w:line="1" w:lineRule="exact"/>
        <w:rPr>
          <w:rFonts w:ascii="Times New Roman" w:cs="Times New Roman" w:eastAsia="Times New Roman" w:hAnsi="Times New Roman"/>
          <w:sz w:val="14"/>
          <w:szCs w:val="14"/>
          <w:color w:val="auto"/>
        </w:rPr>
      </w:pPr>
    </w:p>
    <w:p>
      <w:pPr>
        <w:jc w:val="both"/>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5" w:name="page216"/>
    <w:bookmarkEnd w:id="215"/>
    <w:p>
      <w:pPr>
        <w:jc w:val="both"/>
        <w:ind w:firstLine="9"/>
        <w:spacing w:after="0" w:line="272" w:lineRule="auto"/>
        <w:tabs>
          <w:tab w:leader="none" w:pos="186"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42" w:lineRule="exact"/>
        <w:rPr>
          <w:rFonts w:ascii="Times New Roman" w:cs="Times New Roman" w:eastAsia="Times New Roman" w:hAnsi="Times New Roman"/>
          <w:sz w:val="14"/>
          <w:szCs w:val="14"/>
          <w:color w:val="auto"/>
        </w:rPr>
      </w:pPr>
    </w:p>
    <w:p>
      <w:pPr>
        <w:jc w:val="both"/>
        <w:ind w:firstLine="9"/>
        <w:spacing w:after="0" w:line="251" w:lineRule="auto"/>
        <w:tabs>
          <w:tab w:leader="none" w:pos="213"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57" w:lineRule="exact"/>
        <w:rPr>
          <w:rFonts w:ascii="Times New Roman" w:cs="Times New Roman" w:eastAsia="Times New Roman" w:hAnsi="Times New Roman"/>
          <w:sz w:val="15"/>
          <w:szCs w:val="15"/>
          <w:color w:val="auto"/>
        </w:rPr>
      </w:pPr>
    </w:p>
    <w:p>
      <w:pPr>
        <w:jc w:val="both"/>
        <w:ind w:firstLine="9"/>
        <w:spacing w:after="0" w:line="249" w:lineRule="auto"/>
        <w:tabs>
          <w:tab w:leader="none" w:pos="21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6" w:name="page217"/>
    <w:bookmarkEnd w:id="216"/>
    <w:p>
      <w:pPr>
        <w:jc w:val="both"/>
        <w:ind w:firstLine="9"/>
        <w:spacing w:after="0" w:line="255" w:lineRule="auto"/>
        <w:tabs>
          <w:tab w:leader="none" w:pos="179"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54" w:lineRule="exact"/>
        <w:rPr>
          <w:rFonts w:ascii="Times New Roman" w:cs="Times New Roman" w:eastAsia="Times New Roman" w:hAnsi="Times New Roman"/>
          <w:sz w:val="15"/>
          <w:szCs w:val="15"/>
          <w:color w:val="auto"/>
        </w:rPr>
      </w:pPr>
    </w:p>
    <w:p>
      <w:pPr>
        <w:jc w:val="both"/>
        <w:ind w:firstLine="9"/>
        <w:spacing w:after="0" w:line="260" w:lineRule="auto"/>
        <w:tabs>
          <w:tab w:leader="none" w:pos="18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49" w:lineRule="exact"/>
        <w:rPr>
          <w:rFonts w:ascii="Times New Roman" w:cs="Times New Roman" w:eastAsia="Times New Roman" w:hAnsi="Times New Roman"/>
          <w:sz w:val="15"/>
          <w:szCs w:val="15"/>
          <w:color w:val="auto"/>
        </w:rPr>
      </w:pPr>
    </w:p>
    <w:p>
      <w:pPr>
        <w:jc w:val="both"/>
        <w:ind w:firstLine="9"/>
        <w:spacing w:after="0" w:line="250" w:lineRule="auto"/>
        <w:tabs>
          <w:tab w:leader="none" w:pos="216"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57" w:lineRule="exact"/>
        <w:rPr>
          <w:rFonts w:ascii="Times New Roman" w:cs="Times New Roman" w:eastAsia="Times New Roman" w:hAnsi="Times New Roman"/>
          <w:sz w:val="15"/>
          <w:szCs w:val="15"/>
          <w:color w:val="auto"/>
        </w:rPr>
      </w:pPr>
    </w:p>
    <w:p>
      <w:pPr>
        <w:ind w:firstLine="9"/>
        <w:spacing w:after="0" w:line="273" w:lineRule="auto"/>
        <w:tabs>
          <w:tab w:leader="none" w:pos="182"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7" w:name="page218"/>
    <w:bookmarkEnd w:id="217"/>
    <w:p>
      <w:pPr>
        <w:jc w:val="both"/>
        <w:spacing w:after="0" w:line="276" w:lineRule="auto"/>
        <w:rPr>
          <w:sz w:val="20"/>
          <w:szCs w:val="20"/>
          <w:color w:val="auto"/>
        </w:rPr>
      </w:pPr>
      <w:r>
        <w:rPr>
          <w:rFonts w:ascii="Times New Roman" w:cs="Times New Roman" w:eastAsia="Times New Roman" w:hAnsi="Times New Roman"/>
          <w:sz w:val="14"/>
          <w:szCs w:val="14"/>
          <w:color w:val="auto"/>
        </w:rPr>
        <w:t>8 Del. C. 1953, § 262; 56 Del. Laws, c. 50; 56 Del. Laws, c. 186, § 24; 57 Del. Laws, c. 148, §§ 27-29; 59 Del. Laws, c. 106, § 12; 60 Del. Laws, c. 371, §§ 3-12; 63 Del. Laws, c. 25, § 14; 63 Del. Laws, c. 152, §§ 1, 2; 64 Del. Laws, c. 112, §§ 46-54; 66 Del. Laws, c. 136, §§ 30-32; 66 Del. Laws, c. 352, § 9; 67 Del. Laws, c. 376, §§ 19, 20; 68 Del. Laws, c. 337, §§ 3, 4; 69 Del. Laws, c. 61, § 10; 69 Del. Laws, c. 262, §§ 1-9; 70 Del. Laws, c. 79, § 16; 70 Del. Laws, c. 186, § 1; 70 Del. Laws, c. 299, §§ 2, 3; 70 Del. Laws, c. 349, § 22; 71 Del. Laws, c. 120, § 15; 71 Del. Laws, c. 339, §§ 49-52; 73 Del. Laws, c. 82, § 21; 76 Del. Laws, c. 145, §§ 11-16; 77 Del. Laws, c. 14, §§ 12, 13; 77 Del. Laws, c. 253, §§ 47-50; 77 Del. Laws, c. 290, §§ 16, 17; 79 Del. Laws, c. 72, §§ 10, 11; 79 Del. Laws, c. 122, §§ 6, 7; 80 Del. Laws, c. 265, §§ 8-11; 81 Laws 2018, ch. 354, §§ 9, 10; 82 Laws 2019, ch. 45, § 15; 82 Laws 2020, ch. 256, § 15.</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5"/>
          <w:szCs w:val="15"/>
          <w:i w:val="1"/>
          <w:iCs w:val="1"/>
          <w:color w:val="auto"/>
        </w:rPr>
        <w:t>(Execution)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1" w:lineRule="exact"/>
        <w:rPr>
          <w:sz w:val="20"/>
          <w:szCs w:val="20"/>
          <w:color w:val="auto"/>
        </w:rPr>
      </w:pPr>
    </w:p>
    <w:p>
      <w:pPr>
        <w:ind w:left="1080" w:hanging="539"/>
        <w:spacing w:after="0"/>
        <w:tabs>
          <w:tab w:leader="none" w:pos="1080"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Purposes of the Plan</w:t>
      </w:r>
      <w:r>
        <w:rPr>
          <w:rFonts w:ascii="Times New Roman" w:cs="Times New Roman" w:eastAsia="Times New Roman" w:hAnsi="Times New Roman"/>
          <w:sz w:val="15"/>
          <w:szCs w:val="15"/>
          <w:color w:val="auto"/>
        </w:rPr>
        <w:t>. The purposes of this Plan are:</w:t>
      </w:r>
    </w:p>
    <w:p>
      <w:pPr>
        <w:spacing w:after="0" w:line="206"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attract and retain the best available personnel for positions of substantial responsibility,</w:t>
      </w:r>
    </w:p>
    <w:p>
      <w:pPr>
        <w:spacing w:after="0" w:line="20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additional incentive to Employees, Directors and Consultants, and</w:t>
      </w:r>
    </w:p>
    <w:p>
      <w:pPr>
        <w:spacing w:after="0" w:line="20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promote the success of the Company’s business.</w:t>
      </w:r>
    </w:p>
    <w:p>
      <w:pPr>
        <w:spacing w:after="0" w:line="196" w:lineRule="exact"/>
        <w:rPr>
          <w:sz w:val="20"/>
          <w:szCs w:val="20"/>
          <w:color w:val="auto"/>
        </w:rPr>
      </w:pPr>
    </w:p>
    <w:p>
      <w:pPr>
        <w:ind w:firstLine="1065"/>
        <w:spacing w:after="0" w:line="260"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7" w:lineRule="exact"/>
        <w:rPr>
          <w:sz w:val="20"/>
          <w:szCs w:val="20"/>
          <w:color w:val="auto"/>
        </w:rPr>
      </w:pPr>
    </w:p>
    <w:p>
      <w:pPr>
        <w:ind w:left="1080" w:hanging="539"/>
        <w:spacing w:after="0"/>
        <w:tabs>
          <w:tab w:leader="none" w:pos="108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As used herein, the following definitions will apply:</w:t>
      </w:r>
    </w:p>
    <w:p>
      <w:pPr>
        <w:spacing w:after="0" w:line="196"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7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64"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4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92"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192" w:lineRule="exact"/>
        <w:rPr>
          <w:sz w:val="20"/>
          <w:szCs w:val="20"/>
          <w:color w:val="auto"/>
        </w:rPr>
      </w:pPr>
    </w:p>
    <w:p>
      <w:pPr>
        <w:jc w:val="both"/>
        <w:ind w:firstLine="1606"/>
        <w:spacing w:after="0" w:line="234" w:lineRule="auto"/>
        <w:tabs>
          <w:tab w:leader="none" w:pos="228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157085"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9" w:name="page220"/>
    <w:bookmarkEnd w:id="219"/>
    <w:p>
      <w:pPr>
        <w:jc w:val="both"/>
        <w:ind w:firstLine="1606"/>
        <w:spacing w:after="0" w:line="239" w:lineRule="auto"/>
        <w:tabs>
          <w:tab w:leader="none" w:pos="228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8" w:lineRule="exact"/>
        <w:rPr>
          <w:rFonts w:ascii="Times New Roman" w:cs="Times New Roman" w:eastAsia="Times New Roman" w:hAnsi="Times New Roman"/>
          <w:sz w:val="18"/>
          <w:szCs w:val="18"/>
          <w:color w:val="auto"/>
        </w:rPr>
      </w:pPr>
    </w:p>
    <w:p>
      <w:pPr>
        <w:jc w:val="both"/>
        <w:ind w:firstLine="1606"/>
        <w:spacing w:after="0" w:line="234" w:lineRule="auto"/>
        <w:tabs>
          <w:tab w:leader="none" w:pos="239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6"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51"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0" w:name="page221"/>
    <w:bookmarkEnd w:id="220"/>
    <w:p>
      <w:pPr>
        <w:jc w:val="both"/>
        <w:ind w:firstLine="1597"/>
        <w:spacing w:after="0" w:line="245"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6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4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60"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67"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of the consummation of the merger by and between the Company,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and certain other parties, pursuant to that certain Business Combination Agreement dated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5" w:lineRule="exact"/>
        <w:rPr>
          <w:sz w:val="20"/>
          <w:szCs w:val="20"/>
          <w:color w:val="auto"/>
        </w:rPr>
      </w:pPr>
    </w:p>
    <w:p>
      <w:pPr>
        <w:ind w:left="1080"/>
        <w:spacing w:after="0"/>
        <w:tabs>
          <w:tab w:leader="none" w:pos="18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1" w:name="page222"/>
    <w:bookmarkEnd w:id="221"/>
    <w:p>
      <w:pPr>
        <w:jc w:val="both"/>
        <w:ind w:firstLine="1117"/>
        <w:spacing w:after="0" w:line="24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47" w:lineRule="exact"/>
        <w:rPr>
          <w:sz w:val="20"/>
          <w:szCs w:val="20"/>
          <w:color w:val="auto"/>
        </w:rPr>
      </w:pPr>
    </w:p>
    <w:p>
      <w:pPr>
        <w:jc w:val="both"/>
        <w:ind w:firstLine="1606"/>
        <w:spacing w:after="0" w:line="239" w:lineRule="auto"/>
        <w:tabs>
          <w:tab w:leader="none" w:pos="226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67" w:lineRule="exact"/>
        <w:rPr>
          <w:rFonts w:ascii="Times New Roman" w:cs="Times New Roman" w:eastAsia="Times New Roman" w:hAnsi="Times New Roman"/>
          <w:sz w:val="18"/>
          <w:szCs w:val="18"/>
          <w:color w:val="auto"/>
        </w:rPr>
      </w:pPr>
    </w:p>
    <w:p>
      <w:pPr>
        <w:jc w:val="both"/>
        <w:ind w:firstLine="1606"/>
        <w:spacing w:after="0" w:line="241" w:lineRule="auto"/>
        <w:tabs>
          <w:tab w:leader="none" w:pos="229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66" w:lineRule="exact"/>
        <w:rPr>
          <w:rFonts w:ascii="Times New Roman" w:cs="Times New Roman" w:eastAsia="Times New Roman" w:hAnsi="Times New Roman"/>
          <w:sz w:val="18"/>
          <w:szCs w:val="18"/>
          <w:color w:val="auto"/>
        </w:rPr>
      </w:pPr>
    </w:p>
    <w:p>
      <w:pPr>
        <w:ind w:left="2280" w:hanging="674"/>
        <w:spacing w:after="0"/>
        <w:tabs>
          <w:tab w:leader="none" w:pos="228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6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fiscal year of the Company.</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45"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 Director</w:t>
      </w:r>
      <w:r>
        <w:rPr>
          <w:rFonts w:ascii="Times New Roman" w:cs="Times New Roman" w:eastAsia="Times New Roman" w:hAnsi="Times New Roman"/>
          <w:sz w:val="17"/>
          <w:szCs w:val="17"/>
          <w:color w:val="auto"/>
        </w:rPr>
        <w:t>” means a Director who is an Employee.</w:t>
      </w:r>
    </w:p>
    <w:p>
      <w:pPr>
        <w:spacing w:after="0" w:line="192" w:lineRule="exact"/>
        <w:rPr>
          <w:sz w:val="20"/>
          <w:szCs w:val="20"/>
          <w:color w:val="auto"/>
        </w:rPr>
      </w:pPr>
    </w:p>
    <w:p>
      <w:pPr>
        <w:ind w:left="1080"/>
        <w:spacing w:after="0"/>
        <w:tabs>
          <w:tab w:leader="none" w:pos="17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Nonstatutory Stock Option</w:t>
      </w:r>
      <w:r>
        <w:rPr>
          <w:rFonts w:ascii="Times New Roman" w:cs="Times New Roman" w:eastAsia="Times New Roman" w:hAnsi="Times New Roman"/>
          <w:sz w:val="17"/>
          <w:szCs w:val="17"/>
          <w:color w:val="auto"/>
        </w:rPr>
        <w:t>” means an Option that by its terms does not qualify or is not intended to qualify as an Incentive 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2" w:name="page223"/>
    <w:bookmarkEnd w:id="222"/>
    <w:p>
      <w:pPr>
        <w:jc w:val="both"/>
        <w:ind w:firstLine="1065"/>
        <w:spacing w:after="0" w:line="264"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45"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 stock option granted pursuant to the Plan.</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means a Director who is not an Employee.</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Code Section 424(e).</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holder of an outstanding Award.</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0"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Performance Period as defined in Section 10.1.</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6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2021 Equity Incentive Plan, as may be amended from time to time.</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30" w:lineRule="exact"/>
        <w:rPr>
          <w:sz w:val="20"/>
          <w:szCs w:val="20"/>
          <w:color w:val="auto"/>
        </w:rPr>
      </w:pPr>
    </w:p>
    <w:p>
      <w:pPr>
        <w:jc w:val="both"/>
        <w:ind w:firstLine="1065"/>
        <w:spacing w:after="0" w:line="230" w:lineRule="exact"/>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Rule 16b</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means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Exchange Act or any successor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as in effect when discretion is being exercised with respect to the Plan.</w:t>
      </w:r>
    </w:p>
    <w:p>
      <w:pPr>
        <w:spacing w:after="0" w:line="167"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16b</w:t>
      </w:r>
      <w:r>
        <w:rPr>
          <w:rFonts w:ascii="Times New Roman" w:cs="Times New Roman" w:eastAsia="Times New Roman" w:hAnsi="Times New Roman"/>
          <w:sz w:val="17"/>
          <w:szCs w:val="17"/>
          <w:color w:val="auto"/>
        </w:rPr>
        <w:t>” means Section 16(b) of the Exchange Act.</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45" w:lineRule="exact"/>
        <w:rPr>
          <w:sz w:val="20"/>
          <w:szCs w:val="20"/>
          <w:color w:val="auto"/>
        </w:rPr>
      </w:pPr>
    </w:p>
    <w:p>
      <w:pPr>
        <w:ind w:left="1080"/>
        <w:spacing w:after="0"/>
        <w:tabs>
          <w:tab w:leader="none" w:pos="1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3" w:name="page224"/>
    <w:bookmarkEnd w:id="223"/>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 of the Plan.</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4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exist-ing, as defined in Code Section 424(f).</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120" w:hanging="579"/>
        <w:spacing w:after="0"/>
        <w:tabs>
          <w:tab w:leader="none" w:pos="11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1065"/>
        <w:spacing w:after="0" w:line="25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Stock Subject to the Plan</w:t>
      </w:r>
      <w:r>
        <w:rPr>
          <w:rFonts w:ascii="Times New Roman" w:cs="Times New Roman" w:eastAsia="Times New Roman" w:hAnsi="Times New Roman"/>
          <w:sz w:val="17"/>
          <w:szCs w:val="17"/>
          <w:color w:val="auto"/>
        </w:rPr>
        <w:t>. Subject to adjustment upon changes in capitalization of the Company as provided in Section 15 and the automatic increase set forth in Section 3.2, the maximum aggregate number of Shares that may be subject to Awards and sold under the Plan will be equal to</w:t>
      </w:r>
    </w:p>
    <w:p>
      <w:pPr>
        <w:spacing w:after="0" w:line="1" w:lineRule="exact"/>
        <w:rPr>
          <w:sz w:val="20"/>
          <w:szCs w:val="20"/>
          <w:color w:val="auto"/>
        </w:rPr>
      </w:pPr>
    </w:p>
    <w:p>
      <w:pPr>
        <w:jc w:val="both"/>
        <w:ind w:firstLine="9"/>
        <w:spacing w:after="0" w:line="234"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16,182,600 Shares1, plus (b) any shares of the Company’s common stock subject to stock options or other awards that are assumed in the Merger (“</w:t>
      </w:r>
      <w:r>
        <w:rPr>
          <w:rFonts w:ascii="Times New Roman" w:cs="Times New Roman" w:eastAsia="Times New Roman" w:hAnsi="Times New Roman"/>
          <w:sz w:val="18"/>
          <w:szCs w:val="18"/>
          <w:b w:val="1"/>
          <w:bCs w:val="1"/>
          <w:color w:val="auto"/>
        </w:rPr>
        <w:t>Assumed Awards</w:t>
      </w:r>
      <w:r>
        <w:rPr>
          <w:rFonts w:ascii="Times New Roman" w:cs="Times New Roman" w:eastAsia="Times New Roman" w:hAnsi="Times New Roman"/>
          <w:sz w:val="18"/>
          <w:szCs w:val="18"/>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Shares2. In addition, Shares may become available for issuance under Sections 3.2 and 3.3. The Shares may be authorized but unissued, or reacquired Common Stock.</w:t>
      </w:r>
    </w:p>
    <w:p>
      <w:pPr>
        <w:spacing w:after="0" w:line="167"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35255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1 NTD: Post-transaction number; not to be adjusted in connection with the transaction.</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2 NTD: Post-transaction number; not to be adjusted in connection with the transaction.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24" w:name="page225"/>
    <w:bookmarkEnd w:id="224"/>
    <w:p>
      <w:pPr>
        <w:jc w:val="both"/>
        <w:ind w:firstLine="1065"/>
        <w:spacing w:after="0" w:line="248"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b w:val="1"/>
          <w:bCs w:val="1"/>
          <w:color w:val="auto"/>
        </w:rPr>
        <w:t>Lapsed Awards</w:t>
      </w:r>
      <w:r>
        <w:rPr>
          <w:rFonts w:ascii="Times New Roman" w:cs="Times New Roman" w:eastAsia="Times New Roman" w:hAnsi="Times New Roman"/>
          <w:sz w:val="17"/>
          <w:szCs w:val="17"/>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68"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45" w:lineRule="exact"/>
        <w:rPr>
          <w:sz w:val="20"/>
          <w:szCs w:val="20"/>
          <w:color w:val="auto"/>
        </w:rPr>
      </w:pPr>
    </w:p>
    <w:p>
      <w:pPr>
        <w:ind w:left="1120" w:hanging="579"/>
        <w:spacing w:after="0"/>
        <w:tabs>
          <w:tab w:leader="none" w:pos="11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b w:val="1"/>
          <w:bCs w:val="1"/>
          <w:color w:val="auto"/>
        </w:rPr>
        <w:t>Procedure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1600"/>
        <w:spacing w:after="0"/>
        <w:tabs>
          <w:tab w:leader="none" w:pos="2620" w:val="left"/>
          <w:tab w:leader="none" w:pos="52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Different Committees with respect to different groups of Service Providers may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170" w:lineRule="exact"/>
        <w:rPr>
          <w:sz w:val="20"/>
          <w:szCs w:val="20"/>
          <w:color w:val="auto"/>
        </w:rPr>
      </w:pPr>
    </w:p>
    <w:p>
      <w:pPr>
        <w:ind w:firstLine="1597"/>
        <w:spacing w:after="0" w:line="26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45" w:lineRule="exact"/>
        <w:rPr>
          <w:sz w:val="20"/>
          <w:szCs w:val="20"/>
          <w:color w:val="auto"/>
        </w:rPr>
      </w:pPr>
    </w:p>
    <w:p>
      <w:pPr>
        <w:ind w:firstLine="1597"/>
        <w:spacing w:after="0" w:line="26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145" w:lineRule="exact"/>
        <w:rPr>
          <w:sz w:val="20"/>
          <w:szCs w:val="20"/>
          <w:color w:val="auto"/>
        </w:rPr>
      </w:pPr>
    </w:p>
    <w:p>
      <w:pPr>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56" w:lineRule="exact"/>
        <w:rPr>
          <w:sz w:val="20"/>
          <w:szCs w:val="20"/>
          <w:color w:val="auto"/>
        </w:rPr>
      </w:pPr>
    </w:p>
    <w:p>
      <w:pPr>
        <w:ind w:left="2140" w:hanging="534"/>
        <w:spacing w:after="0"/>
        <w:tabs>
          <w:tab w:leader="none" w:pos="214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the Fair Market Value;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5" w:name="page226"/>
    <w:bookmarkEnd w:id="225"/>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192" w:lineRule="exact"/>
        <w:rPr>
          <w:rFonts w:ascii="Times New Roman" w:cs="Times New Roman" w:eastAsia="Times New Roman" w:hAnsi="Times New Roman"/>
          <w:sz w:val="18"/>
          <w:szCs w:val="18"/>
          <w:color w:val="auto"/>
        </w:rPr>
      </w:pPr>
    </w:p>
    <w:p>
      <w:pPr>
        <w:ind w:left="2220" w:hanging="634"/>
        <w:spacing w:after="0"/>
        <w:tabs>
          <w:tab w:leader="none" w:pos="22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192" w:lineRule="exact"/>
        <w:rPr>
          <w:rFonts w:ascii="Times New Roman" w:cs="Times New Roman" w:eastAsia="Times New Roman" w:hAnsi="Times New Roman"/>
          <w:sz w:val="18"/>
          <w:szCs w:val="18"/>
          <w:color w:val="auto"/>
        </w:rPr>
      </w:pPr>
    </w:p>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92" w:lineRule="exact"/>
        <w:rPr>
          <w:rFonts w:ascii="Times New Roman" w:cs="Times New Roman" w:eastAsia="Times New Roman" w:hAnsi="Times New Roman"/>
          <w:sz w:val="18"/>
          <w:szCs w:val="18"/>
          <w:color w:val="auto"/>
        </w:rPr>
      </w:pPr>
    </w:p>
    <w:p>
      <w:pPr>
        <w:jc w:val="both"/>
        <w:ind w:left="-20" w:firstLine="1606"/>
        <w:spacing w:after="0" w:line="254" w:lineRule="auto"/>
        <w:tabs>
          <w:tab w:leader="none" w:pos="235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56" w:lineRule="exact"/>
        <w:rPr>
          <w:rFonts w:ascii="Times New Roman" w:cs="Times New Roman" w:eastAsia="Times New Roman" w:hAnsi="Times New Roman"/>
          <w:sz w:val="17"/>
          <w:szCs w:val="17"/>
          <w:color w:val="auto"/>
        </w:rPr>
      </w:pPr>
    </w:p>
    <w:p>
      <w:pPr>
        <w:ind w:left="-20" w:right="20" w:firstLine="1606"/>
        <w:spacing w:after="0" w:line="260" w:lineRule="auto"/>
        <w:tabs>
          <w:tab w:leader="none" w:pos="22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50" w:lineRule="exact"/>
        <w:rPr>
          <w:rFonts w:ascii="Times New Roman" w:cs="Times New Roman" w:eastAsia="Times New Roman" w:hAnsi="Times New Roman"/>
          <w:sz w:val="18"/>
          <w:szCs w:val="18"/>
          <w:color w:val="auto"/>
        </w:rPr>
      </w:pPr>
    </w:p>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192" w:lineRule="exact"/>
        <w:rPr>
          <w:rFonts w:ascii="Times New Roman" w:cs="Times New Roman" w:eastAsia="Times New Roman" w:hAnsi="Times New Roman"/>
          <w:sz w:val="18"/>
          <w:szCs w:val="18"/>
          <w:color w:val="auto"/>
        </w:rPr>
      </w:pPr>
    </w:p>
    <w:p>
      <w:pPr>
        <w:jc w:val="both"/>
        <w:ind w:left="-20" w:firstLine="1606"/>
        <w:spacing w:after="0" w:line="224" w:lineRule="exact"/>
        <w:tabs>
          <w:tab w:leader="none" w:pos="225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easing the administration of the Plan and/or for qualifying for favorable tax treatment under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in each case as the Administrator may deem necessary or advisable;</w:t>
      </w:r>
    </w:p>
    <w:p>
      <w:pPr>
        <w:spacing w:after="0" w:line="150" w:lineRule="exact"/>
        <w:rPr>
          <w:rFonts w:ascii="Times New Roman" w:cs="Times New Roman" w:eastAsia="Times New Roman" w:hAnsi="Times New Roman"/>
          <w:sz w:val="18"/>
          <w:szCs w:val="18"/>
          <w:color w:val="auto"/>
        </w:rPr>
      </w:pPr>
    </w:p>
    <w:p>
      <w:pPr>
        <w:jc w:val="both"/>
        <w:ind w:left="-20" w:right="20" w:firstLine="1606"/>
        <w:spacing w:after="0" w:line="290" w:lineRule="auto"/>
        <w:tabs>
          <w:tab w:leader="none" w:pos="2214"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26" w:lineRule="exact"/>
        <w:rPr>
          <w:rFonts w:ascii="Times New Roman" w:cs="Times New Roman" w:eastAsia="Times New Roman" w:hAnsi="Times New Roman"/>
          <w:sz w:val="17"/>
          <w:szCs w:val="17"/>
          <w:color w:val="auto"/>
        </w:rPr>
      </w:pPr>
    </w:p>
    <w:p>
      <w:pPr>
        <w:ind w:left="2200" w:hanging="614"/>
        <w:spacing w:after="0"/>
        <w:tabs>
          <w:tab w:leader="none" w:pos="22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16;</w:t>
      </w:r>
    </w:p>
    <w:p>
      <w:pPr>
        <w:spacing w:after="0" w:line="192" w:lineRule="exact"/>
        <w:rPr>
          <w:rFonts w:ascii="Times New Roman" w:cs="Times New Roman" w:eastAsia="Times New Roman" w:hAnsi="Times New Roman"/>
          <w:sz w:val="18"/>
          <w:szCs w:val="18"/>
          <w:color w:val="auto"/>
        </w:rPr>
      </w:pPr>
    </w:p>
    <w:p>
      <w:pPr>
        <w:ind w:left="-20" w:right="20" w:firstLine="1606"/>
        <w:spacing w:after="0" w:line="260" w:lineRule="auto"/>
        <w:tabs>
          <w:tab w:leader="none" w:pos="24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50" w:lineRule="exact"/>
        <w:rPr>
          <w:rFonts w:ascii="Times New Roman" w:cs="Times New Roman" w:eastAsia="Times New Roman" w:hAnsi="Times New Roman"/>
          <w:sz w:val="18"/>
          <w:szCs w:val="18"/>
          <w:color w:val="auto"/>
        </w:rPr>
      </w:pPr>
    </w:p>
    <w:p>
      <w:pPr>
        <w:ind w:left="-20" w:right="20" w:firstLine="1606"/>
        <w:spacing w:after="0" w:line="260" w:lineRule="auto"/>
        <w:tabs>
          <w:tab w:leader="none" w:pos="222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50" w:lineRule="exact"/>
        <w:rPr>
          <w:rFonts w:ascii="Times New Roman" w:cs="Times New Roman" w:eastAsia="Times New Roman" w:hAnsi="Times New Roman"/>
          <w:sz w:val="18"/>
          <w:szCs w:val="18"/>
          <w:color w:val="auto"/>
        </w:rPr>
      </w:pPr>
    </w:p>
    <w:p>
      <w:pPr>
        <w:ind w:left="2280" w:hanging="694"/>
        <w:spacing w:after="0"/>
        <w:tabs>
          <w:tab w:leader="none" w:pos="22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226" w:name="page227"/>
    <w:bookmarkEnd w:id="226"/>
    <w:p>
      <w:pPr>
        <w:ind w:firstLine="1065"/>
        <w:spacing w:after="0" w:line="26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45" w:lineRule="exact"/>
        <w:rPr>
          <w:sz w:val="20"/>
          <w:szCs w:val="20"/>
          <w:color w:val="auto"/>
        </w:rPr>
      </w:pPr>
    </w:p>
    <w:p>
      <w:pPr>
        <w:ind w:firstLine="541"/>
        <w:spacing w:after="0" w:line="263" w:lineRule="auto"/>
        <w:tabs>
          <w:tab w:leader="none" w:pos="11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or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15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 Options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0"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67"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7"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Option Exercise Price and Consideration</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597"/>
        <w:spacing w:after="0" w:line="237"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7" w:name="page228"/>
    <w:bookmarkEnd w:id="227"/>
    <w:p>
      <w:pPr>
        <w:jc w:val="both"/>
        <w:ind w:firstLine="1646"/>
        <w:spacing w:after="0" w:line="264"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45" w:lineRule="exact"/>
        <w:rPr>
          <w:sz w:val="20"/>
          <w:szCs w:val="20"/>
          <w:color w:val="auto"/>
        </w:rPr>
      </w:pPr>
    </w:p>
    <w:p>
      <w:pPr>
        <w:jc w:val="both"/>
        <w:ind w:firstLine="1597"/>
        <w:spacing w:after="0" w:line="235"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b w:val="1"/>
          <w:bCs w:val="1"/>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78"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6.6</w:t>
      </w:r>
      <w:r>
        <w:rPr>
          <w:sz w:val="20"/>
          <w:szCs w:val="20"/>
          <w:color w:val="auto"/>
        </w:rPr>
        <w:tab/>
      </w:r>
      <w:r>
        <w:rPr>
          <w:rFonts w:ascii="Times New Roman" w:cs="Times New Roman" w:eastAsia="Times New Roman" w:hAnsi="Times New Roman"/>
          <w:sz w:val="14"/>
          <w:szCs w:val="14"/>
          <w:b w:val="1"/>
          <w:bCs w:val="1"/>
          <w:color w:val="auto"/>
        </w:rPr>
        <w:t>Exercise of Option</w:t>
      </w:r>
      <w:r>
        <w:rPr>
          <w:rFonts w:ascii="Times New Roman" w:cs="Times New Roman" w:eastAsia="Times New Roman" w:hAnsi="Times New Roman"/>
          <w:sz w:val="14"/>
          <w:szCs w:val="14"/>
          <w:color w:val="auto"/>
        </w:rPr>
        <w:t>.</w:t>
      </w:r>
    </w:p>
    <w:p>
      <w:pPr>
        <w:spacing w:after="0" w:line="196" w:lineRule="exact"/>
        <w:rPr>
          <w:sz w:val="20"/>
          <w:szCs w:val="20"/>
          <w:color w:val="auto"/>
        </w:rPr>
      </w:pPr>
    </w:p>
    <w:p>
      <w:pPr>
        <w:jc w:val="both"/>
        <w:ind w:firstLine="1597"/>
        <w:spacing w:after="0" w:line="247"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2" w:lineRule="exact"/>
        <w:rPr>
          <w:sz w:val="20"/>
          <w:szCs w:val="20"/>
          <w:color w:val="auto"/>
        </w:rPr>
      </w:pPr>
    </w:p>
    <w:p>
      <w:pPr>
        <w:jc w:val="both"/>
        <w:ind w:firstLine="1597"/>
        <w:spacing w:after="0" w:line="235"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73" w:lineRule="exact"/>
        <w:rPr>
          <w:sz w:val="20"/>
          <w:szCs w:val="20"/>
          <w:color w:val="auto"/>
        </w:rPr>
      </w:pPr>
    </w:p>
    <w:p>
      <w:pPr>
        <w:jc w:val="both"/>
        <w:ind w:firstLine="1597"/>
        <w:spacing w:after="0" w:line="260"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8" w:name="page229"/>
    <w:bookmarkEnd w:id="228"/>
    <w:p>
      <w:pPr>
        <w:jc w:val="both"/>
        <w:ind w:firstLine="1643"/>
        <w:spacing w:after="0" w:line="236"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70" w:lineRule="exact"/>
        <w:rPr>
          <w:sz w:val="20"/>
          <w:szCs w:val="20"/>
          <w:color w:val="auto"/>
        </w:rPr>
      </w:pPr>
    </w:p>
    <w:p>
      <w:pPr>
        <w:jc w:val="both"/>
        <w:ind w:firstLine="1597"/>
        <w:spacing w:after="0" w:line="236"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spacing w:after="0" w:line="169" w:lineRule="exact"/>
        <w:rPr>
          <w:sz w:val="20"/>
          <w:szCs w:val="20"/>
          <w:color w:val="auto"/>
        </w:rPr>
      </w:pPr>
    </w:p>
    <w:p>
      <w:pPr>
        <w:jc w:val="both"/>
        <w:ind w:firstLine="1597"/>
        <w:spacing w:after="0" w:line="249" w:lineRule="auto"/>
        <w:rPr>
          <w:sz w:val="20"/>
          <w:szCs w:val="20"/>
          <w:color w:val="auto"/>
        </w:rPr>
      </w:pPr>
      <w:r>
        <w:rPr>
          <w:rFonts w:ascii="Times New Roman" w:cs="Times New Roman" w:eastAsia="Times New Roman" w:hAnsi="Times New Roman"/>
          <w:sz w:val="17"/>
          <w:szCs w:val="17"/>
          <w:color w:val="auto"/>
        </w:rPr>
        <w:t xml:space="preserve">6.6.4 </w:t>
      </w:r>
      <w:r>
        <w:rPr>
          <w:rFonts w:ascii="Times New Roman" w:cs="Times New Roman" w:eastAsia="Times New Roman" w:hAnsi="Times New Roman"/>
          <w:sz w:val="17"/>
          <w:szCs w:val="17"/>
          <w:b w:val="1"/>
          <w:bCs w:val="1"/>
          <w:color w:val="auto"/>
        </w:rPr>
        <w:t>Death of Participant</w:t>
      </w:r>
      <w:r>
        <w:rPr>
          <w:rFonts w:ascii="Times New Roman" w:cs="Times New Roman" w:eastAsia="Times New Roman" w:hAnsi="Times New Roman"/>
          <w:sz w:val="17"/>
          <w:szCs w:val="17"/>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7"/>
          <w:szCs w:val="17"/>
          <w:b w:val="1"/>
          <w:bCs w:val="1"/>
          <w:color w:val="auto"/>
        </w:rPr>
        <w:t>Legal Representative</w:t>
      </w:r>
      <w:r>
        <w:rPr>
          <w:rFonts w:ascii="Times New Roman" w:cs="Times New Roman" w:eastAsia="Times New Roman" w:hAnsi="Times New Roman"/>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9" w:name="page230"/>
    <w:bookmarkEnd w:id="229"/>
    <w:p>
      <w:pPr>
        <w:ind w:left="1600"/>
        <w:spacing w:after="0"/>
        <w:tabs>
          <w:tab w:leader="none" w:pos="2120" w:val="left"/>
        </w:tabs>
        <w:rPr>
          <w:sz w:val="20"/>
          <w:szCs w:val="20"/>
          <w:color w:val="auto"/>
        </w:rPr>
      </w:pPr>
      <w:r>
        <w:rPr>
          <w:rFonts w:ascii="Times New Roman" w:cs="Times New Roman" w:eastAsia="Times New Roman" w:hAnsi="Times New Roman"/>
          <w:sz w:val="15"/>
          <w:szCs w:val="15"/>
          <w:color w:val="auto"/>
        </w:rPr>
        <w:t>6.6.5</w:t>
      </w:r>
      <w:r>
        <w:rPr>
          <w:sz w:val="20"/>
          <w:szCs w:val="20"/>
          <w:color w:val="auto"/>
        </w:rPr>
        <w:tab/>
      </w:r>
      <w:r>
        <w:rPr>
          <w:rFonts w:ascii="Times New Roman" w:cs="Times New Roman" w:eastAsia="Times New Roman" w:hAnsi="Times New Roman"/>
          <w:sz w:val="14"/>
          <w:szCs w:val="14"/>
          <w:b w:val="1"/>
          <w:bCs w:val="1"/>
          <w:color w:val="auto"/>
        </w:rPr>
        <w:t>Tolling Expiration</w:t>
      </w:r>
      <w:r>
        <w:rPr>
          <w:rFonts w:ascii="Times New Roman" w:cs="Times New Roman" w:eastAsia="Times New Roman" w:hAnsi="Times New Roman"/>
          <w:sz w:val="14"/>
          <w:szCs w:val="14"/>
          <w:color w:val="auto"/>
        </w:rPr>
        <w:t>. A Participant’s Award Agreement may also provide that:</w:t>
      </w:r>
    </w:p>
    <w:p>
      <w:pPr>
        <w:spacing w:after="0" w:line="198" w:lineRule="exact"/>
        <w:rPr>
          <w:sz w:val="20"/>
          <w:szCs w:val="20"/>
          <w:color w:val="auto"/>
        </w:rPr>
      </w:pPr>
    </w:p>
    <w:p>
      <w:pPr>
        <w:jc w:val="both"/>
        <w:ind w:firstLine="2139"/>
        <w:spacing w:after="0" w:line="268" w:lineRule="auto"/>
        <w:tabs>
          <w:tab w:leader="none" w:pos="2847"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after the last date on which such exercise would result in liability under Section 16b; or</w:t>
      </w:r>
    </w:p>
    <w:p>
      <w:pPr>
        <w:spacing w:after="0" w:line="2" w:lineRule="exact"/>
        <w:rPr>
          <w:rFonts w:ascii="Times New Roman" w:cs="Times New Roman" w:eastAsia="Times New Roman" w:hAnsi="Times New Roman"/>
          <w:sz w:val="17"/>
          <w:szCs w:val="17"/>
          <w:color w:val="auto"/>
        </w:rPr>
      </w:pPr>
    </w:p>
    <w:p>
      <w:pPr>
        <w:jc w:val="both"/>
        <w:ind w:firstLine="2139"/>
        <w:spacing w:after="0" w:line="239" w:lineRule="auto"/>
        <w:tabs>
          <w:tab w:leader="none" w:pos="285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7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 Appreciation Rights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6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30" w:name="page231"/>
    <w:bookmarkEnd w:id="230"/>
    <w:p>
      <w:pPr>
        <w:ind w:left="2240" w:hanging="589"/>
        <w:spacing w:after="0"/>
        <w:tabs>
          <w:tab w:leader="none" w:pos="22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191" w:lineRule="exact"/>
        <w:rPr>
          <w:rFonts w:ascii="Times New Roman" w:cs="Times New Roman" w:eastAsia="Times New Roman" w:hAnsi="Times New Roman"/>
          <w:sz w:val="18"/>
          <w:szCs w:val="18"/>
          <w:color w:val="auto"/>
        </w:rPr>
      </w:pPr>
    </w:p>
    <w:p>
      <w:pPr>
        <w:ind w:left="2260" w:hanging="654"/>
        <w:spacing w:after="0"/>
        <w:tabs>
          <w:tab w:leader="none" w:pos="2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192"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57" w:lineRule="exact"/>
        <w:rPr>
          <w:sz w:val="20"/>
          <w:szCs w:val="20"/>
          <w:color w:val="auto"/>
        </w:rPr>
      </w:pPr>
    </w:p>
    <w:p>
      <w:pPr>
        <w:ind w:left="1080" w:hanging="539"/>
        <w:spacing w:after="0"/>
        <w:tabs>
          <w:tab w:leader="none" w:pos="1080" w:val="left"/>
        </w:tabs>
        <w:numPr>
          <w:ilvl w:val="0"/>
          <w:numId w:val="2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Restricted Stock</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5"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67"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1" w:name="page232"/>
    <w:bookmarkEnd w:id="231"/>
    <w:p>
      <w:pPr>
        <w:ind w:right="20" w:firstLine="1065"/>
        <w:spacing w:after="0" w:line="26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3" w:lineRule="exact"/>
        <w:rPr>
          <w:sz w:val="20"/>
          <w:szCs w:val="20"/>
          <w:color w:val="auto"/>
        </w:rPr>
      </w:pPr>
    </w:p>
    <w:p>
      <w:pPr>
        <w:ind w:left="1080" w:hanging="539"/>
        <w:spacing w:after="0"/>
        <w:tabs>
          <w:tab w:leader="none" w:pos="1080"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Restricted Stock Units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6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60"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Cancellation</w:t>
      </w:r>
      <w:r>
        <w:rPr>
          <w:rFonts w:ascii="Times New Roman" w:cs="Times New Roman" w:eastAsia="Times New Roman" w:hAnsi="Times New Roman"/>
          <w:sz w:val="17"/>
          <w:szCs w:val="17"/>
          <w:color w:val="auto"/>
        </w:rPr>
        <w:t>. On the date set forth in the Award Agreement, all unearned Restricted Stock Units will be forfeited to the Company.</w:t>
      </w:r>
    </w:p>
    <w:p>
      <w:pPr>
        <w:spacing w:after="0" w:line="201" w:lineRule="exact"/>
        <w:rPr>
          <w:sz w:val="20"/>
          <w:szCs w:val="20"/>
          <w:color w:val="auto"/>
        </w:rPr>
      </w:pPr>
    </w:p>
    <w:p>
      <w:pPr>
        <w:ind w:left="1080" w:hanging="539"/>
        <w:spacing w:after="0"/>
        <w:tabs>
          <w:tab w:leader="none" w:pos="108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Performance Awards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6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2" w:name="page233"/>
    <w:bookmarkEnd w:id="232"/>
    <w:p>
      <w:pPr>
        <w:jc w:val="both"/>
        <w:ind w:firstLine="1131"/>
        <w:spacing w:after="0" w:line="24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61"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60"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45" w:lineRule="exact"/>
        <w:rPr>
          <w:sz w:val="20"/>
          <w:szCs w:val="20"/>
          <w:color w:val="auto"/>
        </w:rPr>
      </w:pPr>
    </w:p>
    <w:p>
      <w:pPr>
        <w:jc w:val="both"/>
        <w:ind w:firstLine="541"/>
        <w:spacing w:after="0" w:line="238" w:lineRule="auto"/>
        <w:tabs>
          <w:tab w:leader="none" w:pos="13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equity awards (including any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w:t>
      </w:r>
    </w:p>
    <w:p>
      <w:pPr>
        <w:spacing w:after="0" w:line="166" w:lineRule="exact"/>
        <w:rPr>
          <w:rFonts w:ascii="Times New Roman" w:cs="Times New Roman" w:eastAsia="Times New Roman" w:hAnsi="Times New Roman"/>
          <w:sz w:val="18"/>
          <w:szCs w:val="18"/>
          <w:color w:val="auto"/>
        </w:rPr>
      </w:pPr>
    </w:p>
    <w:p>
      <w:pPr>
        <w:jc w:val="both"/>
        <w:ind w:firstLine="541"/>
        <w:spacing w:after="0" w:line="235" w:lineRule="auto"/>
        <w:tabs>
          <w:tab w:leader="none" w:pos="125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69" w:lineRule="exact"/>
        <w:rPr>
          <w:rFonts w:ascii="Times New Roman" w:cs="Times New Roman" w:eastAsia="Times New Roman" w:hAnsi="Times New Roman"/>
          <w:sz w:val="18"/>
          <w:szCs w:val="18"/>
          <w:color w:val="auto"/>
        </w:rPr>
      </w:pPr>
    </w:p>
    <w:p>
      <w:pPr>
        <w:jc w:val="both"/>
        <w:ind w:firstLine="541"/>
        <w:spacing w:after="0" w:line="218" w:lineRule="auto"/>
        <w:tabs>
          <w:tab w:leader="none" w:pos="134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3" w:name="page234"/>
    <w:bookmarkEnd w:id="233"/>
    <w:p>
      <w:pPr>
        <w:jc w:val="both"/>
        <w:ind w:firstLine="541"/>
        <w:spacing w:after="0" w:line="239" w:lineRule="auto"/>
        <w:tabs>
          <w:tab w:leader="none" w:pos="139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67" w:lineRule="exact"/>
        <w:rPr>
          <w:rFonts w:ascii="Times New Roman" w:cs="Times New Roman" w:eastAsia="Times New Roman" w:hAnsi="Times New Roman"/>
          <w:sz w:val="18"/>
          <w:szCs w:val="18"/>
          <w:color w:val="auto"/>
        </w:rPr>
      </w:pPr>
    </w:p>
    <w:p>
      <w:pPr>
        <w:ind w:left="1200" w:hanging="659"/>
        <w:spacing w:after="0"/>
        <w:tabs>
          <w:tab w:leader="none" w:pos="12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6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b w:val="1"/>
          <w:bCs w:val="1"/>
          <w:color w:val="auto"/>
        </w:rPr>
        <w:t>Merger or Change in Control</w:t>
      </w:r>
      <w:r>
        <w:rPr>
          <w:rFonts w:ascii="Times New Roman" w:cs="Times New Roman" w:eastAsia="Times New Roman" w:hAnsi="Times New Roman"/>
          <w:sz w:val="17"/>
          <w:szCs w:val="17"/>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w:t>
      </w:r>
    </w:p>
    <w:p>
      <w:pPr>
        <w:spacing w:after="0" w:line="5" w:lineRule="exact"/>
        <w:rPr>
          <w:sz w:val="20"/>
          <w:szCs w:val="20"/>
          <w:color w:val="auto"/>
        </w:rPr>
      </w:pPr>
    </w:p>
    <w:p>
      <w:pPr>
        <w:jc w:val="both"/>
        <w:ind w:firstLine="9"/>
        <w:spacing w:after="0" w:line="236" w:lineRule="auto"/>
        <w:tabs>
          <w:tab w:leader="none" w:pos="26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34" w:name="page235"/>
    <w:bookmarkEnd w:id="234"/>
    <w:p>
      <w:pPr>
        <w:jc w:val="both"/>
        <w:ind w:firstLine="1120"/>
        <w:spacing w:after="0" w:line="234"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3"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73" w:lineRule="exact"/>
        <w:rPr>
          <w:sz w:val="20"/>
          <w:szCs w:val="20"/>
          <w:color w:val="auto"/>
        </w:rPr>
      </w:pPr>
    </w:p>
    <w:p>
      <w:pPr>
        <w:jc w:val="both"/>
        <w:ind w:firstLine="1065"/>
        <w:spacing w:after="0" w:line="256" w:lineRule="auto"/>
        <w:rPr>
          <w:sz w:val="20"/>
          <w:szCs w:val="20"/>
          <w:color w:val="auto"/>
        </w:rPr>
      </w:pPr>
      <w:r>
        <w:rPr>
          <w:rFonts w:ascii="Times New Roman" w:cs="Times New Roman" w:eastAsia="Times New Roman" w:hAnsi="Times New Roman"/>
          <w:sz w:val="17"/>
          <w:szCs w:val="17"/>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5" w:name="page236"/>
    <w:bookmarkEnd w:id="235"/>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69" w:lineRule="exact"/>
        <w:rPr>
          <w:sz w:val="20"/>
          <w:szCs w:val="20"/>
          <w:color w:val="auto"/>
        </w:rPr>
      </w:pPr>
    </w:p>
    <w:p>
      <w:pPr>
        <w:jc w:val="both"/>
        <w:ind w:firstLine="1065"/>
        <w:spacing w:after="0" w:line="251" w:lineRule="auto"/>
        <w:rPr>
          <w:sz w:val="20"/>
          <w:szCs w:val="20"/>
          <w:color w:val="auto"/>
        </w:rPr>
      </w:pPr>
      <w:r>
        <w:rPr>
          <w:rFonts w:ascii="Times New Roman" w:cs="Times New Roman" w:eastAsia="Times New Roman" w:hAnsi="Times New Roman"/>
          <w:sz w:val="17"/>
          <w:szCs w:val="17"/>
          <w:color w:val="auto"/>
        </w:rPr>
        <w:t xml:space="preserve">15.4 </w:t>
      </w:r>
      <w:r>
        <w:rPr>
          <w:rFonts w:ascii="Times New Roman" w:cs="Times New Roman" w:eastAsia="Times New Roman" w:hAnsi="Times New Roman"/>
          <w:sz w:val="17"/>
          <w:szCs w:val="17"/>
          <w:b w:val="1"/>
          <w:bCs w:val="1"/>
          <w:color w:val="auto"/>
        </w:rPr>
        <w:t>Outside Director Awards</w:t>
      </w:r>
      <w:r>
        <w:rPr>
          <w:rFonts w:ascii="Times New Roman" w:cs="Times New Roman" w:eastAsia="Times New Roman" w:hAnsi="Times New Roman"/>
          <w:sz w:val="17"/>
          <w:szCs w:val="17"/>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70" w:lineRule="exact"/>
        <w:rPr>
          <w:sz w:val="20"/>
          <w:szCs w:val="20"/>
          <w:color w:val="auto"/>
        </w:rPr>
      </w:pPr>
    </w:p>
    <w:p>
      <w:pPr>
        <w:ind w:left="1080" w:hanging="539"/>
        <w:spacing w:after="0"/>
        <w:tabs>
          <w:tab w:leader="none" w:pos="108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09" w:lineRule="exact"/>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and other taxes (including the Participant’s FICA or other social insurance contribution obligation) required to be withheld or paid with respect to such Award (or exercise thereof).</w:t>
      </w:r>
    </w:p>
    <w:p>
      <w:pPr>
        <w:spacing w:after="0" w:line="166"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b w:val="1"/>
          <w:bCs w:val="1"/>
          <w:color w:val="auto"/>
        </w:rPr>
        <w:t>Withholding Arrangements</w:t>
      </w:r>
      <w:r>
        <w:rPr>
          <w:rFonts w:ascii="Times New Roman" w:cs="Times New Roman" w:eastAsia="Times New Roman" w:hAnsi="Times New Roman"/>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6" w:name="page237"/>
    <w:bookmarkEnd w:id="236"/>
    <w:p>
      <w:pPr>
        <w:jc w:val="both"/>
        <w:ind w:firstLine="541"/>
        <w:spacing w:after="0" w:line="242" w:lineRule="auto"/>
        <w:tabs>
          <w:tab w:leader="none" w:pos="1253"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spacing w:after="0" w:line="163" w:lineRule="exact"/>
        <w:rPr>
          <w:rFonts w:ascii="Times New Roman" w:cs="Times New Roman" w:eastAsia="Times New Roman" w:hAnsi="Times New Roman"/>
          <w:sz w:val="18"/>
          <w:szCs w:val="18"/>
          <w:color w:val="auto"/>
        </w:rPr>
      </w:pPr>
    </w:p>
    <w:p>
      <w:pPr>
        <w:jc w:val="both"/>
        <w:ind w:firstLine="541"/>
        <w:spacing w:after="0" w:line="247" w:lineRule="auto"/>
        <w:tabs>
          <w:tab w:leader="none" w:pos="110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59" w:lineRule="exact"/>
        <w:rPr>
          <w:rFonts w:ascii="Times New Roman" w:cs="Times New Roman" w:eastAsia="Times New Roman" w:hAnsi="Times New Roman"/>
          <w:sz w:val="18"/>
          <w:szCs w:val="18"/>
          <w:color w:val="auto"/>
        </w:rPr>
      </w:pPr>
    </w:p>
    <w:p>
      <w:pPr>
        <w:ind w:left="1320" w:hanging="779"/>
        <w:spacing w:after="0"/>
        <w:tabs>
          <w:tab w:leader="none" w:pos="13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later to occur of (a) its adoption by the Board,</w:t>
      </w:r>
    </w:p>
    <w:p>
      <w:pPr>
        <w:spacing w:after="0" w:line="14" w:lineRule="exact"/>
        <w:rPr>
          <w:rFonts w:ascii="Times New Roman" w:cs="Times New Roman" w:eastAsia="Times New Roman" w:hAnsi="Times New Roman"/>
          <w:sz w:val="18"/>
          <w:szCs w:val="18"/>
          <w:color w:val="auto"/>
        </w:rPr>
      </w:pPr>
    </w:p>
    <w:p>
      <w:pPr>
        <w:jc w:val="both"/>
        <w:ind w:firstLine="9"/>
        <w:spacing w:after="0" w:line="235" w:lineRule="auto"/>
        <w:tabs>
          <w:tab w:leader="none" w:pos="26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17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and Termination of the Plan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7" w:name="page238"/>
    <w:bookmarkEnd w:id="237"/>
    <w:p>
      <w:pPr>
        <w:ind w:left="1080" w:hanging="539"/>
        <w:spacing w:after="0"/>
        <w:tabs>
          <w:tab w:leader="none" w:pos="108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 Upon Issuance of Shares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60" w:lineRule="exact"/>
        <w:rPr>
          <w:sz w:val="20"/>
          <w:szCs w:val="20"/>
          <w:color w:val="auto"/>
        </w:rPr>
      </w:pPr>
    </w:p>
    <w:p>
      <w:pPr>
        <w:jc w:val="both"/>
        <w:ind w:firstLine="541"/>
        <w:spacing w:after="0" w:line="207" w:lineRule="exact"/>
        <w:tabs>
          <w:tab w:leader="none" w:pos="12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or to complete or comply with the requirements of any registration or other qualification of the Shares under any U.S. state or federal law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66" w:lineRule="exact"/>
        <w:rPr>
          <w:rFonts w:ascii="Times New Roman" w:cs="Times New Roman" w:eastAsia="Times New Roman" w:hAnsi="Times New Roman"/>
          <w:sz w:val="18"/>
          <w:szCs w:val="18"/>
          <w:color w:val="auto"/>
        </w:rPr>
      </w:pPr>
    </w:p>
    <w:p>
      <w:pPr>
        <w:ind w:firstLine="541"/>
        <w:spacing w:after="0" w:line="263" w:lineRule="auto"/>
        <w:tabs>
          <w:tab w:leader="none" w:pos="12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adopted by the Board. Such stockholder approval will be obtained in the manner and to the degree required under Applicable Laws.</w:t>
      </w:r>
    </w:p>
    <w:p>
      <w:pPr>
        <w:spacing w:after="0" w:line="145" w:lineRule="exact"/>
        <w:rPr>
          <w:rFonts w:ascii="Times New Roman" w:cs="Times New Roman" w:eastAsia="Times New Roman" w:hAnsi="Times New Roman"/>
          <w:sz w:val="18"/>
          <w:szCs w:val="18"/>
          <w:color w:val="auto"/>
        </w:rPr>
      </w:pPr>
    </w:p>
    <w:p>
      <w:pPr>
        <w:jc w:val="both"/>
        <w:ind w:firstLine="541"/>
        <w:spacing w:after="0" w:line="234" w:lineRule="auto"/>
        <w:tabs>
          <w:tab w:leader="none" w:pos="115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1" w:lineRule="exact"/>
        <w:rPr>
          <w:rFonts w:ascii="Times New Roman" w:cs="Times New Roman" w:eastAsia="Times New Roman" w:hAnsi="Times New Roman"/>
          <w:sz w:val="18"/>
          <w:szCs w:val="18"/>
          <w:color w:val="auto"/>
        </w:rPr>
      </w:pPr>
    </w:p>
    <w:p>
      <w:pPr>
        <w:ind w:left="5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7157085"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94" w:lineRule="exact"/>
        <w:rPr>
          <w:sz w:val="20"/>
          <w:szCs w:val="20"/>
          <w:color w:val="auto"/>
        </w:rPr>
      </w:pPr>
    </w:p>
    <w:p>
      <w:pPr>
        <w:jc w:val="both"/>
        <w:ind w:firstLine="541"/>
        <w:spacing w:after="0" w:line="208" w:lineRule="exact"/>
        <w:tabs>
          <w:tab w:leader="none" w:pos="12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and a component that is not intended to qualify as an “employee stock purchase plan” under Code Section 423 (the “</w:t>
      </w: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that does not qualify as an “employee stock purchase plan” under Code Section 423; an option granted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will provide for substantially the same benefits as an option granted under the 423 Component, except that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option may include features necessary to comply with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pursuant to rules, procedures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adopted by the Administrator. Except as otherwise provided herein or by the Administrator,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will operate and be administered in the same manner as the 423 Component.</w:t>
      </w:r>
    </w:p>
    <w:p>
      <w:pPr>
        <w:spacing w:after="0" w:line="179"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Committee designated by the Board to administer the Plan pursuant to Section 3.</w:t>
      </w:r>
    </w:p>
    <w:p>
      <w:pPr>
        <w:spacing w:after="0" w:line="177" w:lineRule="exact"/>
        <w:rPr>
          <w:sz w:val="20"/>
          <w:szCs w:val="20"/>
          <w:color w:val="auto"/>
        </w:rPr>
      </w:pPr>
    </w:p>
    <w:p>
      <w:pPr>
        <w:jc w:val="both"/>
        <w:ind w:firstLine="1065"/>
        <w:spacing w:after="0" w:line="218" w:lineRule="exact"/>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country or jurisdiction where options are, or will be, granted under the Plan.</w:t>
      </w:r>
    </w:p>
    <w:p>
      <w:pPr>
        <w:spacing w:after="0" w:line="17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means the Board of Directors of the Company.</w:t>
      </w:r>
    </w:p>
    <w:p>
      <w:pPr>
        <w:spacing w:after="0" w:line="20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means the occurrence of any of the following events:</w:t>
      </w:r>
    </w:p>
    <w:p>
      <w:pPr>
        <w:spacing w:after="0" w:line="196" w:lineRule="exact"/>
        <w:rPr>
          <w:sz w:val="20"/>
          <w:szCs w:val="20"/>
          <w:color w:val="auto"/>
        </w:rPr>
      </w:pPr>
    </w:p>
    <w:p>
      <w:pPr>
        <w:jc w:val="both"/>
        <w:ind w:firstLine="1606"/>
        <w:spacing w:after="0" w:line="234" w:lineRule="auto"/>
        <w:tabs>
          <w:tab w:leader="none" w:pos="228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15708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9" w:name="page240"/>
    <w:bookmarkEnd w:id="239"/>
    <w:p>
      <w:pPr>
        <w:jc w:val="both"/>
        <w:ind w:firstLine="1606"/>
        <w:spacing w:after="0" w:line="239" w:lineRule="auto"/>
        <w:tabs>
          <w:tab w:leader="none" w:pos="22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8" w:lineRule="exact"/>
        <w:rPr>
          <w:rFonts w:ascii="Times New Roman" w:cs="Times New Roman" w:eastAsia="Times New Roman" w:hAnsi="Times New Roman"/>
          <w:sz w:val="18"/>
          <w:szCs w:val="18"/>
          <w:color w:val="auto"/>
        </w:rPr>
      </w:pPr>
    </w:p>
    <w:p>
      <w:pPr>
        <w:jc w:val="both"/>
        <w:ind w:firstLine="1606"/>
        <w:spacing w:after="0" w:line="234" w:lineRule="auto"/>
        <w:tabs>
          <w:tab w:leader="none" w:pos="239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6"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51"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0" w:name="page241"/>
    <w:bookmarkEnd w:id="240"/>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1"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the Board appointed in accordance with Section 3 hereof.</w:t>
      </w:r>
    </w:p>
    <w:p>
      <w:pPr>
        <w:spacing w:after="0" w:line="192"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45" w:lineRule="exact"/>
        <w:rPr>
          <w:sz w:val="20"/>
          <w:szCs w:val="20"/>
          <w:color w:val="auto"/>
        </w:rPr>
      </w:pPr>
    </w:p>
    <w:p>
      <w:pPr>
        <w:jc w:val="both"/>
        <w:ind w:firstLine="1065"/>
        <w:spacing w:after="0" w:line="215" w:lineRule="exact"/>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Designated Company</w:t>
      </w:r>
      <w:r>
        <w:rPr>
          <w:rFonts w:ascii="Times New Roman" w:cs="Times New Roman" w:eastAsia="Times New Roman" w:hAnsi="Times New Roman"/>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15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of the consummation of the merger by and between the Company,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and certain other parties, pursuant to that certain Business Combination Agreement dated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65"/>
        <w:spacing w:after="0" w:line="205" w:lineRule="exact"/>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2(e)(2)(ii). Such exclusions may be applied with respect to an Offering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without regard to the limitations of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1" w:name="page242"/>
    <w:bookmarkEnd w:id="241"/>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means the employer of the applicable Eligible Employee(s).</w:t>
      </w:r>
    </w:p>
    <w:p>
      <w:pPr>
        <w:spacing w:after="0" w:line="194"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Enrollment Date</w:t>
      </w:r>
      <w:r>
        <w:rPr>
          <w:rFonts w:ascii="Times New Roman" w:cs="Times New Roman" w:eastAsia="Times New Roman" w:hAnsi="Times New Roman"/>
          <w:sz w:val="17"/>
          <w:szCs w:val="17"/>
          <w:color w:val="auto"/>
        </w:rPr>
        <w:t>” means the first Trading Day of each Offering Period.</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7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64"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47" w:lineRule="exact"/>
        <w:rPr>
          <w:sz w:val="20"/>
          <w:szCs w:val="20"/>
          <w:color w:val="auto"/>
        </w:rPr>
      </w:pPr>
    </w:p>
    <w:p>
      <w:pPr>
        <w:jc w:val="both"/>
        <w:ind w:firstLine="1606"/>
        <w:spacing w:after="0" w:line="239" w:lineRule="auto"/>
        <w:tabs>
          <w:tab w:leader="none" w:pos="226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2" w:name="page243"/>
    <w:bookmarkEnd w:id="242"/>
    <w:p>
      <w:pPr>
        <w:jc w:val="both"/>
        <w:ind w:firstLine="1606"/>
        <w:spacing w:after="0"/>
        <w:tabs>
          <w:tab w:leader="none" w:pos="229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69" w:lineRule="exact"/>
        <w:rPr>
          <w:rFonts w:ascii="Times New Roman" w:cs="Times New Roman" w:eastAsia="Times New Roman" w:hAnsi="Times New Roman"/>
          <w:sz w:val="18"/>
          <w:szCs w:val="18"/>
          <w:color w:val="auto"/>
        </w:rPr>
      </w:pPr>
    </w:p>
    <w:p>
      <w:pPr>
        <w:ind w:left="2280" w:hanging="674"/>
        <w:spacing w:after="0"/>
        <w:tabs>
          <w:tab w:leader="none" w:pos="228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172" w:lineRule="exact"/>
        <w:rPr>
          <w:sz w:val="20"/>
          <w:szCs w:val="20"/>
          <w:color w:val="auto"/>
        </w:rPr>
      </w:pPr>
    </w:p>
    <w:p>
      <w:pPr>
        <w:ind w:right="280" w:firstLine="1065"/>
        <w:spacing w:after="0" w:line="260"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9"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fiscal year of the Company.</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Exercise Date</w:t>
      </w:r>
      <w:r>
        <w:rPr>
          <w:rFonts w:ascii="Times New Roman" w:cs="Times New Roman" w:eastAsia="Times New Roman" w:hAnsi="Times New Roman"/>
          <w:sz w:val="17"/>
          <w:szCs w:val="17"/>
          <w:color w:val="auto"/>
        </w:rPr>
        <w:t>” means a new Exercise Date if the Administrator shortens any Offering Period then in progress.</w:t>
      </w:r>
    </w:p>
    <w:p>
      <w:pPr>
        <w:spacing w:after="0" w:line="192" w:lineRule="exact"/>
        <w:rPr>
          <w:sz w:val="20"/>
          <w:szCs w:val="20"/>
          <w:color w:val="auto"/>
        </w:rPr>
      </w:pPr>
    </w:p>
    <w:p>
      <w:pPr>
        <w:jc w:val="both"/>
        <w:ind w:firstLine="1065"/>
        <w:spacing w:after="0" w:line="215" w:lineRule="exact"/>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2(a)(1), the terms of each Offering need not be identical provided that the terms of the Plan and an Offering together satisfy U.S. Treasury Regulations Section 1.423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2(a)(2) and (a)(3).</w:t>
      </w:r>
    </w:p>
    <w:p>
      <w:pPr>
        <w:spacing w:after="0" w:line="149"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6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w:t>
      </w:r>
      <w:r>
        <w:rPr>
          <w:rFonts w:ascii="Times New Roman" w:cs="Times New Roman" w:eastAsia="Times New Roman" w:hAnsi="Times New Roman"/>
          <w:sz w:val="17"/>
          <w:szCs w:val="17"/>
          <w:b w:val="1"/>
          <w:bCs w:val="1"/>
          <w:color w:val="auto"/>
        </w:rPr>
        <w:t>parent corporation,</w:t>
      </w:r>
      <w:r>
        <w:rPr>
          <w:rFonts w:ascii="Times New Roman" w:cs="Times New Roman" w:eastAsia="Times New Roman" w:hAnsi="Times New Roman"/>
          <w:sz w:val="17"/>
          <w:szCs w:val="17"/>
          <w:color w:val="auto"/>
        </w:rPr>
        <w:t>” whether now or hereafter existing, as defined in Code Section 424(e).</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Employee that participates in the Plan.</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Nautilus Biotechnology, Inc. 2021 Employee Stock Purchase Plan.</w:t>
      </w:r>
    </w:p>
    <w:p>
      <w:pPr>
        <w:spacing w:after="0" w:line="19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3" w:name="page244"/>
    <w:bookmarkEnd w:id="243"/>
    <w:p>
      <w:pPr>
        <w:jc w:val="both"/>
        <w:ind w:firstLine="1065"/>
        <w:spacing w:after="0" w:line="215" w:lineRule="exact"/>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an amount equal to eighty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16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4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existing, as defined in Code Section 424(f).</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160" w:hanging="619"/>
        <w:spacing w:after="0"/>
        <w:tabs>
          <w:tab w:leader="none" w:pos="11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065"/>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17 hereof, the maximum number of shares of Common Stock that will be made available for sale under the Plan will be 1,244,900 shares of Common Stock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jc w:val="both"/>
        <w:ind w:firstLine="1065"/>
        <w:spacing w:after="0" w:line="21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304165</wp:posOffset>
            </wp:positionV>
            <wp:extent cx="135255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125"/>
        <w:spacing w:after="0"/>
        <w:tabs>
          <w:tab w:leader="none" w:pos="400" w:val="left"/>
        </w:tabs>
        <w:numPr>
          <w:ilvl w:val="0"/>
          <w:numId w:val="2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54" w:lineRule="exact"/>
        <w:rPr>
          <w:sz w:val="20"/>
          <w:szCs w:val="20"/>
          <w:color w:val="auto"/>
        </w:rPr>
      </w:pPr>
    </w:p>
    <w:p>
      <w:pPr>
        <w:ind w:left="400" w:hanging="125"/>
        <w:spacing w:after="0"/>
        <w:tabs>
          <w:tab w:leader="none" w:pos="400" w:val="left"/>
        </w:tabs>
        <w:numPr>
          <w:ilvl w:val="0"/>
          <w:numId w:val="2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244" w:name="page245"/>
    <w:bookmarkEnd w:id="244"/>
    <w:p>
      <w:pPr>
        <w:ind w:firstLine="541"/>
        <w:spacing w:after="0" w:line="264"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Plan will be administered by the Board or a Committee appointed by the Board, which Committee will be constituted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Applicable Laws. The Administrator will have full and exclusive discretionary authority to</w:t>
      </w:r>
    </w:p>
    <w:p>
      <w:pPr>
        <w:spacing w:after="0" w:line="146"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apply the terms of the Plan,</w:t>
      </w:r>
    </w:p>
    <w:p>
      <w:pPr>
        <w:spacing w:after="0" w:line="19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ministerial duties to any of the Company’s employees,</w:t>
      </w:r>
    </w:p>
    <w:p>
      <w:pPr>
        <w:spacing w:after="0" w:line="19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separate Offerings under the Plan,</w:t>
      </w:r>
    </w:p>
    <w:p>
      <w:pPr>
        <w:spacing w:after="0" w:line="174" w:lineRule="exact"/>
        <w:rPr>
          <w:rFonts w:ascii="Times New Roman" w:cs="Times New Roman" w:eastAsia="Times New Roman" w:hAnsi="Times New Roman"/>
          <w:sz w:val="18"/>
          <w:szCs w:val="18"/>
          <w:color w:val="auto"/>
        </w:rPr>
      </w:pPr>
    </w:p>
    <w:p>
      <w:pPr>
        <w:ind w:left="1720" w:hanging="646"/>
        <w:spacing w:after="0" w:line="207" w:lineRule="exact"/>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participating in the 423 Component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220"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w:t>
      </w:r>
    </w:p>
    <w:p>
      <w:pPr>
        <w:spacing w:after="0" w:line="192" w:lineRule="exact"/>
        <w:rPr>
          <w:rFonts w:ascii="Times New Roman" w:cs="Times New Roman" w:eastAsia="Times New Roman" w:hAnsi="Times New Roman"/>
          <w:sz w:val="18"/>
          <w:szCs w:val="18"/>
          <w:color w:val="auto"/>
        </w:rPr>
      </w:pPr>
    </w:p>
    <w:p>
      <w:pPr>
        <w:ind w:left="1700" w:hanging="626"/>
        <w:spacing w:after="0"/>
        <w:tabs>
          <w:tab w:leader="none" w:pos="17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all disputed claims filed under the Plan, and</w:t>
      </w:r>
    </w:p>
    <w:p>
      <w:pPr>
        <w:spacing w:after="0" w:line="192" w:lineRule="exact"/>
        <w:rPr>
          <w:rFonts w:ascii="Times New Roman" w:cs="Times New Roman" w:eastAsia="Times New Roman" w:hAnsi="Times New Roman"/>
          <w:sz w:val="18"/>
          <w:szCs w:val="18"/>
          <w:color w:val="auto"/>
        </w:rPr>
      </w:pPr>
    </w:p>
    <w:p>
      <w:pPr>
        <w:jc w:val="both"/>
        <w:ind w:firstLine="1074"/>
        <w:spacing w:after="0" w:line="213" w:lineRule="exact"/>
        <w:tabs>
          <w:tab w:leader="none" w:pos="163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procedures that it deems necessary or advisable for the administration of the Plan (including, without limitation, to adopt such procedures,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or appendix, the provisions of this Plan will govern the operation of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or appendix). Unless otherwise determined by the Administrator, the Eligible Employees eligible to participate in each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will participate in a separate Offering under the 423 Component, or if the terms would not qualify under the 423 Component,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in either case unless such designation would cause the 423 Component to violate the requirements of Code Section 423.</w:t>
      </w:r>
    </w:p>
    <w:p>
      <w:pPr>
        <w:spacing w:after="0" w:line="168" w:lineRule="exact"/>
        <w:rPr>
          <w:sz w:val="20"/>
          <w:szCs w:val="20"/>
          <w:color w:val="auto"/>
        </w:rPr>
      </w:pPr>
    </w:p>
    <w:p>
      <w:pPr>
        <w:jc w:val="both"/>
        <w:ind w:firstLine="1065"/>
        <w:spacing w:after="0" w:line="207" w:lineRule="exact"/>
        <w:rPr>
          <w:sz w:val="20"/>
          <w:szCs w:val="20"/>
          <w:color w:val="auto"/>
        </w:rPr>
      </w:pPr>
      <w:r>
        <w:rPr>
          <w:rFonts w:ascii="Times New Roman" w:cs="Times New Roman" w:eastAsia="Times New Roman" w:hAnsi="Times New Roman"/>
          <w:sz w:val="18"/>
          <w:szCs w:val="18"/>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 the terms of an option granted under the Plan or an Offering to citizens or residents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5" w:name="page246"/>
    <w:bookmarkEnd w:id="245"/>
    <w:p>
      <w:pPr>
        <w:ind w:left="1080" w:hanging="539"/>
        <w:spacing w:after="0"/>
        <w:tabs>
          <w:tab w:leader="none" w:pos="108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Eligibility</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Any Eligible Employee on a given Enrollment Date will be eligible to participate in the Plan, subject to the requirements of Section 7.</w:t>
      </w:r>
    </w:p>
    <w:p>
      <w:pPr>
        <w:spacing w:after="0" w:line="130" w:lineRule="exact"/>
        <w:rPr>
          <w:sz w:val="20"/>
          <w:szCs w:val="20"/>
          <w:color w:val="auto"/>
        </w:rPr>
      </w:pPr>
    </w:p>
    <w:p>
      <w:pPr>
        <w:jc w:val="both"/>
        <w:ind w:firstLine="1065"/>
        <w:spacing w:after="0" w:line="212" w:lineRule="exact"/>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 Employees</w:t>
      </w:r>
      <w:r>
        <w:rPr>
          <w:rFonts w:ascii="Times New Roman" w:cs="Times New Roman" w:eastAsia="Times New Roman" w:hAnsi="Times New Roman"/>
          <w:sz w:val="18"/>
          <w:szCs w:val="18"/>
          <w:color w:val="auto"/>
        </w:rPr>
        <w:t>. Eligible Employees who are citizens or residents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an Eligible Employee may be excluded from participation in the Plan or an Offering if the Administrator has determined that participation of such Eligible Employee is not advisable or practicable.</w:t>
      </w:r>
    </w:p>
    <w:p>
      <w:pPr>
        <w:spacing w:after="0" w:line="168" w:lineRule="exact"/>
        <w:rPr>
          <w:sz w:val="20"/>
          <w:szCs w:val="20"/>
          <w:color w:val="auto"/>
        </w:rPr>
      </w:pPr>
    </w:p>
    <w:p>
      <w:pPr>
        <w:jc w:val="both"/>
        <w:ind w:firstLine="1065"/>
        <w:spacing w:after="0" w:line="206" w:lineRule="exact"/>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66" w:lineRule="exact"/>
        <w:rPr>
          <w:sz w:val="20"/>
          <w:szCs w:val="20"/>
          <w:color w:val="auto"/>
        </w:rPr>
      </w:pPr>
    </w:p>
    <w:p>
      <w:pPr>
        <w:jc w:val="both"/>
        <w:ind w:firstLine="541"/>
        <w:spacing w:after="0" w:line="210" w:lineRule="exact"/>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The Plan will be implemented by Offering Periods as established by the Administrator from time to time. Offering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expire on the earliest to occur of (a) the completion of the purchase of shares on the last Exercise Date occurring within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 (27) months.</w:t>
      </w:r>
    </w:p>
    <w:p>
      <w:pPr>
        <w:spacing w:after="0" w:line="152" w:lineRule="exact"/>
        <w:rPr>
          <w:rFonts w:ascii="Times New Roman" w:cs="Times New Roman" w:eastAsia="Times New Roman" w:hAnsi="Times New Roman"/>
          <w:sz w:val="18"/>
          <w:szCs w:val="18"/>
          <w:color w:val="auto"/>
        </w:rPr>
      </w:pPr>
    </w:p>
    <w:p>
      <w:pPr>
        <w:jc w:val="both"/>
        <w:ind w:firstLine="541"/>
        <w:spacing w:after="0" w:line="242" w:lineRule="auto"/>
        <w:tabs>
          <w:tab w:leader="none" w:pos="138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An Eligible Employee may participate in the Plan pursuant to Section 5.1 by (a) submitting to the Company’s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administration office (or its designee), a properly completed subscription agreement authorizing Contributions in the form provided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or (b) following an electronic or other enrollment procedure determined by the Administrator, in either case, on or before a date determined by the Administrator prior to an applicable Enrollment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46" w:name="page247"/>
    <w:bookmarkEnd w:id="246"/>
    <w:p>
      <w:pPr>
        <w:ind w:left="1080" w:hanging="539"/>
        <w:spacing w:after="0"/>
        <w:tabs>
          <w:tab w:leader="none" w:pos="108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Contributions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Contribution Amounts</w:t>
      </w:r>
      <w:r>
        <w:rPr>
          <w:rFonts w:ascii="Times New Roman" w:cs="Times New Roman" w:eastAsia="Times New Roman" w:hAnsi="Times New Roman"/>
          <w:sz w:val="18"/>
          <w:szCs w:val="18"/>
          <w:color w:val="auto"/>
        </w:rPr>
        <w:t xml:space="preserve"> .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67"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Contribution Methods</w:t>
      </w:r>
      <w:r>
        <w:rPr>
          <w:rFonts w:ascii="Times New Roman" w:cs="Times New Roman" w:eastAsia="Times New Roman" w:hAnsi="Times New Roman"/>
          <w:sz w:val="18"/>
          <w:szCs w:val="18"/>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66" w:lineRule="exact"/>
        <w:rPr>
          <w:sz w:val="20"/>
          <w:szCs w:val="20"/>
          <w:color w:val="auto"/>
        </w:rPr>
      </w:pPr>
    </w:p>
    <w:p>
      <w:pPr>
        <w:jc w:val="both"/>
        <w:ind w:firstLine="1606"/>
        <w:spacing w:after="0" w:line="241" w:lineRule="auto"/>
        <w:tabs>
          <w:tab w:leader="none" w:pos="223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66" w:lineRule="exact"/>
        <w:rPr>
          <w:rFonts w:ascii="Times New Roman" w:cs="Times New Roman" w:eastAsia="Times New Roman" w:hAnsi="Times New Roman"/>
          <w:sz w:val="18"/>
          <w:szCs w:val="18"/>
          <w:color w:val="auto"/>
        </w:rPr>
      </w:pPr>
    </w:p>
    <w:p>
      <w:pPr>
        <w:ind w:firstLine="1606"/>
        <w:spacing w:after="0" w:line="260" w:lineRule="auto"/>
        <w:tabs>
          <w:tab w:leader="none" w:pos="229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49"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Participant Changes to Contributions</w:t>
      </w:r>
      <w:r>
        <w:rPr>
          <w:rFonts w:ascii="Times New Roman" w:cs="Times New Roman" w:eastAsia="Times New Roman" w:hAnsi="Times New Roman"/>
          <w:sz w:val="18"/>
          <w:szCs w:val="18"/>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71" w:lineRule="exact"/>
        <w:rPr>
          <w:sz w:val="20"/>
          <w:szCs w:val="20"/>
          <w:color w:val="auto"/>
        </w:rPr>
      </w:pPr>
    </w:p>
    <w:p>
      <w:pPr>
        <w:jc w:val="both"/>
        <w:ind w:firstLine="1606"/>
        <w:spacing w:after="0" w:line="236" w:lineRule="auto"/>
        <w:tabs>
          <w:tab w:leader="none" w:pos="2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47" w:name="page248"/>
    <w:bookmarkEnd w:id="247"/>
    <w:p>
      <w:pPr>
        <w:jc w:val="both"/>
        <w:ind w:firstLine="1606"/>
        <w:spacing w:after="0" w:line="245" w:lineRule="auto"/>
        <w:tabs>
          <w:tab w:leader="none" w:pos="22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64" w:lineRule="exact"/>
        <w:rPr>
          <w:rFonts w:ascii="Times New Roman" w:cs="Times New Roman" w:eastAsia="Times New Roman" w:hAnsi="Times New Roman"/>
          <w:sz w:val="18"/>
          <w:szCs w:val="18"/>
          <w:color w:val="auto"/>
        </w:rPr>
      </w:pPr>
    </w:p>
    <w:p>
      <w:pPr>
        <w:jc w:val="both"/>
        <w:ind w:firstLine="1606"/>
        <w:spacing w:after="0" w:line="246" w:lineRule="auto"/>
        <w:tabs>
          <w:tab w:leader="none" w:pos="229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60" w:lineRule="exact"/>
        <w:rPr>
          <w:sz w:val="20"/>
          <w:szCs w:val="20"/>
          <w:color w:val="auto"/>
        </w:rPr>
      </w:pPr>
    </w:p>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Contribution Changes</w:t>
      </w:r>
      <w:r>
        <w:rPr>
          <w:rFonts w:ascii="Times New Roman" w:cs="Times New Roman" w:eastAsia="Times New Roman" w:hAnsi="Times New Roman"/>
          <w:sz w:val="18"/>
          <w:szCs w:val="18"/>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66" w:lineRule="exact"/>
        <w:rPr>
          <w:sz w:val="20"/>
          <w:szCs w:val="20"/>
          <w:color w:val="auto"/>
        </w:rPr>
      </w:pPr>
    </w:p>
    <w:p>
      <w:pPr>
        <w:jc w:val="both"/>
        <w:ind w:firstLine="1065"/>
        <w:spacing w:after="0" w:line="24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Cash Contributions</w:t>
      </w:r>
      <w:r>
        <w:rPr>
          <w:rFonts w:ascii="Times New Roman" w:cs="Times New Roman" w:eastAsia="Times New Roman" w:hAnsi="Times New Roman"/>
          <w:sz w:val="18"/>
          <w:szCs w:val="18"/>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w:t>
      </w:r>
    </w:p>
    <w:p>
      <w:pPr>
        <w:ind w:firstLine="9"/>
        <w:spacing w:after="0" w:line="220" w:lineRule="exact"/>
        <w:tabs>
          <w:tab w:leader="none" w:pos="26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determines that cash contributions are permissible for Participants participating in the 423 Component and/or (c) the Participants are participating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148" w:lineRule="exact"/>
        <w:rPr>
          <w:sz w:val="20"/>
          <w:szCs w:val="20"/>
          <w:color w:val="auto"/>
        </w:rPr>
      </w:pPr>
    </w:p>
    <w:p>
      <w:pPr>
        <w:jc w:val="both"/>
        <w:ind w:firstLine="1065"/>
        <w:spacing w:after="0" w:line="206" w:lineRule="exact"/>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Tax Withholdings</w:t>
      </w:r>
      <w:r>
        <w:rPr>
          <w:rFonts w:ascii="Times New Roman" w:cs="Times New Roman" w:eastAsia="Times New Roman" w:hAnsi="Times New Roman"/>
          <w:sz w:val="18"/>
          <w:szCs w:val="18"/>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8" w:name="page249"/>
    <w:bookmarkEnd w:id="248"/>
    <w:p>
      <w:pPr>
        <w:jc w:val="both"/>
        <w:ind w:firstLine="1065"/>
        <w:spacing w:after="0" w:line="209" w:lineRule="exact"/>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Use of Funds</w:t>
      </w:r>
      <w:r>
        <w:rPr>
          <w:rFonts w:ascii="Times New Roman" w:cs="Times New Roman" w:eastAsia="Times New Roman" w:hAnsi="Times New Roman"/>
          <w:sz w:val="18"/>
          <w:szCs w:val="18"/>
          <w:color w:val="auto"/>
        </w:rPr>
        <w:t>.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 Until shares of Common Stock are issued, Participants will have only the rights of an unsecured creditor with respect to such shares.</w:t>
      </w:r>
    </w:p>
    <w:p>
      <w:pPr>
        <w:spacing w:after="0" w:line="169" w:lineRule="exact"/>
        <w:rPr>
          <w:sz w:val="20"/>
          <w:szCs w:val="20"/>
          <w:color w:val="auto"/>
        </w:rPr>
      </w:pPr>
    </w:p>
    <w:p>
      <w:pPr>
        <w:jc w:val="both"/>
        <w:ind w:firstLine="541"/>
        <w:spacing w:after="0" w:line="242" w:lineRule="auto"/>
        <w:tabs>
          <w:tab w:leader="none" w:pos="12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64" w:lineRule="exact"/>
        <w:rPr>
          <w:sz w:val="20"/>
          <w:szCs w:val="20"/>
          <w:color w:val="auto"/>
        </w:rPr>
      </w:pPr>
    </w:p>
    <w:p>
      <w:pPr>
        <w:jc w:val="both"/>
        <w:ind w:firstLine="1065"/>
        <w:spacing w:after="0" w:line="20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Certain Option Limits</w:t>
      </w:r>
      <w:r>
        <w:rPr>
          <w:rFonts w:ascii="Times New Roman" w:cs="Times New Roman" w:eastAsia="Times New Roman" w:hAnsi="Times New Roman"/>
          <w:sz w:val="18"/>
          <w:szCs w:val="18"/>
          <w:color w:val="auto"/>
        </w:rPr>
        <w:t>. In no event will an Eligible Employee be permitted to purchase during each Offering Period more than 1,250 shares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167"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Option Receipt</w:t>
      </w:r>
      <w:r>
        <w:rPr>
          <w:rFonts w:ascii="Times New Roman" w:cs="Times New Roman" w:eastAsia="Times New Roman" w:hAnsi="Times New Roman"/>
          <w:sz w:val="18"/>
          <w:szCs w:val="18"/>
          <w:color w:val="auto"/>
        </w:rPr>
        <w:t>. The Eligible Employee may accept the grant of an option under the Plan by electing to participate in the Plan in accordance with the requirements of Section 7.</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154" w:lineRule="exact"/>
        <w:rPr>
          <w:sz w:val="20"/>
          <w:szCs w:val="20"/>
          <w:color w:val="auto"/>
        </w:rPr>
      </w:pPr>
    </w:p>
    <w:p>
      <w:pPr>
        <w:ind w:left="1080" w:hanging="539"/>
        <w:spacing w:after="0"/>
        <w:tabs>
          <w:tab w:leader="none" w:pos="1080"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Exercise of Option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Automatic Exercise</w:t>
      </w:r>
      <w:r>
        <w:rPr>
          <w:rFonts w:ascii="Times New Roman" w:cs="Times New Roman" w:eastAsia="Times New Roman" w:hAnsi="Times New Roman"/>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304800</wp:posOffset>
            </wp:positionV>
            <wp:extent cx="135255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125"/>
        <w:spacing w:after="0"/>
        <w:tabs>
          <w:tab w:leader="none" w:pos="400" w:val="left"/>
        </w:tabs>
        <w:numPr>
          <w:ilvl w:val="0"/>
          <w:numId w:val="2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9" w:name="page250"/>
    <w:bookmarkEnd w:id="249"/>
    <w:p>
      <w:pPr>
        <w:jc w:val="both"/>
        <w:ind w:firstLine="1065"/>
        <w:spacing w:after="0" w:line="24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b w:val="1"/>
          <w:bCs w:val="1"/>
          <w:color w:val="auto"/>
        </w:rPr>
        <w:t>Pro Rata Allocations</w:t>
      </w:r>
      <w:r>
        <w:rPr>
          <w:rFonts w:ascii="Times New Roman" w:cs="Times New Roman" w:eastAsia="Times New Roman" w:hAnsi="Times New Roman"/>
          <w:sz w:val="17"/>
          <w:szCs w:val="17"/>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w:t>
      </w:r>
    </w:p>
    <w:p>
      <w:pPr>
        <w:spacing w:after="0" w:line="4" w:lineRule="exact"/>
        <w:rPr>
          <w:sz w:val="20"/>
          <w:szCs w:val="20"/>
          <w:color w:val="auto"/>
        </w:rPr>
      </w:pPr>
    </w:p>
    <w:p>
      <w:pPr>
        <w:jc w:val="both"/>
        <w:ind w:firstLine="9"/>
        <w:spacing w:after="0" w:line="233" w:lineRule="auto"/>
        <w:tabs>
          <w:tab w:leader="none" w:pos="26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70" w:lineRule="exact"/>
        <w:rPr>
          <w:rFonts w:ascii="Times New Roman" w:cs="Times New Roman" w:eastAsia="Times New Roman" w:hAnsi="Times New Roman"/>
          <w:sz w:val="18"/>
          <w:szCs w:val="18"/>
          <w:color w:val="auto"/>
        </w:rPr>
      </w:pPr>
    </w:p>
    <w:p>
      <w:pPr>
        <w:jc w:val="both"/>
        <w:ind w:firstLine="541"/>
        <w:spacing w:after="0" w:line="236" w:lineRule="auto"/>
        <w:tabs>
          <w:tab w:leader="none" w:pos="120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76"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1"/>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Withdrawal</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Withdrawal Procedures</w:t>
      </w:r>
      <w:r>
        <w:rPr>
          <w:rFonts w:ascii="Times New Roman" w:cs="Times New Roman" w:eastAsia="Times New Roman" w:hAnsi="Times New Roman"/>
          <w:sz w:val="18"/>
          <w:szCs w:val="18"/>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or</w:t>
      </w:r>
    </w:p>
    <w:p>
      <w:pPr>
        <w:jc w:val="both"/>
        <w:ind w:firstLine="9"/>
        <w:spacing w:after="0" w:line="207" w:lineRule="exact"/>
        <w:tabs>
          <w:tab w:leader="none" w:pos="25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enrolls in the Plan in accordance with the provisions of Section 7.</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0" w:name="page251"/>
    <w:bookmarkEnd w:id="250"/>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No Effect on Future Participation</w:t>
      </w:r>
      <w:r>
        <w:rPr>
          <w:rFonts w:ascii="Times New Roman" w:cs="Times New Roman" w:eastAsia="Times New Roman" w:hAnsi="Times New Roman"/>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61" w:lineRule="exact"/>
        <w:rPr>
          <w:sz w:val="20"/>
          <w:szCs w:val="20"/>
          <w:color w:val="auto"/>
        </w:rPr>
      </w:pPr>
    </w:p>
    <w:p>
      <w:pPr>
        <w:jc w:val="both"/>
        <w:ind w:firstLine="541"/>
        <w:spacing w:after="0" w:line="206" w:lineRule="exact"/>
        <w:tabs>
          <w:tab w:leader="none" w:pos="127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to an Offering under the 423 Component or vice versa unless (and then only to the extent) such switch would not cause the 423 Component or any option thereunder to fail to comply with Code Section 423.</w:t>
      </w:r>
    </w:p>
    <w:p>
      <w:pPr>
        <w:spacing w:after="0" w:line="166" w:lineRule="exact"/>
        <w:rPr>
          <w:rFonts w:ascii="Times New Roman" w:cs="Times New Roman" w:eastAsia="Times New Roman" w:hAnsi="Times New Roman"/>
          <w:sz w:val="18"/>
          <w:szCs w:val="18"/>
          <w:color w:val="auto"/>
        </w:rPr>
      </w:pPr>
    </w:p>
    <w:p>
      <w:pPr>
        <w:jc w:val="both"/>
        <w:ind w:firstLine="541"/>
        <w:spacing w:after="0" w:line="235" w:lineRule="auto"/>
        <w:tabs>
          <w:tab w:leader="none" w:pos="12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Plan is intended to be exempt from the application of Section 409A, and, to the extent not exempt, is intended to comply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1" w:name="page252"/>
    <w:bookmarkEnd w:id="251"/>
    <w:p>
      <w:pPr>
        <w:jc w:val="both"/>
        <w:ind w:firstLine="541"/>
        <w:spacing w:after="0" w:line="239" w:lineRule="auto"/>
        <w:tabs>
          <w:tab w:leader="none" w:pos="11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shares of Common Stock are issued (as evidenced by the appropriate entry on the books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68" w:lineRule="exact"/>
        <w:rPr>
          <w:rFonts w:ascii="Times New Roman" w:cs="Times New Roman" w:eastAsia="Times New Roman" w:hAnsi="Times New Roman"/>
          <w:sz w:val="18"/>
          <w:szCs w:val="18"/>
          <w:color w:val="auto"/>
        </w:rPr>
      </w:pPr>
    </w:p>
    <w:p>
      <w:pPr>
        <w:jc w:val="both"/>
        <w:ind w:firstLine="541"/>
        <w:spacing w:after="0" w:line="242" w:lineRule="auto"/>
        <w:tabs>
          <w:tab w:leader="none" w:pos="119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1"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Adjustments, Dissolution, Liquidation, Merger or Change in Control</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07" w:lineRule="exact"/>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spin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6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2" w:name="page253"/>
    <w:bookmarkEnd w:id="252"/>
    <w:p>
      <w:pPr>
        <w:jc w:val="both"/>
        <w:ind w:firstLine="1065"/>
        <w:spacing w:after="0" w:line="23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8" w:lineRule="exact"/>
        <w:rPr>
          <w:sz w:val="20"/>
          <w:szCs w:val="20"/>
          <w:color w:val="auto"/>
        </w:rPr>
      </w:pPr>
    </w:p>
    <w:p>
      <w:pPr>
        <w:ind w:left="1080" w:hanging="539"/>
        <w:spacing w:after="0"/>
        <w:tabs>
          <w:tab w:leader="none" w:pos="108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or Termination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Amendment, Suspension,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67"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Certain Administrator Changes</w:t>
      </w:r>
      <w:r>
        <w:rPr>
          <w:rFonts w:ascii="Times New Roman" w:cs="Times New Roman" w:eastAsia="Times New Roman" w:hAnsi="Times New Roman"/>
          <w:sz w:val="18"/>
          <w:szCs w:val="18"/>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7"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Changes Due to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62" w:lineRule="exact"/>
        <w:rPr>
          <w:sz w:val="20"/>
          <w:szCs w:val="20"/>
          <w:color w:val="auto"/>
        </w:rPr>
      </w:pPr>
    </w:p>
    <w:p>
      <w:pPr>
        <w:ind w:firstLine="1606"/>
        <w:spacing w:after="0" w:line="260" w:lineRule="auto"/>
        <w:tabs>
          <w:tab w:leader="none" w:pos="235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3" w:name="page254"/>
    <w:bookmarkEnd w:id="253"/>
    <w:p>
      <w:pPr>
        <w:ind w:firstLine="1606"/>
        <w:spacing w:after="0" w:line="259" w:lineRule="auto"/>
        <w:tabs>
          <w:tab w:leader="none" w:pos="244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Purchase Period or Offering Period including a Purchase Period or Offering Period underway at the time of the change in Purchase Price;</w:t>
      </w:r>
    </w:p>
    <w:p>
      <w:pPr>
        <w:spacing w:after="0" w:line="151" w:lineRule="exact"/>
        <w:rPr>
          <w:rFonts w:ascii="Times New Roman" w:cs="Times New Roman" w:eastAsia="Times New Roman" w:hAnsi="Times New Roman"/>
          <w:sz w:val="18"/>
          <w:szCs w:val="18"/>
          <w:color w:val="auto"/>
        </w:rPr>
      </w:pPr>
    </w:p>
    <w:p>
      <w:pPr>
        <w:ind w:firstLine="1606"/>
        <w:spacing w:after="0" w:line="260" w:lineRule="auto"/>
        <w:tabs>
          <w:tab w:leader="none" w:pos="232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Purchase Period or Offering Period by setting a New Exercise Date, including a Purchase Period or Offering Period underway at the time of the Administrator action;</w:t>
      </w:r>
    </w:p>
    <w:p>
      <w:pPr>
        <w:spacing w:after="0" w:line="150" w:lineRule="exact"/>
        <w:rPr>
          <w:rFonts w:ascii="Times New Roman" w:cs="Times New Roman" w:eastAsia="Times New Roman" w:hAnsi="Times New Roman"/>
          <w:sz w:val="18"/>
          <w:szCs w:val="18"/>
          <w:color w:val="auto"/>
        </w:rPr>
      </w:pPr>
    </w:p>
    <w:p>
      <w:pPr>
        <w:ind w:left="2260" w:hanging="654"/>
        <w:spacing w:after="0"/>
        <w:tabs>
          <w:tab w:leader="none" w:pos="22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192" w:lineRule="exact"/>
        <w:rPr>
          <w:rFonts w:ascii="Times New Roman" w:cs="Times New Roman" w:eastAsia="Times New Roman" w:hAnsi="Times New Roman"/>
          <w:sz w:val="18"/>
          <w:szCs w:val="18"/>
          <w:color w:val="auto"/>
        </w:rPr>
      </w:pPr>
    </w:p>
    <w:p>
      <w:pPr>
        <w:ind w:left="2480" w:hanging="874"/>
        <w:spacing w:after="0"/>
        <w:tabs>
          <w:tab w:leader="none" w:pos="24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Common Stock a Participant may purchase during any Purchase Period or</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Period.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Plan Participants.</w:t>
      </w:r>
    </w:p>
    <w:p>
      <w:pPr>
        <w:spacing w:after="0" w:line="199" w:lineRule="exact"/>
        <w:rPr>
          <w:sz w:val="20"/>
          <w:szCs w:val="20"/>
          <w:color w:val="auto"/>
        </w:rPr>
      </w:pPr>
    </w:p>
    <w:p>
      <w:pPr>
        <w:ind w:left="1080" w:hanging="539"/>
        <w:spacing w:after="0"/>
        <w:tabs>
          <w:tab w:leader="none" w:pos="1080"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 Upon Issuance of Shares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0" w:lineRule="exact"/>
        <w:rPr>
          <w:sz w:val="20"/>
          <w:szCs w:val="20"/>
          <w:color w:val="auto"/>
        </w:rPr>
      </w:pPr>
    </w:p>
    <w:p>
      <w:pPr>
        <w:jc w:val="both"/>
        <w:ind w:firstLine="541"/>
        <w:spacing w:after="0" w:line="247" w:lineRule="auto"/>
        <w:tabs>
          <w:tab w:leader="none" w:pos="129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The Plan will become effective upon the later to occur of (a) its adoption by the Board, (b)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(c) the time as of immediately prior to the completion of the Merger. The Plan will continue in effect for a term of twenty (20) years, unless sooner terminated under Section 18.</w:t>
      </w:r>
    </w:p>
    <w:p>
      <w:pPr>
        <w:spacing w:after="0" w:line="159" w:lineRule="exact"/>
        <w:rPr>
          <w:rFonts w:ascii="Times New Roman" w:cs="Times New Roman" w:eastAsia="Times New Roman" w:hAnsi="Times New Roman"/>
          <w:sz w:val="18"/>
          <w:szCs w:val="18"/>
          <w:color w:val="auto"/>
        </w:rPr>
      </w:pPr>
    </w:p>
    <w:p>
      <w:pPr>
        <w:ind w:firstLine="541"/>
        <w:spacing w:after="0" w:line="263" w:lineRule="auto"/>
        <w:tabs>
          <w:tab w:leader="none" w:pos="125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adopted by the Board. Such stockholder approval will be obtained in the manner and to the degree required under Applicable Laws.</w:t>
      </w:r>
    </w:p>
    <w:p>
      <w:pPr>
        <w:spacing w:after="0" w:line="145" w:lineRule="exact"/>
        <w:rPr>
          <w:rFonts w:ascii="Times New Roman" w:cs="Times New Roman" w:eastAsia="Times New Roman" w:hAnsi="Times New Roman"/>
          <w:sz w:val="18"/>
          <w:szCs w:val="18"/>
          <w:color w:val="auto"/>
        </w:rPr>
      </w:pPr>
    </w:p>
    <w:p>
      <w:pPr>
        <w:jc w:val="both"/>
        <w:ind w:firstLine="541"/>
        <w:spacing w:after="0" w:line="221" w:lineRule="exact"/>
        <w:tabs>
          <w:tab w:leader="none" w:pos="139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No interest will accrue on the Contributions of a participant in the Plan, except as may be required by Applicable Laws,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w:t>
      </w:r>
    </w:p>
    <w:p>
      <w:pPr>
        <w:spacing w:after="0" w:line="147" w:lineRule="exact"/>
        <w:rPr>
          <w:rFonts w:ascii="Times New Roman" w:cs="Times New Roman" w:eastAsia="Times New Roman" w:hAnsi="Times New Roman"/>
          <w:sz w:val="18"/>
          <w:szCs w:val="18"/>
          <w:color w:val="auto"/>
        </w:rPr>
      </w:pPr>
    </w:p>
    <w:p>
      <w:pPr>
        <w:jc w:val="both"/>
        <w:ind w:firstLine="541"/>
        <w:spacing w:after="0" w:line="242" w:lineRule="auto"/>
        <w:tabs>
          <w:tab w:leader="none" w:pos="13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w:t>
      </w:r>
      <w:r>
        <w:rPr>
          <w:rFonts w:ascii="Times New Roman" w:cs="Times New Roman" w:eastAsia="Times New Roman" w:hAnsi="Times New Roman"/>
          <w:sz w:val="18"/>
          <w:szCs w:val="18"/>
          <w:color w:val="auto"/>
        </w:rPr>
        <w:t>. Neither the Plan nor any option under the Plan will confer upon any Participant any right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4" w:name="page255"/>
    <w:bookmarkEnd w:id="254"/>
    <w:p>
      <w:pPr>
        <w:jc w:val="both"/>
        <w:ind w:firstLine="541"/>
        <w:spacing w:after="0" w:line="247" w:lineRule="auto"/>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given to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Employees at least annually, which statements will set forth the amounts of Contributions, the Purchase Price, the number of shares of Common Stock purchased and the remaining cash balance, if any.</w:t>
      </w:r>
    </w:p>
    <w:p>
      <w:pPr>
        <w:spacing w:after="0" w:line="160" w:lineRule="exact"/>
        <w:rPr>
          <w:rFonts w:ascii="Times New Roman" w:cs="Times New Roman" w:eastAsia="Times New Roman" w:hAnsi="Times New Roman"/>
          <w:sz w:val="18"/>
          <w:szCs w:val="18"/>
          <w:color w:val="auto"/>
        </w:rPr>
      </w:pPr>
    </w:p>
    <w:p>
      <w:pPr>
        <w:jc w:val="both"/>
        <w:ind w:firstLine="541"/>
        <w:spacing w:after="0" w:line="247" w:lineRule="auto"/>
        <w:tabs>
          <w:tab w:leader="none" w:pos="123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received in the form and manner specified by the Company at the location, or by the person, designated by the Company for the receipt thereof.</w:t>
      </w:r>
    </w:p>
    <w:p>
      <w:pPr>
        <w:spacing w:after="0" w:line="167"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Legal Construction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will be governed by, and construed in accordance with, the laws of the State of Delaware, but without regard to its conflict of law provisions.</w:t>
      </w:r>
    </w:p>
    <w:p>
      <w:pPr>
        <w:spacing w:after="0" w:line="14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7"/>
          <w:szCs w:val="17"/>
          <w:b w:val="1"/>
          <w:bCs w:val="1"/>
          <w:color w:val="auto"/>
        </w:rPr>
        <w:t>Headings</w:t>
      </w:r>
      <w:r>
        <w:rPr>
          <w:rFonts w:ascii="Times New Roman" w:cs="Times New Roman" w:eastAsia="Times New Roman" w:hAnsi="Times New Roman"/>
          <w:sz w:val="17"/>
          <w:szCs w:val="17"/>
          <w:color w:val="auto"/>
        </w:rPr>
        <w:t>. Headings are provided herein for convenience only, and will not serve as a basis for interpretation of the Plan.</w:t>
      </w:r>
    </w:p>
    <w:p>
      <w:pPr>
        <w:spacing w:after="0" w:line="192" w:lineRule="exact"/>
        <w:rPr>
          <w:sz w:val="20"/>
          <w:szCs w:val="20"/>
          <w:color w:val="auto"/>
        </w:rPr>
      </w:pPr>
    </w:p>
    <w:p>
      <w:pPr>
        <w:ind w:left="1420" w:hanging="879"/>
        <w:spacing w:after="0"/>
        <w:tabs>
          <w:tab w:leader="none" w:pos="14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Applicable Laws</w:t>
      </w:r>
      <w:r>
        <w:rPr>
          <w:rFonts w:ascii="Times New Roman" w:cs="Times New Roman" w:eastAsia="Times New Roman" w:hAnsi="Times New Roman"/>
          <w:sz w:val="18"/>
          <w:szCs w:val="18"/>
          <w:color w:val="auto"/>
        </w:rPr>
        <w:t>.  The terms of this Plan are intended to comply with all Applicable Laws and will be construed</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w:t>
      </w:r>
    </w:p>
    <w:p>
      <w:pPr>
        <w:spacing w:after="0" w:line="170" w:lineRule="exact"/>
        <w:rPr>
          <w:rFonts w:ascii="Times New Roman" w:cs="Times New Roman" w:eastAsia="Times New Roman" w:hAnsi="Times New Roman"/>
          <w:sz w:val="18"/>
          <w:szCs w:val="18"/>
          <w:color w:val="auto"/>
        </w:rPr>
      </w:pPr>
    </w:p>
    <w:p>
      <w:pPr>
        <w:jc w:val="both"/>
        <w:ind w:firstLine="541"/>
        <w:spacing w:after="0" w:line="207" w:lineRule="exact"/>
        <w:tabs>
          <w:tab w:leader="none" w:pos="13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Transfer to Low Price Offering Period</w:t>
      </w:r>
      <w:r>
        <w:rPr>
          <w:rFonts w:ascii="Times New Roman" w:cs="Times New Roman" w:eastAsia="Times New Roman" w:hAnsi="Times New Roman"/>
          <w:sz w:val="18"/>
          <w:szCs w:val="18"/>
          <w:color w:val="auto"/>
        </w:rPr>
        <w:t>. Unless determined otherwise by the Administrator, this Section 28 applies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enrolled in the immediately following Offering Period as of the first day thereof.</w:t>
      </w:r>
    </w:p>
    <w:p>
      <w:pPr>
        <w:spacing w:after="0" w:line="169" w:lineRule="exact"/>
        <w:rPr>
          <w:sz w:val="20"/>
          <w:szCs w:val="20"/>
          <w:color w:val="auto"/>
        </w:rPr>
      </w:pPr>
    </w:p>
    <w:p>
      <w:pPr>
        <w:ind w:left="5060"/>
        <w:spacing w:after="0"/>
        <w:tabs>
          <w:tab w:leader="none" w:pos="5580" w:val="left"/>
          <w:tab w:leader="none" w:pos="6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100" w:type="dxa"/>
            <w:vAlign w:val="bottom"/>
            <w:gridSpan w:val="2"/>
          </w:tcPr>
          <w:p>
            <w:pPr>
              <w:jc w:val="center"/>
              <w:ind w:right="5106"/>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3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22"/>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NAUTILUS BIOTECHNOLOGY, INC.</w:t>
            </w:r>
          </w:p>
        </w:tc>
      </w:tr>
      <w:tr>
        <w:trPr>
          <w:trHeight w:val="399"/>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2021 EMPLOYEE STOCK PURCHASE PLAN</w:t>
            </w:r>
          </w:p>
        </w:tc>
      </w:tr>
      <w:tr>
        <w:trPr>
          <w:trHeight w:val="399"/>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SUBSCRIPTION AGREEMENT</w:t>
            </w:r>
          </w:p>
        </w:tc>
      </w:tr>
      <w:tr>
        <w:trPr>
          <w:trHeight w:val="36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_____ Original Application</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80" w:type="dxa"/>
            <w:vAlign w:val="bottom"/>
          </w:tcPr>
          <w:p>
            <w:pPr>
              <w:ind w:left="2980"/>
              <w:spacing w:after="0"/>
              <w:rPr>
                <w:sz w:val="20"/>
                <w:szCs w:val="20"/>
                <w:color w:val="auto"/>
              </w:rPr>
            </w:pPr>
            <w:r>
              <w:rPr>
                <w:rFonts w:ascii="Times New Roman" w:cs="Times New Roman" w:eastAsia="Times New Roman" w:hAnsi="Times New Roman"/>
                <w:sz w:val="15"/>
                <w:szCs w:val="15"/>
                <w:color w:val="auto"/>
                <w:w w:val="99"/>
              </w:rPr>
              <w:t>Offering Date: _________________</w:t>
            </w:r>
          </w:p>
        </w:tc>
      </w:tr>
      <w:tr>
        <w:trPr>
          <w:trHeight w:val="4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_____ Change in Payroll Deduction Rate</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165" w:lineRule="exact"/>
        <w:rPr>
          <w:sz w:val="20"/>
          <w:szCs w:val="20"/>
          <w:color w:val="auto"/>
        </w:rPr>
      </w:pPr>
    </w:p>
    <w:p>
      <w:pPr>
        <w:jc w:val="both"/>
        <w:ind w:firstLine="541"/>
        <w:spacing w:after="0" w:line="247" w:lineRule="auto"/>
        <w:tabs>
          <w:tab w:leader="none" w:pos="11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 hereby elects to participate in the Nautilus Biotechnology, Inc. 2021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61" w:lineRule="exact"/>
        <w:rPr>
          <w:rFonts w:ascii="Times New Roman" w:cs="Times New Roman" w:eastAsia="Times New Roman" w:hAnsi="Times New Roman"/>
          <w:sz w:val="18"/>
          <w:szCs w:val="18"/>
          <w:color w:val="auto"/>
        </w:rPr>
      </w:pPr>
    </w:p>
    <w:p>
      <w:pPr>
        <w:jc w:val="both"/>
        <w:ind w:firstLine="541"/>
        <w:spacing w:after="0" w:line="239" w:lineRule="auto"/>
        <w:tabs>
          <w:tab w:leader="none" w:pos="113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67" w:lineRule="exact"/>
        <w:rPr>
          <w:rFonts w:ascii="Times New Roman" w:cs="Times New Roman" w:eastAsia="Times New Roman" w:hAnsi="Times New Roman"/>
          <w:sz w:val="18"/>
          <w:szCs w:val="18"/>
          <w:color w:val="auto"/>
        </w:rPr>
      </w:pPr>
    </w:p>
    <w:p>
      <w:pPr>
        <w:jc w:val="both"/>
        <w:ind w:firstLine="541"/>
        <w:spacing w:after="0" w:line="241" w:lineRule="auto"/>
        <w:tabs>
          <w:tab w:leader="none" w:pos="120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66" w:lineRule="exact"/>
        <w:rPr>
          <w:rFonts w:ascii="Times New Roman" w:cs="Times New Roman" w:eastAsia="Times New Roman" w:hAnsi="Times New Roman"/>
          <w:sz w:val="18"/>
          <w:szCs w:val="18"/>
          <w:color w:val="auto"/>
        </w:rPr>
      </w:pPr>
    </w:p>
    <w:p>
      <w:pPr>
        <w:ind w:firstLine="541"/>
        <w:spacing w:after="0" w:line="260" w:lineRule="auto"/>
        <w:tabs>
          <w:tab w:leader="none" w:pos="114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14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purchased for me under the Plan should be issued in the name(s) of _____________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7157085" cy="13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56" w:name="page257"/>
    <w:bookmarkEnd w:id="256"/>
    <w:p>
      <w:pPr>
        <w:jc w:val="both"/>
        <w:ind w:firstLine="541"/>
        <w:spacing w:after="0" w:line="249" w:lineRule="auto"/>
        <w:tabs>
          <w:tab w:leader="none" w:pos="1136"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7"/>
          <w:szCs w:val="17"/>
          <w:b w:val="1"/>
          <w:bCs w:val="1"/>
          <w:color w:val="auto"/>
        </w:rPr>
        <w:t>I hereby agree to notify the Company in writing within thirty (30) days after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17"/>
          <w:szCs w:val="17"/>
          <w:color w:val="auto"/>
        </w:rPr>
        <w:t>. The Company may, but will not be obligated to, withhold from my compensation the amount necessary to meet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61" w:lineRule="exact"/>
        <w:rPr>
          <w:rFonts w:ascii="Times New Roman" w:cs="Times New Roman" w:eastAsia="Times New Roman" w:hAnsi="Times New Roman"/>
          <w:sz w:val="17"/>
          <w:szCs w:val="17"/>
          <w:color w:val="auto"/>
        </w:rPr>
      </w:pPr>
    </w:p>
    <w:p>
      <w:pPr>
        <w:jc w:val="both"/>
        <w:ind w:firstLine="541"/>
        <w:spacing w:after="0" w:line="209" w:lineRule="exact"/>
        <w:tabs>
          <w:tab w:leader="none" w:pos="129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18"/>
          <w:szCs w:val="18"/>
          <w:b w:val="1"/>
          <w:bCs w:val="1"/>
          <w:color w:val="auto"/>
        </w:rPr>
        <w:t>Tax</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Related Items</w:t>
      </w:r>
      <w:r>
        <w:rPr>
          <w:rFonts w:ascii="Times New Roman" w:cs="Times New Roman" w:eastAsia="Times New Roman" w:hAnsi="Times New Roman"/>
          <w:sz w:val="18"/>
          <w:szCs w:val="18"/>
          <w:color w:val="auto"/>
        </w:rPr>
        <w:t>”), the ultimate liability for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more than one jurisdiction.</w:t>
      </w:r>
    </w:p>
    <w:p>
      <w:pPr>
        <w:spacing w:after="0" w:line="156" w:lineRule="exact"/>
        <w:rPr>
          <w:sz w:val="20"/>
          <w:szCs w:val="20"/>
          <w:color w:val="auto"/>
        </w:rPr>
      </w:pPr>
    </w:p>
    <w:p>
      <w:pPr>
        <w:jc w:val="both"/>
        <w:ind w:firstLine="532"/>
        <w:spacing w:after="0" w:line="212" w:lineRule="exact"/>
        <w:rPr>
          <w:sz w:val="20"/>
          <w:szCs w:val="20"/>
          <w:color w:val="auto"/>
        </w:rPr>
      </w:pPr>
      <w:r>
        <w:rPr>
          <w:rFonts w:ascii="Times New Roman" w:cs="Times New Roman" w:eastAsia="Times New Roman" w:hAnsi="Times New Roman"/>
          <w:sz w:val="18"/>
          <w:szCs w:val="18"/>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by considering applicable maximum withholding rates, in which case I will receive a refund of any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withheld amount in cash and will have no entitlement to the Common Stock equivalent.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7" w:name="page258"/>
    <w:bookmarkEnd w:id="257"/>
    <w:p>
      <w:pPr>
        <w:jc w:val="both"/>
        <w:ind w:firstLine="532"/>
        <w:spacing w:after="0" w:line="222" w:lineRule="exact"/>
        <w:rPr>
          <w:sz w:val="20"/>
          <w:szCs w:val="20"/>
          <w:color w:val="auto"/>
        </w:rPr>
      </w:pPr>
      <w:r>
        <w:rPr>
          <w:rFonts w:ascii="Times New Roman" w:cs="Times New Roman" w:eastAsia="Times New Roman" w:hAnsi="Times New Roman"/>
          <w:sz w:val="18"/>
          <w:szCs w:val="18"/>
          <w:color w:val="auto"/>
        </w:rPr>
        <w:t>Finally, I agree to pay to the Company or the applicable Designated Company any amount of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w:t>
      </w:r>
    </w:p>
    <w:p>
      <w:pPr>
        <w:spacing w:after="0" w:line="151" w:lineRule="exact"/>
        <w:rPr>
          <w:sz w:val="20"/>
          <w:szCs w:val="20"/>
          <w:color w:val="auto"/>
        </w:rPr>
      </w:pPr>
    </w:p>
    <w:p>
      <w:pPr>
        <w:ind w:left="1120" w:hanging="579"/>
        <w:spacing w:after="0"/>
        <w:tabs>
          <w:tab w:leader="none" w:pos="11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electing to participate in the Plan, I acknowledge, understand and agree that:</w:t>
      </w:r>
    </w:p>
    <w:p>
      <w:pPr>
        <w:spacing w:after="0" w:line="192" w:lineRule="exact"/>
        <w:rPr>
          <w:rFonts w:ascii="Times New Roman" w:cs="Times New Roman" w:eastAsia="Times New Roman" w:hAnsi="Times New Roman"/>
          <w:sz w:val="18"/>
          <w:szCs w:val="18"/>
          <w:color w:val="auto"/>
        </w:rPr>
      </w:pPr>
    </w:p>
    <w:p>
      <w:pPr>
        <w:ind w:left="80" w:right="20" w:firstLine="994"/>
        <w:spacing w:after="0" w:line="260" w:lineRule="auto"/>
        <w:tabs>
          <w:tab w:leader="none" w:pos="189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50"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under the Plan, if applicable, will be at the sole discretion of the Company;</w:t>
      </w:r>
    </w:p>
    <w:p>
      <w:pPr>
        <w:spacing w:after="0" w:line="192" w:lineRule="exact"/>
        <w:rPr>
          <w:rFonts w:ascii="Times New Roman" w:cs="Times New Roman" w:eastAsia="Times New Roman" w:hAnsi="Times New Roman"/>
          <w:sz w:val="18"/>
          <w:szCs w:val="18"/>
          <w:color w:val="auto"/>
        </w:rPr>
      </w:pPr>
    </w:p>
    <w:p>
      <w:pPr>
        <w:jc w:val="both"/>
        <w:ind w:left="80" w:firstLine="994"/>
        <w:spacing w:after="0" w:line="246" w:lineRule="auto"/>
        <w:tabs>
          <w:tab w:leader="none" w:pos="172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6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voluntarily participating in the Plan;</w:t>
      </w:r>
    </w:p>
    <w:p>
      <w:pPr>
        <w:spacing w:after="0" w:line="192" w:lineRule="exact"/>
        <w:rPr>
          <w:rFonts w:ascii="Times New Roman" w:cs="Times New Roman" w:eastAsia="Times New Roman" w:hAnsi="Times New Roman"/>
          <w:sz w:val="18"/>
          <w:szCs w:val="18"/>
          <w:color w:val="auto"/>
        </w:rPr>
      </w:pPr>
    </w:p>
    <w:p>
      <w:pPr>
        <w:ind w:left="80" w:firstLine="994"/>
        <w:spacing w:after="0" w:line="260" w:lineRule="auto"/>
        <w:tabs>
          <w:tab w:leader="none" w:pos="177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intended to replace any pension rights or compensation;</w:t>
      </w:r>
    </w:p>
    <w:p>
      <w:pPr>
        <w:spacing w:after="0" w:line="150" w:lineRule="exact"/>
        <w:rPr>
          <w:rFonts w:ascii="Times New Roman" w:cs="Times New Roman" w:eastAsia="Times New Roman" w:hAnsi="Times New Roman"/>
          <w:sz w:val="18"/>
          <w:szCs w:val="18"/>
          <w:color w:val="auto"/>
        </w:rPr>
      </w:pPr>
    </w:p>
    <w:p>
      <w:pPr>
        <w:jc w:val="both"/>
        <w:ind w:left="80" w:firstLine="994"/>
        <w:spacing w:after="0" w:line="220" w:lineRule="exact"/>
        <w:tabs>
          <w:tab w:leader="none" w:pos="176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payments, bonuses,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awards, pension or retirement benefits or similar payments;</w:t>
      </w:r>
    </w:p>
    <w:p>
      <w:pPr>
        <w:spacing w:after="0" w:line="150" w:lineRule="exact"/>
        <w:rPr>
          <w:rFonts w:ascii="Times New Roman" w:cs="Times New Roman" w:eastAsia="Times New Roman" w:hAnsi="Times New Roman"/>
          <w:sz w:val="18"/>
          <w:szCs w:val="18"/>
          <w:color w:val="auto"/>
        </w:rPr>
      </w:pPr>
    </w:p>
    <w:p>
      <w:pPr>
        <w:ind w:left="1860" w:hanging="786"/>
        <w:spacing w:after="0"/>
        <w:tabs>
          <w:tab w:leader="none" w:pos="18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offered under the Plan is unknown, indeterminable and cannot be predicted with</w:t>
      </w:r>
    </w:p>
    <w:p>
      <w:pPr>
        <w:spacing w:after="0" w:line="12"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17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I acquire under the Plan may increase or decrease in value, even below the Purchase Price;</w:t>
      </w:r>
    </w:p>
    <w:p>
      <w:pPr>
        <w:spacing w:after="0" w:line="192" w:lineRule="exact"/>
        <w:rPr>
          <w:rFonts w:ascii="Times New Roman" w:cs="Times New Roman" w:eastAsia="Times New Roman" w:hAnsi="Times New Roman"/>
          <w:sz w:val="18"/>
          <w:szCs w:val="18"/>
          <w:color w:val="auto"/>
        </w:rPr>
      </w:pPr>
    </w:p>
    <w:p>
      <w:pPr>
        <w:jc w:val="both"/>
        <w:ind w:left="80" w:firstLine="994"/>
        <w:spacing w:after="0" w:line="236" w:lineRule="auto"/>
        <w:tabs>
          <w:tab w:leader="none" w:pos="169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258" w:name="page259"/>
    <w:bookmarkEnd w:id="258"/>
    <w:p>
      <w:pPr>
        <w:jc w:val="both"/>
        <w:ind w:left="80" w:firstLine="994"/>
        <w:spacing w:after="0" w:line="236" w:lineRule="auto"/>
        <w:tabs>
          <w:tab w:leader="none" w:pos="182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w:t>
      </w:r>
      <w:r>
        <w:rPr>
          <w:rFonts w:ascii="Times New Roman" w:cs="Times New Roman" w:eastAsia="Times New Roman" w:hAnsi="Times New Roman"/>
          <w:sz w:val="18"/>
          <w:szCs w:val="18"/>
          <w:b w:val="1"/>
          <w:bCs w:val="1"/>
          <w:color w:val="auto"/>
        </w:rPr>
        <w:t>garden leave</w:t>
      </w:r>
      <w:r>
        <w:rPr>
          <w:rFonts w:ascii="Times New Roman" w:cs="Times New Roman" w:eastAsia="Times New Roman" w:hAnsi="Times New Roman"/>
          <w:sz w:val="18"/>
          <w:szCs w:val="18"/>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66" w:lineRule="exact"/>
        <w:rPr>
          <w:rFonts w:ascii="Times New Roman" w:cs="Times New Roman" w:eastAsia="Times New Roman" w:hAnsi="Times New Roman"/>
          <w:sz w:val="18"/>
          <w:szCs w:val="18"/>
          <w:color w:val="auto"/>
        </w:rPr>
      </w:pPr>
    </w:p>
    <w:p>
      <w:pPr>
        <w:jc w:val="both"/>
        <w:ind w:firstLine="541"/>
        <w:spacing w:after="0" w:line="233" w:lineRule="auto"/>
        <w:tabs>
          <w:tab w:leader="none" w:pos="1309" w:val="left"/>
        </w:tabs>
        <w:numPr>
          <w:ilvl w:val="0"/>
          <w:numId w:val="2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73"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9" w:name="page260"/>
    <w:bookmarkEnd w:id="259"/>
    <w:p>
      <w:pPr>
        <w:jc w:val="both"/>
        <w:ind w:firstLine="532"/>
        <w:spacing w:after="0" w:line="242" w:lineRule="auto"/>
        <w:rPr>
          <w:sz w:val="20"/>
          <w:szCs w:val="20"/>
          <w:color w:val="auto"/>
        </w:rPr>
      </w:pPr>
      <w:r>
        <w:rPr>
          <w:rFonts w:ascii="Times New Roman" w:cs="Times New Roman" w:eastAsia="Times New Roman" w:hAnsi="Times New Roman"/>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67" w:lineRule="exact"/>
        <w:rPr>
          <w:sz w:val="20"/>
          <w:szCs w:val="20"/>
          <w:color w:val="auto"/>
        </w:rPr>
      </w:pPr>
    </w:p>
    <w:p>
      <w:pPr>
        <w:ind w:firstLine="541"/>
        <w:spacing w:after="0" w:line="260" w:lineRule="auto"/>
        <w:tabs>
          <w:tab w:leader="none" w:pos="124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29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50" w:lineRule="exact"/>
        <w:rPr>
          <w:rFonts w:ascii="Times New Roman" w:cs="Times New Roman" w:eastAsia="Times New Roman" w:hAnsi="Times New Roman"/>
          <w:sz w:val="18"/>
          <w:szCs w:val="18"/>
          <w:color w:val="auto"/>
        </w:rPr>
      </w:pPr>
    </w:p>
    <w:p>
      <w:pPr>
        <w:jc w:val="both"/>
        <w:ind w:firstLine="541"/>
        <w:spacing w:after="0" w:line="237" w:lineRule="auto"/>
        <w:tabs>
          <w:tab w:leader="none" w:pos="132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0" w:name="page261"/>
    <w:bookmarkEnd w:id="260"/>
    <w:p>
      <w:pPr>
        <w:ind w:firstLine="541"/>
        <w:spacing w:after="0" w:line="259" w:lineRule="auto"/>
        <w:tabs>
          <w:tab w:leader="none" w:pos="119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Employee’s Social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 Number</w:t>
      </w:r>
    </w:p>
    <w:p>
      <w:pPr>
        <w:spacing w:after="0" w:line="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(for U.S.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-635</wp:posOffset>
            </wp:positionV>
            <wp:extent cx="3578225" cy="13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78225" cy="139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262890</wp:posOffset>
            </wp:positionV>
            <wp:extent cx="3578225"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78225" cy="1397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135890</wp:posOffset>
            </wp:positionV>
            <wp:extent cx="3578225" cy="139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78225" cy="1397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9525</wp:posOffset>
            </wp:positionV>
            <wp:extent cx="3578225" cy="139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7822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19685</wp:posOffset>
            </wp:positionV>
            <wp:extent cx="6438265" cy="13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38265" cy="13970"/>
                    </a:xfrm>
                    <a:prstGeom prst="rect">
                      <a:avLst/>
                    </a:prstGeom>
                    <a:noFill/>
                  </pic:spPr>
                </pic:pic>
              </a:graphicData>
            </a:graphic>
          </wp:anchor>
        </w:drawing>
      </w:r>
    </w:p>
    <w:p>
      <w:pPr>
        <w:spacing w:after="0" w:line="1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5"/>
          <w:szCs w:val="15"/>
          <w:color w:val="auto"/>
        </w:rPr>
        <w:t>Signature of Employee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1" w:name="page262"/>
    <w:bookmarkEnd w:id="26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undersigned Participant in the Offering Period of the Nautilus Biotechnology, Inc. 2021 Employee Stock Purchase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that began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______ (the “</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hereby notifies the Company that he or she hereby withdraws from the Offering Period.  He or she hereby</w:t>
      </w:r>
    </w:p>
    <w:p>
      <w:pPr>
        <w:jc w:val="both"/>
        <w:spacing w:after="0" w:line="234" w:lineRule="auto"/>
        <w:rPr>
          <w:sz w:val="20"/>
          <w:szCs w:val="20"/>
          <w:color w:val="auto"/>
        </w:rPr>
      </w:pPr>
      <w:r>
        <w:rPr>
          <w:rFonts w:ascii="Times New Roman" w:cs="Times New Roman" w:eastAsia="Times New Roman" w:hAnsi="Times New Roman"/>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386080</wp:posOffset>
            </wp:positionV>
            <wp:extent cx="3571240" cy="139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71240" cy="139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259080</wp:posOffset>
            </wp:positionV>
            <wp:extent cx="3571240" cy="13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71240" cy="139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132080</wp:posOffset>
            </wp:positionV>
            <wp:extent cx="3571240"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71240" cy="1397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132080</wp:posOffset>
            </wp:positionV>
            <wp:extent cx="3571240"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71240" cy="13970"/>
                    </a:xfrm>
                    <a:prstGeom prst="rect">
                      <a:avLst/>
                    </a:prstGeom>
                    <a:noFill/>
                  </pic:spPr>
                </pic:pic>
              </a:graphicData>
            </a:graphic>
          </wp:anchor>
        </w:drawing>
      </w:r>
    </w:p>
    <w:p>
      <w:pPr>
        <w:spacing w:after="0" w:line="1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19685</wp:posOffset>
            </wp:positionV>
            <wp:extent cx="3071495" cy="13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71495" cy="139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10.1</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170"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This SPONSOR LETTER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February 7, 2021, is made by and among ARYA Sciences Holdings III, an exempted company incorporated in the Cayman Islands with limited liability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xml:space="preserve">”), the other holders of ARYA Class B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Other Class B Holders</w:t>
      </w:r>
      <w:r>
        <w:rPr>
          <w:rFonts w:ascii="Times New Roman" w:cs="Times New Roman" w:eastAsia="Times New Roman" w:hAnsi="Times New Roman"/>
          <w:sz w:val="18"/>
          <w:szCs w:val="18"/>
          <w:color w:val="auto"/>
        </w:rPr>
        <w:t>”, and together with the Sponsor, collectively, the “</w:t>
      </w:r>
      <w:r>
        <w:rPr>
          <w:rFonts w:ascii="Times New Roman" w:cs="Times New Roman" w:eastAsia="Times New Roman" w:hAnsi="Times New Roman"/>
          <w:sz w:val="18"/>
          <w:szCs w:val="18"/>
          <w:b w:val="1"/>
          <w:bCs w:val="1"/>
          <w:u w:val="single" w:color="auto"/>
          <w:color w:val="auto"/>
        </w:rPr>
        <w:t>Shareholders</w:t>
      </w:r>
      <w:r>
        <w:rPr>
          <w:rFonts w:ascii="Times New Roman" w:cs="Times New Roman" w:eastAsia="Times New Roman" w:hAnsi="Times New Roman"/>
          <w:sz w:val="18"/>
          <w:szCs w:val="18"/>
          <w:color w:val="auto"/>
        </w:rPr>
        <w:t>”), ARYA Sciences Acquisition Corp III, an exempted company incorporated in the Cayman Islands with limited liability (“</w:t>
      </w:r>
      <w:r>
        <w:rPr>
          <w:rFonts w:ascii="Times New Roman" w:cs="Times New Roman" w:eastAsia="Times New Roman" w:hAnsi="Times New Roman"/>
          <w:sz w:val="18"/>
          <w:szCs w:val="18"/>
          <w:b w:val="1"/>
          <w:bCs w:val="1"/>
          <w:u w:val="single" w:color="auto"/>
          <w:color w:val="auto"/>
        </w:rPr>
        <w:t>ARYA</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Sponsor, the Other Class B Holders, ARYA and the Company shall be referred to herein from time to time collectively as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Business Combination Agreement (as defined below).</w:t>
      </w:r>
    </w:p>
    <w:p>
      <w:pPr>
        <w:spacing w:after="0" w:line="169"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51" w:lineRule="exact"/>
        <w:rPr>
          <w:sz w:val="20"/>
          <w:szCs w:val="20"/>
          <w:color w:val="auto"/>
        </w:rPr>
      </w:pPr>
    </w:p>
    <w:p>
      <w:pPr>
        <w:ind w:left="1120" w:hanging="579"/>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065"/>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Times New Roman" w:cs="Times New Roman" w:eastAsia="Times New Roman" w:hAnsi="Times New Roman"/>
          <w:sz w:val="18"/>
          <w:szCs w:val="18"/>
          <w:b w:val="1"/>
          <w:bCs w:val="1"/>
          <w:u w:val="single" w:color="auto"/>
          <w:color w:val="auto"/>
        </w:rPr>
        <w:t>Subject ARYA Equity Securities</w:t>
      </w:r>
      <w:r>
        <w:rPr>
          <w:rFonts w:ascii="Times New Roman" w:cs="Times New Roman" w:eastAsia="Times New Roman" w:hAnsi="Times New Roman"/>
          <w:sz w:val="18"/>
          <w:szCs w:val="18"/>
          <w:color w:val="auto"/>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263" w:name="page264"/>
    <w:bookmarkEnd w:id="263"/>
    <w:p>
      <w:pPr>
        <w:jc w:val="both"/>
        <w:ind w:firstLine="1074"/>
        <w:spacing w:after="0" w:line="236" w:lineRule="auto"/>
        <w:tabs>
          <w:tab w:leader="none" w:pos="1827"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 the holders of ARYA Shares and (iii) to vote (or cause to be voted), or deliver a written consent (or withhold consent) with respect to, as applicable, the ARYA Equity Securities on the matters specified in, and in accordance and consistent with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jc w:val="both"/>
        <w:ind w:firstLine="1074"/>
        <w:spacing w:after="0" w:line="235" w:lineRule="auto"/>
        <w:tabs>
          <w:tab w:leader="none" w:pos="171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jc w:val="both"/>
        <w:ind w:firstLine="541"/>
        <w:spacing w:after="0" w:line="236" w:lineRule="auto"/>
        <w:tabs>
          <w:tab w:leader="none" w:pos="114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Protection</w:t>
      </w:r>
      <w:r>
        <w:rPr>
          <w:rFonts w:ascii="Times New Roman" w:cs="Times New Roman" w:eastAsia="Times New Roman" w:hAnsi="Times New Roman"/>
          <w:sz w:val="18"/>
          <w:szCs w:val="18"/>
          <w:color w:val="auto"/>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Times New Roman" w:cs="Times New Roman" w:eastAsia="Times New Roman" w:hAnsi="Times New Roman"/>
          <w:sz w:val="18"/>
          <w:szCs w:val="18"/>
          <w:b w:val="1"/>
          <w:bCs w:val="1"/>
          <w:u w:val="single" w:color="auto"/>
          <w:color w:val="auto"/>
        </w:rPr>
        <w:t>ARYA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and following the Domestication, no provision of the Pre-Closing ARYA Governing Documents, including Article 12 of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of ARYA, will be of any force or effect with respect to the shares of ARYA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4" w:name="page265"/>
    <w:bookmarkEnd w:id="264"/>
    <w:p>
      <w:pPr>
        <w:ind w:left="1120" w:hanging="579"/>
        <w:spacing w:after="0"/>
        <w:tabs>
          <w:tab w:leader="none" w:pos="11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074"/>
        <w:spacing w:after="0" w:line="247" w:lineRule="auto"/>
        <w:tabs>
          <w:tab w:leader="none" w:pos="1747" w:val="left"/>
        </w:tabs>
        <w:numPr>
          <w:ilvl w:val="2"/>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transferring Shareholder shall, and shall cause any transferee of his, her or its Subject ARYA Securities of the type set forth in clauses</w:t>
      </w:r>
    </w:p>
    <w:p>
      <w:pPr>
        <w:spacing w:after="0" w:line="1" w:lineRule="exact"/>
        <w:rPr>
          <w:rFonts w:ascii="Times New Roman" w:cs="Times New Roman" w:eastAsia="Times New Roman" w:hAnsi="Times New Roman"/>
          <w:sz w:val="17"/>
          <w:szCs w:val="17"/>
          <w:color w:val="auto"/>
        </w:rPr>
      </w:pPr>
    </w:p>
    <w:p>
      <w:pPr>
        <w:jc w:val="both"/>
        <w:ind w:firstLine="9"/>
        <w:spacing w:after="0" w:line="249" w:lineRule="auto"/>
        <w:tabs>
          <w:tab w:leader="none" w:pos="269"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with respect to such transferee and his, her or its Subject ARYA Equity Securities received upon such Transfer, as applicable) prior and as a condition to the occurrence of such Transfer. For purposes of this Agreement, “</w:t>
      </w: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160" w:lineRule="exact"/>
        <w:rPr>
          <w:rFonts w:ascii="Times New Roman" w:cs="Times New Roman" w:eastAsia="Times New Roman" w:hAnsi="Times New Roman"/>
          <w:sz w:val="17"/>
          <w:szCs w:val="17"/>
          <w:color w:val="auto"/>
        </w:rPr>
      </w:pPr>
    </w:p>
    <w:p>
      <w:pPr>
        <w:jc w:val="both"/>
        <w:ind w:firstLine="1074"/>
        <w:spacing w:after="0" w:line="256" w:lineRule="auto"/>
        <w:tabs>
          <w:tab w:leader="none" w:pos="1663" w:val="left"/>
        </w:tabs>
        <w:numPr>
          <w:ilvl w:val="2"/>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furtherance of the foregoing, ARYA hereby agrees to (i) place a revocable stop order on all Subject ARYA Equity Securities subject to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including those which may be covered by a registration statement, and (ii) notify ARYA’s transfer agent in writing of such stop order and the restrictions on such Subject ARYA Equity Securities under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and direct ARYA’s transfer agent not to process any attempts by any such Shareholder to Transfer any Subject ARYA Equity Securities except in compliance with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for the avoidance of doubt, the obligations of ARYA under this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shall be deemed to be satisfied by the existence of any similar stop order or restrictions currently existing on the Subject ARYA Equity Securities.</w:t>
      </w:r>
    </w:p>
    <w:p>
      <w:pPr>
        <w:spacing w:after="0" w:line="155" w:lineRule="exact"/>
        <w:rPr>
          <w:rFonts w:ascii="Times New Roman" w:cs="Times New Roman" w:eastAsia="Times New Roman" w:hAnsi="Times New Roman"/>
          <w:sz w:val="17"/>
          <w:szCs w:val="17"/>
          <w:color w:val="auto"/>
        </w:rPr>
      </w:pPr>
    </w:p>
    <w:p>
      <w:pPr>
        <w:ind w:left="1120" w:hanging="579"/>
        <w:spacing w:after="0"/>
        <w:tabs>
          <w:tab w:leader="none" w:pos="11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074"/>
        <w:spacing w:after="0" w:line="241" w:lineRule="auto"/>
        <w:tabs>
          <w:tab w:leader="none" w:pos="1729"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5" w:name="page266"/>
    <w:bookmarkEnd w:id="265"/>
    <w:p>
      <w:pPr>
        <w:jc w:val="both"/>
        <w:ind w:firstLine="1074"/>
        <w:spacing w:after="0" w:line="238" w:lineRule="auto"/>
        <w:tabs>
          <w:tab w:leader="none" w:pos="170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spacing w:after="0" w:line="170" w:lineRule="exact"/>
        <w:rPr>
          <w:rFonts w:ascii="Times New Roman" w:cs="Times New Roman" w:eastAsia="Times New Roman" w:hAnsi="Times New Roman"/>
          <w:sz w:val="18"/>
          <w:szCs w:val="18"/>
          <w:color w:val="auto"/>
        </w:rPr>
      </w:pPr>
    </w:p>
    <w:p>
      <w:pPr>
        <w:ind w:firstLine="1074"/>
        <w:spacing w:after="0" w:line="260" w:lineRule="auto"/>
        <w:tabs>
          <w:tab w:leader="none" w:pos="179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agrees that it shall not exercise or submit a request to exercise the ARYA Shareholder Redemption with respect to any ARYA Class A Shares held by him, her or it.</w:t>
      </w:r>
    </w:p>
    <w:p>
      <w:pPr>
        <w:spacing w:after="0" w:line="150" w:lineRule="exact"/>
        <w:rPr>
          <w:rFonts w:ascii="Times New Roman" w:cs="Times New Roman" w:eastAsia="Times New Roman" w:hAnsi="Times New Roman"/>
          <w:sz w:val="18"/>
          <w:szCs w:val="18"/>
          <w:color w:val="auto"/>
        </w:rPr>
      </w:pPr>
    </w:p>
    <w:p>
      <w:pPr>
        <w:jc w:val="both"/>
        <w:ind w:firstLine="541"/>
        <w:spacing w:after="0" w:line="246" w:lineRule="auto"/>
        <w:tabs>
          <w:tab w:leader="none" w:pos="114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Lock-up Period</w:t>
      </w:r>
      <w:r>
        <w:rPr>
          <w:rFonts w:ascii="Times New Roman" w:cs="Times New Roman" w:eastAsia="Times New Roman" w:hAnsi="Times New Roman"/>
          <w:sz w:val="18"/>
          <w:szCs w:val="18"/>
          <w:color w:val="auto"/>
        </w:rPr>
        <w:t>. Each of the Shareholders hereby agrees that subject to, and conditioned upon the occurrence and effective as of, the Closing, Section 5 of that certain Letter Agreement, dated August 6, 2020 (the “</w:t>
      </w:r>
      <w:r>
        <w:rPr>
          <w:rFonts w:ascii="Times New Roman" w:cs="Times New Roman" w:eastAsia="Times New Roman" w:hAnsi="Times New Roman"/>
          <w:sz w:val="18"/>
          <w:szCs w:val="18"/>
          <w:b w:val="1"/>
          <w:bCs w:val="1"/>
          <w:u w:val="single" w:color="auto"/>
          <w:color w:val="auto"/>
        </w:rPr>
        <w:t>Insider Letter Agreement</w:t>
      </w:r>
      <w:r>
        <w:rPr>
          <w:rFonts w:ascii="Times New Roman" w:cs="Times New Roman" w:eastAsia="Times New Roman" w:hAnsi="Times New Roman"/>
          <w:sz w:val="18"/>
          <w:szCs w:val="18"/>
          <w:color w:val="auto"/>
        </w:rPr>
        <w:t>”), by and among ARYA, the Shareholders and the other members of the ARYA Board, shall be amended and restated in its entirety as follows:</w:t>
      </w:r>
    </w:p>
    <w:p>
      <w:pPr>
        <w:spacing w:after="0" w:line="162"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amendment and restatement of the Insider Letter Agreement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void and of no force and effect if the Business Combination Agreement is terminated in accordance with its terms.</w:t>
      </w:r>
    </w:p>
    <w:p>
      <w:pPr>
        <w:spacing w:after="0" w:line="151" w:lineRule="exact"/>
        <w:rPr>
          <w:sz w:val="20"/>
          <w:szCs w:val="20"/>
          <w:color w:val="auto"/>
        </w:rPr>
      </w:pPr>
    </w:p>
    <w:p>
      <w:pPr>
        <w:ind w:firstLine="541"/>
        <w:spacing w:after="0" w:line="260" w:lineRule="auto"/>
        <w:tabs>
          <w:tab w:leader="none" w:pos="115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Shareholder represents and warrants, solely with respect to himself, herself or itself and not any of the other Shareholders, to the Company as follows:</w:t>
      </w:r>
    </w:p>
    <w:p>
      <w:pPr>
        <w:spacing w:after="0" w:line="150" w:lineRule="exact"/>
        <w:rPr>
          <w:rFonts w:ascii="Times New Roman" w:cs="Times New Roman" w:eastAsia="Times New Roman" w:hAnsi="Times New Roman"/>
          <w:sz w:val="18"/>
          <w:szCs w:val="18"/>
          <w:color w:val="auto"/>
        </w:rPr>
      </w:pPr>
    </w:p>
    <w:p>
      <w:pPr>
        <w:jc w:val="both"/>
        <w:ind w:firstLine="1074"/>
        <w:spacing w:after="0" w:line="267" w:lineRule="auto"/>
        <w:tabs>
          <w:tab w:leader="none" w:pos="1720"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46" w:lineRule="exact"/>
        <w:rPr>
          <w:rFonts w:ascii="Times New Roman" w:cs="Times New Roman" w:eastAsia="Times New Roman" w:hAnsi="Times New Roman"/>
          <w:sz w:val="17"/>
          <w:szCs w:val="17"/>
          <w:color w:val="auto"/>
        </w:rPr>
      </w:pPr>
    </w:p>
    <w:p>
      <w:pPr>
        <w:jc w:val="both"/>
        <w:ind w:firstLine="1074"/>
        <w:spacing w:after="0" w:line="235" w:lineRule="auto"/>
        <w:tabs>
          <w:tab w:leader="none" w:pos="177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 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spacing w:after="0" w:line="172" w:lineRule="exact"/>
        <w:rPr>
          <w:rFonts w:ascii="Times New Roman" w:cs="Times New Roman" w:eastAsia="Times New Roman" w:hAnsi="Times New Roman"/>
          <w:sz w:val="18"/>
          <w:szCs w:val="18"/>
          <w:color w:val="auto"/>
        </w:rPr>
      </w:pPr>
    </w:p>
    <w:p>
      <w:pPr>
        <w:jc w:val="both"/>
        <w:ind w:firstLine="1074"/>
        <w:spacing w:after="0" w:line="237" w:lineRule="auto"/>
        <w:tabs>
          <w:tab w:leader="none" w:pos="167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firstLine="1074"/>
        <w:spacing w:after="0" w:line="235" w:lineRule="auto"/>
        <w:tabs>
          <w:tab w:leader="none" w:pos="164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6" w:name="page267"/>
    <w:bookmarkEnd w:id="266"/>
    <w:p>
      <w:pPr>
        <w:jc w:val="both"/>
        <w:ind w:firstLine="1074"/>
        <w:spacing w:after="0" w:line="248" w:lineRule="auto"/>
        <w:tabs>
          <w:tab w:leader="none" w:pos="168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spacing w:after="0" w:line="168" w:lineRule="exact"/>
        <w:rPr>
          <w:rFonts w:ascii="Times New Roman" w:cs="Times New Roman" w:eastAsia="Times New Roman" w:hAnsi="Times New Roman"/>
          <w:sz w:val="17"/>
          <w:szCs w:val="17"/>
          <w:color w:val="auto"/>
        </w:rPr>
      </w:pPr>
    </w:p>
    <w:p>
      <w:pPr>
        <w:jc w:val="both"/>
        <w:ind w:firstLine="1074"/>
        <w:spacing w:after="0" w:line="246" w:lineRule="auto"/>
        <w:tabs>
          <w:tab w:leader="none" w:pos="170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spacing w:after="0" w:line="162" w:lineRule="exact"/>
        <w:rPr>
          <w:rFonts w:ascii="Times New Roman" w:cs="Times New Roman" w:eastAsia="Times New Roman" w:hAnsi="Times New Roman"/>
          <w:sz w:val="18"/>
          <w:szCs w:val="18"/>
          <w:color w:val="auto"/>
        </w:rPr>
      </w:pPr>
    </w:p>
    <w:p>
      <w:pPr>
        <w:jc w:val="both"/>
        <w:ind w:firstLine="1074"/>
        <w:spacing w:after="0" w:line="236" w:lineRule="auto"/>
        <w:tabs>
          <w:tab w:leader="none" w:pos="1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72" w:lineRule="exact"/>
        <w:rPr>
          <w:rFonts w:ascii="Times New Roman" w:cs="Times New Roman" w:eastAsia="Times New Roman" w:hAnsi="Times New Roman"/>
          <w:sz w:val="18"/>
          <w:szCs w:val="18"/>
          <w:color w:val="auto"/>
        </w:rPr>
      </w:pPr>
    </w:p>
    <w:p>
      <w:pPr>
        <w:jc w:val="both"/>
        <w:ind w:firstLine="1074"/>
        <w:spacing w:after="0" w:line="235" w:lineRule="auto"/>
        <w:tabs>
          <w:tab w:leader="none" w:pos="17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72" w:lineRule="exact"/>
        <w:rPr>
          <w:rFonts w:ascii="Times New Roman" w:cs="Times New Roman" w:eastAsia="Times New Roman" w:hAnsi="Times New Roman"/>
          <w:sz w:val="18"/>
          <w:szCs w:val="18"/>
          <w:color w:val="auto"/>
        </w:rPr>
      </w:pPr>
    </w:p>
    <w:p>
      <w:pPr>
        <w:jc w:val="both"/>
        <w:ind w:firstLine="1074"/>
        <w:spacing w:after="0" w:line="239" w:lineRule="auto"/>
        <w:tabs>
          <w:tab w:leader="none" w:pos="18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7" w:name="page268"/>
    <w:bookmarkEnd w:id="267"/>
    <w:p>
      <w:pPr>
        <w:jc w:val="both"/>
        <w:ind w:firstLine="541"/>
        <w:spacing w:after="0" w:line="250" w:lineRule="auto"/>
        <w:tabs>
          <w:tab w:leader="none" w:pos="1187"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automatically terminate, without any notice or other action by any Party, and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shall not affect any Liability on the part of any Party for a Willful Breach of any covenant or agreement set forth in this Agreement prior to such termination,</w:t>
      </w:r>
    </w:p>
    <w:p>
      <w:pPr>
        <w:spacing w:after="0" w:line="3" w:lineRule="exact"/>
        <w:rPr>
          <w:rFonts w:ascii="Times New Roman" w:cs="Times New Roman" w:eastAsia="Times New Roman" w:hAnsi="Times New Roman"/>
          <w:sz w:val="17"/>
          <w:szCs w:val="17"/>
          <w:color w:val="auto"/>
        </w:rPr>
      </w:pPr>
    </w:p>
    <w:p>
      <w:pPr>
        <w:jc w:val="both"/>
        <w:ind w:firstLine="9"/>
        <w:spacing w:after="0" w:line="232" w:lineRule="auto"/>
        <w:tabs>
          <w:tab w:leader="none" w:pos="31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4(a)(i)</w:t>
      </w:r>
      <w:r>
        <w:rPr>
          <w:rFonts w:ascii="Times New Roman" w:cs="Times New Roman" w:eastAsia="Times New Roman" w:hAnsi="Times New Roman"/>
          <w:sz w:val="18"/>
          <w:szCs w:val="18"/>
          <w:color w:val="auto"/>
        </w:rPr>
        <w:t xml:space="preserve"> (solely to the extent that it relates to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(Confidentiality and Access to Information) of the Business Combination Agreement) and the representations and warranties set forth in </w:t>
      </w:r>
      <w:r>
        <w:rPr>
          <w:rFonts w:ascii="Times New Roman" w:cs="Times New Roman" w:eastAsia="Times New Roman" w:hAnsi="Times New Roman"/>
          <w:sz w:val="18"/>
          <w:szCs w:val="18"/>
          <w:u w:val="single" w:color="auto"/>
          <w:color w:val="auto"/>
        </w:rPr>
        <w:t>Sections 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each survive the termination of this Agreement, (iii) </w:t>
      </w:r>
      <w:r>
        <w:rPr>
          <w:rFonts w:ascii="Times New Roman" w:cs="Times New Roman" w:eastAsia="Times New Roman" w:hAnsi="Times New Roman"/>
          <w:sz w:val="18"/>
          <w:szCs w:val="18"/>
          <w:u w:val="single" w:color="auto"/>
          <w:color w:val="auto"/>
        </w:rPr>
        <w:t>Section 4(a)(i)</w:t>
      </w:r>
      <w:r>
        <w:rPr>
          <w:rFonts w:ascii="Times New Roman" w:cs="Times New Roman" w:eastAsia="Times New Roman" w:hAnsi="Times New Roman"/>
          <w:sz w:val="18"/>
          <w:szCs w:val="18"/>
          <w:color w:val="auto"/>
        </w:rPr>
        <w:t xml:space="preserve"> (solely to the extent that it relates to Section 5.4(a) (Public Announcements) of the Business Combination Agreement)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each survive the termination of this Agreement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(iv)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Sections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(to the extent related to any of the provisions that survive the termination of this Agreement) shall survive any termination of this Agreement.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 “</w:t>
      </w:r>
      <w:r>
        <w:rPr>
          <w:rFonts w:ascii="Times New Roman" w:cs="Times New Roman" w:eastAsia="Times New Roman" w:hAnsi="Times New Roman"/>
          <w:sz w:val="18"/>
          <w:szCs w:val="18"/>
          <w:b w:val="1"/>
          <w:bCs w:val="1"/>
          <w:u w:val="single" w:color="auto"/>
          <w:color w:val="auto"/>
        </w:rPr>
        <w:t>Willful Breach”</w:t>
      </w:r>
      <w:r>
        <w:rPr>
          <w:rFonts w:ascii="Times New Roman" w:cs="Times New Roman" w:eastAsia="Times New Roman" w:hAnsi="Times New Roman"/>
          <w:sz w:val="18"/>
          <w:szCs w:val="18"/>
          <w:color w:val="auto"/>
        </w:rPr>
        <w:t xml:space="preserve">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8"/>
          <w:szCs w:val="18"/>
          <w:b w:val="1"/>
          <w:bCs w:val="1"/>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73" w:lineRule="exact"/>
        <w:rPr>
          <w:rFonts w:ascii="Times New Roman" w:cs="Times New Roman" w:eastAsia="Times New Roman" w:hAnsi="Times New Roman"/>
          <w:sz w:val="18"/>
          <w:szCs w:val="18"/>
          <w:color w:val="auto"/>
        </w:rPr>
      </w:pPr>
    </w:p>
    <w:p>
      <w:pPr>
        <w:jc w:val="both"/>
        <w:ind w:firstLine="541"/>
        <w:spacing w:after="0" w:line="234" w:lineRule="auto"/>
        <w:tabs>
          <w:tab w:leader="none" w:pos="113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8" w:name="page269"/>
    <w:bookmarkEnd w:id="268"/>
    <w:p>
      <w:pPr>
        <w:spacing w:after="0" w:line="247" w:lineRule="auto"/>
        <w:framePr w:w="1940" w:h="664" w:wrap="auto" w:vAnchor="page" w:hAnchor="page" w:x="3040" w:y="4468"/>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Altman Konstantin Poukalov altman@perceptivelife.com konstantin@perceptivelife.com</w:t>
      </w:r>
    </w:p>
    <w:p>
      <w:pPr>
        <w:jc w:val="both"/>
        <w:ind w:firstLine="541"/>
        <w:spacing w:after="0" w:line="238" w:lineRule="auto"/>
        <w:tabs>
          <w:tab w:leader="none" w:pos="120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w:t>
      </w:r>
    </w:p>
    <w:p>
      <w:pPr>
        <w:spacing w:after="0" w:line="2" w:lineRule="exact"/>
        <w:rPr>
          <w:rFonts w:ascii="Times New Roman" w:cs="Times New Roman" w:eastAsia="Times New Roman" w:hAnsi="Times New Roman"/>
          <w:sz w:val="18"/>
          <w:szCs w:val="18"/>
          <w:color w:val="auto"/>
        </w:rPr>
      </w:pPr>
    </w:p>
    <w:p>
      <w:pPr>
        <w:jc w:val="both"/>
        <w:ind w:firstLine="9"/>
        <w:spacing w:after="0" w:line="236" w:lineRule="auto"/>
        <w:tabs>
          <w:tab w:leader="none" w:pos="25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spacing w:after="0" w:line="168" w:lineRule="exact"/>
        <w:rPr>
          <w:rFonts w:ascii="Times New Roman" w:cs="Times New Roman" w:eastAsia="Times New Roman" w:hAnsi="Times New Roman"/>
          <w:sz w:val="18"/>
          <w:szCs w:val="18"/>
          <w:color w:val="auto"/>
        </w:rPr>
      </w:pPr>
    </w:p>
    <w:p>
      <w:pPr>
        <w:jc w:val="both"/>
        <w:ind w:firstLine="541"/>
        <w:spacing w:after="0" w:line="241" w:lineRule="auto"/>
        <w:tabs>
          <w:tab w:leader="none" w:pos="136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66" w:lineRule="exact"/>
        <w:rPr>
          <w:rFonts w:ascii="Times New Roman" w:cs="Times New Roman" w:eastAsia="Times New Roman" w:hAnsi="Times New Roman"/>
          <w:sz w:val="18"/>
          <w:szCs w:val="18"/>
          <w:color w:val="auto"/>
        </w:rPr>
      </w:pPr>
    </w:p>
    <w:p>
      <w:pPr>
        <w:jc w:val="both"/>
        <w:ind w:firstLine="541"/>
        <w:spacing w:after="0" w:line="241" w:lineRule="auto"/>
        <w:tabs>
          <w:tab w:leader="none" w:pos="129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67"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If to any Shareholder,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c/o ARYA Science Acquisition Corp.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51 Astor Place, 10th Floor</w:t>
      </w:r>
    </w:p>
    <w:p>
      <w:pPr>
        <w:spacing w:after="0" w:line="5" w:lineRule="exact"/>
        <w:rPr>
          <w:rFonts w:ascii="Times New Roman" w:cs="Times New Roman" w:eastAsia="Times New Roman" w:hAnsi="Times New Roman"/>
          <w:sz w:val="14"/>
          <w:szCs w:val="14"/>
          <w:color w:val="auto"/>
        </w:rPr>
      </w:pPr>
    </w:p>
    <w:p>
      <w:pPr>
        <w:ind w:left="1340" w:right="8640"/>
        <w:spacing w:after="0" w:line="253" w:lineRule="auto"/>
        <w:rPr>
          <w:sz w:val="20"/>
          <w:szCs w:val="20"/>
          <w:color w:val="auto"/>
        </w:rPr>
      </w:pPr>
      <w:r>
        <w:rPr>
          <w:rFonts w:ascii="Times New Roman" w:cs="Times New Roman" w:eastAsia="Times New Roman" w:hAnsi="Times New Roman"/>
          <w:sz w:val="15"/>
          <w:szCs w:val="15"/>
          <w:color w:val="auto"/>
        </w:rPr>
        <w:t>New York, NY 10003 Attention:</w:t>
      </w:r>
    </w:p>
    <w:p>
      <w:pPr>
        <w:spacing w:after="0" w:line="15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Email:</w:t>
      </w:r>
    </w:p>
    <w:p>
      <w:pPr>
        <w:spacing w:after="0" w:line="374"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New York, NY 10022</w:t>
      </w:r>
    </w:p>
    <w:p>
      <w:pPr>
        <w:spacing w:after="0" w:line="5" w:lineRule="exact"/>
        <w:rPr>
          <w:rFonts w:ascii="Times New Roman" w:cs="Times New Roman" w:eastAsia="Times New Roman" w:hAnsi="Times New Roman"/>
          <w:sz w:val="14"/>
          <w:szCs w:val="14"/>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Jonathan Davis, P.C.</w:t>
      </w:r>
    </w:p>
    <w:p>
      <w:pPr>
        <w:spacing w:after="0" w:line="5" w:lineRule="exact"/>
        <w:rPr>
          <w:rFonts w:ascii="Times New Roman" w:cs="Times New Roman" w:eastAsia="Times New Roman" w:hAnsi="Times New Roman"/>
          <w:sz w:val="14"/>
          <w:szCs w:val="14"/>
          <w:color w:val="auto"/>
        </w:rPr>
      </w:pPr>
    </w:p>
    <w:p>
      <w:pPr>
        <w:ind w:left="2820"/>
        <w:spacing w:after="0"/>
        <w:rPr>
          <w:sz w:val="20"/>
          <w:szCs w:val="20"/>
          <w:color w:val="auto"/>
        </w:rPr>
      </w:pPr>
      <w:r>
        <w:rPr>
          <w:rFonts w:ascii="Times New Roman" w:cs="Times New Roman" w:eastAsia="Times New Roman" w:hAnsi="Times New Roman"/>
          <w:sz w:val="15"/>
          <w:szCs w:val="15"/>
          <w:color w:val="auto"/>
        </w:rPr>
        <w:t>Ryan Brissette</w:t>
      </w:r>
    </w:p>
    <w:p>
      <w:pPr>
        <w:spacing w:after="0" w:line="5" w:lineRule="exact"/>
        <w:rPr>
          <w:rFonts w:ascii="Times New Roman" w:cs="Times New Roman" w:eastAsia="Times New Roman" w:hAnsi="Times New Roman"/>
          <w:sz w:val="14"/>
          <w:szCs w:val="14"/>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jonathan.davis@kirkland.com</w:t>
      </w:r>
    </w:p>
    <w:p>
      <w:pPr>
        <w:spacing w:after="0" w:line="5" w:lineRule="exact"/>
        <w:rPr>
          <w:rFonts w:ascii="Times New Roman" w:cs="Times New Roman" w:eastAsia="Times New Roman" w:hAnsi="Times New Roman"/>
          <w:sz w:val="14"/>
          <w:szCs w:val="14"/>
          <w:color w:val="auto"/>
        </w:rPr>
      </w:pPr>
    </w:p>
    <w:p>
      <w:pPr>
        <w:ind w:left="2820"/>
        <w:spacing w:after="0"/>
        <w:rPr>
          <w:sz w:val="20"/>
          <w:szCs w:val="20"/>
          <w:color w:val="auto"/>
        </w:rPr>
      </w:pPr>
      <w:r>
        <w:rPr>
          <w:rFonts w:ascii="Times New Roman" w:cs="Times New Roman" w:eastAsia="Times New Roman" w:hAnsi="Times New Roman"/>
          <w:sz w:val="15"/>
          <w:szCs w:val="15"/>
          <w:color w:val="auto"/>
        </w:rPr>
        <w:t>ryan.brissette@kirkland.com</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9" w:name="page270"/>
    <w:bookmarkEnd w:id="269"/>
    <w:p>
      <w:pPr>
        <w:ind w:left="5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Nautilus Biotechnology, Inc.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PO Box 22027</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Seattle, WA 98122</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Sujal Patel, Chief Executive Officer</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smpatel@nautilus.bio</w:t>
      </w: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650 Page Mill Road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Palo Alto, CA 94304</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Kornegay</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rkornegay@wsgr.com</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One Market Plaza, Spear Tower, Suite 3300</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San Francisco, CA 94105</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Brian Keyes</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rishii@wsgr.com</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bkeyes@wsgr.com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92" w:lineRule="exact"/>
        <w:rPr>
          <w:sz w:val="20"/>
          <w:szCs w:val="20"/>
          <w:color w:val="auto"/>
        </w:rPr>
      </w:pPr>
    </w:p>
    <w:p>
      <w:pPr>
        <w:jc w:val="both"/>
        <w:ind w:firstLine="541"/>
        <w:spacing w:after="0" w:line="246" w:lineRule="auto"/>
        <w:tabs>
          <w:tab w:leader="none" w:pos="12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62" w:lineRule="exact"/>
        <w:rPr>
          <w:rFonts w:ascii="Times New Roman" w:cs="Times New Roman" w:eastAsia="Times New Roman" w:hAnsi="Times New Roman"/>
          <w:sz w:val="18"/>
          <w:szCs w:val="18"/>
          <w:color w:val="auto"/>
        </w:rPr>
      </w:pPr>
    </w:p>
    <w:p>
      <w:pPr>
        <w:jc w:val="both"/>
        <w:ind w:firstLine="541"/>
        <w:spacing w:after="0" w:line="239" w:lineRule="auto"/>
        <w:tabs>
          <w:tab w:leader="none" w:pos="129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void.</w:t>
      </w:r>
    </w:p>
    <w:p>
      <w:pPr>
        <w:spacing w:after="0" w:line="167" w:lineRule="exact"/>
        <w:rPr>
          <w:rFonts w:ascii="Times New Roman" w:cs="Times New Roman" w:eastAsia="Times New Roman" w:hAnsi="Times New Roman"/>
          <w:sz w:val="18"/>
          <w:szCs w:val="18"/>
          <w:color w:val="auto"/>
        </w:rPr>
      </w:pPr>
    </w:p>
    <w:p>
      <w:pPr>
        <w:jc w:val="both"/>
        <w:ind w:firstLine="541"/>
        <w:spacing w:after="0" w:line="246" w:lineRule="auto"/>
        <w:tabs>
          <w:tab w:leader="none" w:pos="125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All fees and expenses incurred in connection with this Agreement and the transactions contemplated hereby, including the fees and disbursements of counsel, financial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fees and expenses incurred by the Shareholders shall be deemed to be ARYA Expenses.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0" w:name="page271"/>
    <w:bookmarkEnd w:id="270"/>
    <w:p>
      <w:pPr>
        <w:jc w:val="both"/>
        <w:ind w:firstLine="541"/>
        <w:spacing w:after="0" w:line="235" w:lineRule="auto"/>
        <w:tabs>
          <w:tab w:leader="none" w:pos="13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rFonts w:ascii="Times New Roman" w:cs="Times New Roman" w:eastAsia="Times New Roman" w:hAnsi="Times New Roman"/>
          <w:sz w:val="18"/>
          <w:szCs w:val="18"/>
          <w:color w:val="auto"/>
        </w:rPr>
      </w:pPr>
    </w:p>
    <w:p>
      <w:pPr>
        <w:jc w:val="both"/>
        <w:ind w:firstLine="541"/>
        <w:spacing w:after="0" w:line="236" w:lineRule="auto"/>
        <w:tabs>
          <w:tab w:leader="none" w:pos="128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such Shareholder shall not be restricted from voting in favor of, against or abstaining with respect to or giving (or withholding) its written consent to any other matters presented to the shareholders of ARYA.</w:t>
      </w:r>
    </w:p>
    <w:p>
      <w:pPr>
        <w:spacing w:after="0" w:line="172" w:lineRule="exact"/>
        <w:rPr>
          <w:rFonts w:ascii="Times New Roman" w:cs="Times New Roman" w:eastAsia="Times New Roman" w:hAnsi="Times New Roman"/>
          <w:sz w:val="18"/>
          <w:szCs w:val="18"/>
          <w:color w:val="auto"/>
        </w:rPr>
      </w:pPr>
    </w:p>
    <w:p>
      <w:pPr>
        <w:jc w:val="both"/>
        <w:ind w:firstLine="541"/>
        <w:spacing w:after="0" w:line="236" w:lineRule="auto"/>
        <w:tabs>
          <w:tab w:leader="none" w:pos="1242"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 (c) 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spacing w:after="0" w:line="172" w:lineRule="exact"/>
        <w:rPr>
          <w:rFonts w:ascii="Times New Roman" w:cs="Times New Roman" w:eastAsia="Times New Roman" w:hAnsi="Times New Roman"/>
          <w:sz w:val="18"/>
          <w:szCs w:val="18"/>
          <w:color w:val="auto"/>
        </w:rPr>
      </w:pPr>
    </w:p>
    <w:p>
      <w:pPr>
        <w:jc w:val="both"/>
        <w:ind w:firstLine="541"/>
        <w:spacing w:after="0" w:line="241" w:lineRule="auto"/>
        <w:tabs>
          <w:tab w:leader="none" w:pos="135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w:t>
      </w:r>
      <w:r>
        <w:rPr>
          <w:rFonts w:ascii="Times New Roman" w:cs="Times New Roman" w:eastAsia="Times New Roman" w:hAnsi="Times New Roman"/>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66" w:lineRule="exact"/>
        <w:rPr>
          <w:rFonts w:ascii="Times New Roman" w:cs="Times New Roman" w:eastAsia="Times New Roman" w:hAnsi="Times New Roman"/>
          <w:sz w:val="18"/>
          <w:szCs w:val="18"/>
          <w:color w:val="auto"/>
        </w:rPr>
      </w:pPr>
    </w:p>
    <w:p>
      <w:pPr>
        <w:jc w:val="both"/>
        <w:ind w:firstLine="541"/>
        <w:spacing w:after="0" w:line="246" w:lineRule="auto"/>
        <w:tabs>
          <w:tab w:leader="none" w:pos="127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1" w:name="page272"/>
    <w:bookmarkEnd w:id="271"/>
    <w:p>
      <w:pPr>
        <w:jc w:val="both"/>
        <w:ind w:firstLine="541"/>
        <w:spacing w:after="0" w:line="248" w:lineRule="auto"/>
        <w:tabs>
          <w:tab w:leader="none" w:pos="1265"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Interpretation</w:t>
      </w:r>
      <w:r>
        <w:rPr>
          <w:rFonts w:ascii="Times New Roman" w:cs="Times New Roman" w:eastAsia="Times New Roman" w:hAnsi="Times New Roman"/>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63" w:lineRule="exact"/>
        <w:rPr>
          <w:rFonts w:ascii="Times New Roman" w:cs="Times New Roman" w:eastAsia="Times New Roman" w:hAnsi="Times New Roman"/>
          <w:sz w:val="17"/>
          <w:szCs w:val="17"/>
          <w:color w:val="auto"/>
        </w:rPr>
      </w:pPr>
    </w:p>
    <w:p>
      <w:pPr>
        <w:jc w:val="both"/>
        <w:ind w:firstLine="541"/>
        <w:spacing w:after="0" w:line="254" w:lineRule="auto"/>
        <w:tabs>
          <w:tab w:leader="none" w:pos="1276"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6" w:lineRule="exact"/>
        <w:rPr>
          <w:rFonts w:ascii="Times New Roman" w:cs="Times New Roman" w:eastAsia="Times New Roman" w:hAnsi="Times New Roman"/>
          <w:sz w:val="17"/>
          <w:szCs w:val="17"/>
          <w:color w:val="auto"/>
        </w:rPr>
      </w:pPr>
    </w:p>
    <w:p>
      <w:pPr>
        <w:jc w:val="both"/>
        <w:ind w:firstLine="541"/>
        <w:spacing w:after="0" w:line="246" w:lineRule="auto"/>
        <w:tabs>
          <w:tab w:leader="none" w:pos="123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2" w:name="page273"/>
    <w:bookmarkEnd w:id="272"/>
    <w:p>
      <w:pPr>
        <w:jc w:val="both"/>
        <w:ind w:firstLine="541"/>
        <w:spacing w:after="0" w:line="248" w:lineRule="auto"/>
        <w:tabs>
          <w:tab w:leader="none" w:pos="122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541"/>
        <w:spacing w:after="0" w:line="248" w:lineRule="auto"/>
        <w:tabs>
          <w:tab w:leader="none" w:pos="1253"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w:t>
      </w:r>
    </w:p>
    <w:p>
      <w:pPr>
        <w:spacing w:after="0" w:line="1" w:lineRule="exact"/>
        <w:rPr>
          <w:rFonts w:ascii="Times New Roman" w:cs="Times New Roman" w:eastAsia="Times New Roman" w:hAnsi="Times New Roman"/>
          <w:sz w:val="17"/>
          <w:szCs w:val="17"/>
          <w:color w:val="auto"/>
        </w:rPr>
      </w:pPr>
    </w:p>
    <w:p>
      <w:pPr>
        <w:jc w:val="both"/>
        <w:ind w:firstLine="9"/>
        <w:spacing w:after="0" w:line="233" w:lineRule="auto"/>
        <w:tabs>
          <w:tab w:leader="none" w:pos="2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effective service of process for any such Proceeding, claim, demand, action or cause of action.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3" w:name="page274"/>
    <w:bookmarkEnd w:id="273"/>
    <w:p>
      <w:pPr>
        <w:ind w:left="540"/>
        <w:spacing w:after="0"/>
        <w:rPr>
          <w:sz w:val="20"/>
          <w:szCs w:val="20"/>
          <w:color w:val="auto"/>
        </w:rPr>
      </w:pPr>
      <w:r>
        <w:rPr>
          <w:rFonts w:ascii="Times New Roman" w:cs="Times New Roman" w:eastAsia="Times New Roman" w:hAnsi="Times New Roman"/>
          <w:sz w:val="17"/>
          <w:szCs w:val="17"/>
          <w:color w:val="auto"/>
        </w:rPr>
        <w:t>IN WITNESS WHEREOF, each of the Parties has caused this Agreement to be duly executed on its behalf as of the day and year first above written.</w:t>
      </w:r>
    </w:p>
    <w:p>
      <w:pPr>
        <w:sectPr>
          <w:pgSz w:w="11900" w:h="16838" w:orient="portrait"/>
          <w:cols w:equalWidth="0" w:num="1">
            <w:col w:w="11280"/>
          </w:cols>
          <w:pgMar w:left="300" w:top="118" w:right="319" w:bottom="1440" w:gutter="0" w:footer="0" w:header="0"/>
        </w:sect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ARYA SCIENCES HOLDINGS III</w:t>
      </w:r>
    </w:p>
    <w:p>
      <w:pPr>
        <w:spacing w:after="0" w:line="189" w:lineRule="exact"/>
        <w:rPr>
          <w:sz w:val="20"/>
          <w:szCs w:val="20"/>
          <w:color w:val="auto"/>
        </w:rPr>
      </w:pPr>
    </w:p>
    <w:tbl>
      <w:tblPr>
        <w:tblLayout w:type="fixed"/>
        <w:tblInd w:w="320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 Michael Altman</w:t>
            </w:r>
          </w:p>
        </w:tc>
        <w:tc>
          <w:tcPr>
            <w:tcW w:w="120" w:type="dxa"/>
            <w:vAlign w:val="bottom"/>
          </w:tcPr>
          <w:p>
            <w:pPr>
              <w:spacing w:after="0"/>
              <w:rPr>
                <w:sz w:val="15"/>
                <w:szCs w:val="15"/>
                <w:color w:val="auto"/>
              </w:rPr>
            </w:pP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Authorized Signatory</w:t>
            </w:r>
          </w:p>
        </w:tc>
      </w:tr>
    </w:tbl>
    <w:p>
      <w:pPr>
        <w:spacing w:after="0" w:line="1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89" w:lineRule="exact"/>
        <w:rPr>
          <w:sz w:val="20"/>
          <w:szCs w:val="20"/>
          <w:color w:val="auto"/>
        </w:rPr>
      </w:pPr>
    </w:p>
    <w:tbl>
      <w:tblPr>
        <w:tblLayout w:type="fixed"/>
        <w:tblInd w:w="320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w:t>
            </w:r>
          </w:p>
        </w:tc>
        <w:tc>
          <w:tcPr>
            <w:tcW w:w="600" w:type="dxa"/>
            <w:vAlign w:val="bottom"/>
          </w:tcPr>
          <w:p>
            <w:pPr>
              <w:spacing w:after="0"/>
              <w:rPr>
                <w:sz w:val="15"/>
                <w:szCs w:val="15"/>
                <w:color w:val="auto"/>
              </w:rPr>
            </w:pP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Chief Executive Officer</w:t>
            </w:r>
          </w:p>
        </w:tc>
      </w:tr>
    </w:tbl>
    <w:p>
      <w:pPr>
        <w:spacing w:after="0" w:line="3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ARYA SCIENCES ACQUISITION CORP III</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 Michael Altman</w:t>
            </w:r>
          </w:p>
        </w:tc>
        <w:tc>
          <w:tcPr>
            <w:tcW w:w="6260" w:type="dxa"/>
            <w:vAlign w:val="bottom"/>
          </w:tcPr>
          <w:p>
            <w:pPr>
              <w:spacing w:after="0"/>
              <w:rPr>
                <w:sz w:val="15"/>
                <w:szCs w:val="15"/>
                <w:color w:val="auto"/>
              </w:rPr>
            </w:pPr>
          </w:p>
        </w:tc>
      </w:tr>
      <w:tr>
        <w:trPr>
          <w:trHeight w:val="176"/>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Name:</w:t>
            </w:r>
          </w:p>
        </w:tc>
        <w:tc>
          <w:tcPr>
            <w:tcW w:w="7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Title:</w:t>
            </w:r>
          </w:p>
        </w:tc>
        <w:tc>
          <w:tcPr>
            <w:tcW w:w="7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409"/>
        </w:trPr>
        <w:tc>
          <w:tcPr>
            <w:tcW w:w="3860" w:type="dxa"/>
            <w:vAlign w:val="bottom"/>
          </w:tcPr>
          <w:p>
            <w:pPr>
              <w:spacing w:after="0"/>
              <w:rPr>
                <w:sz w:val="24"/>
                <w:szCs w:val="24"/>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[Signature Page to Sponsor Letter Agreement]</w:t>
            </w:r>
          </w:p>
        </w:tc>
      </w:tr>
      <w:tr>
        <w:trPr>
          <w:trHeight w:val="336"/>
        </w:trPr>
        <w:tc>
          <w:tcPr>
            <w:tcW w:w="3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type w:val="continuous"/>
        </w:sectPr>
      </w:pPr>
    </w:p>
    <w:bookmarkStart w:id="274" w:name="page275"/>
    <w:bookmarkEnd w:id="274"/>
    <w:p>
      <w:pPr>
        <w:ind w:left="2060"/>
        <w:spacing w:after="0"/>
        <w:rPr>
          <w:sz w:val="20"/>
          <w:szCs w:val="20"/>
          <w:color w:val="auto"/>
        </w:rPr>
      </w:pPr>
      <w:r>
        <w:rPr>
          <w:rFonts w:ascii="Times New Roman" w:cs="Times New Roman" w:eastAsia="Times New Roman" w:hAnsi="Times New Roman"/>
          <w:sz w:val="18"/>
          <w:szCs w:val="18"/>
          <w:b w:val="1"/>
          <w:bCs w:val="1"/>
          <w:color w:val="auto"/>
        </w:rPr>
        <w:t>OTHER CLASS B SHAREHOLDERS</w:t>
      </w:r>
    </w:p>
    <w:p>
      <w:pPr>
        <w:spacing w:after="0" w:line="2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Saqib Islam</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Saqib Islam</w:t>
      </w:r>
    </w:p>
    <w:p>
      <w:pPr>
        <w:spacing w:after="0" w:line="1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Todd Wider</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Todd Wider</w:t>
      </w:r>
    </w:p>
    <w:p>
      <w:pPr>
        <w:spacing w:after="0" w:line="1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Bradley Campbell</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Bradley Campbell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235585</wp:posOffset>
            </wp:positionV>
            <wp:extent cx="7157085" cy="13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5" w:name="page276"/>
    <w:bookmarkEnd w:id="275"/>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194"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Other Class B Holders</w:t>
      </w:r>
    </w:p>
    <w:p>
      <w:pPr>
        <w:spacing w:after="0" w:line="203" w:lineRule="exact"/>
        <w:rPr>
          <w:sz w:val="20"/>
          <w:szCs w:val="20"/>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Bradley Campbell</w:t>
      </w:r>
    </w:p>
    <w:p>
      <w:pPr>
        <w:spacing w:after="0" w:line="204" w:lineRule="exact"/>
        <w:rPr>
          <w:rFonts w:ascii="Times New Roman" w:cs="Times New Roman" w:eastAsia="Times New Roman" w:hAnsi="Times New Roman"/>
          <w:sz w:val="15"/>
          <w:szCs w:val="15"/>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Saqib Islam</w:t>
      </w:r>
    </w:p>
    <w:p>
      <w:pPr>
        <w:spacing w:after="0" w:line="204" w:lineRule="exact"/>
        <w:rPr>
          <w:rFonts w:ascii="Times New Roman" w:cs="Times New Roman" w:eastAsia="Times New Roman" w:hAnsi="Times New Roman"/>
          <w:sz w:val="15"/>
          <w:szCs w:val="15"/>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7157085"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4" w:right="1440"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ARYA Equity Securities as of February 7, 2021</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340" w:type="dxa"/>
            <w:vAlign w:val="bottom"/>
            <w:tcBorders>
              <w:top w:val="single" w:sz="8" w:color="auto"/>
              <w:left w:val="single" w:sz="8" w:color="auto"/>
            </w:tcBorders>
          </w:tcPr>
          <w:p>
            <w:pPr>
              <w:spacing w:after="0"/>
              <w:rPr>
                <w:sz w:val="21"/>
                <w:szCs w:val="21"/>
                <w:color w:val="auto"/>
              </w:rPr>
            </w:pPr>
          </w:p>
        </w:tc>
        <w:tc>
          <w:tcPr>
            <w:tcW w:w="24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Shareholder</w:t>
            </w:r>
          </w:p>
        </w:tc>
        <w:tc>
          <w:tcPr>
            <w:tcW w:w="700" w:type="dxa"/>
            <w:vAlign w:val="bottom"/>
            <w:tcBorders>
              <w:top w:val="single" w:sz="8" w:color="auto"/>
            </w:tcBorders>
          </w:tcPr>
          <w:p>
            <w:pPr>
              <w:spacing w:after="0"/>
              <w:rPr>
                <w:sz w:val="21"/>
                <w:szCs w:val="21"/>
                <w:color w:val="auto"/>
              </w:rPr>
            </w:pPr>
          </w:p>
        </w:tc>
        <w:tc>
          <w:tcPr>
            <w:tcW w:w="30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Number of ARYA Class A Shares</w:t>
            </w:r>
          </w:p>
        </w:tc>
        <w:tc>
          <w:tcPr>
            <w:tcW w:w="37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Number of ARYA Class B Shares</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Sponsor</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499,000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3,647,500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Bradley Campbell</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Saqib Islam</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Todd Wider</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90"/>
        </w:trPr>
        <w:tc>
          <w:tcPr>
            <w:tcW w:w="1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10.2</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This Amended and Restated Registration Rights and Lock-Up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7, 2021, is among ARYA Sciences Acquisition Corp III,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other parties hereto identified as a “Holder” on the signature pages and Schedule A hereto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Capitalized terms used but not defined herein have the meanings assigned to them in the Business Combination Agreement dated as of the date hereof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among the Company, Mako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Nautilus Biotechnology, Inc., a Delaware corporation (“</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the Company, Merger Sub and Nautilus are parties to the Business Combination Agreement, pursuant to which, among other things, on the Closing Date, Merger Sub will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and into Nautilus, with Nautilus surviving the Merger as a wholly-owned subsidiary of the Company, and the Company will redomesticate as a Delaware corporation and change its name to “Nautilus Biotechnology, Inc.”;</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WHEREAS, the Company, ARYA Sciences Holdings III, a Cayman Islands exempted limited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Independent Directors (as defined herein, and, together with the Sponsor, the “</w:t>
      </w:r>
      <w:r>
        <w:rPr>
          <w:rFonts w:ascii="Times New Roman" w:cs="Times New Roman" w:eastAsia="Times New Roman" w:hAnsi="Times New Roman"/>
          <w:sz w:val="18"/>
          <w:szCs w:val="18"/>
          <w:b w:val="1"/>
          <w:bCs w:val="1"/>
          <w:color w:val="auto"/>
        </w:rPr>
        <w:t>Original Holders</w:t>
      </w:r>
      <w:r>
        <w:rPr>
          <w:rFonts w:ascii="Times New Roman" w:cs="Times New Roman" w:eastAsia="Times New Roman" w:hAnsi="Times New Roman"/>
          <w:sz w:val="18"/>
          <w:szCs w:val="18"/>
          <w:color w:val="auto"/>
        </w:rPr>
        <w:t>”) are parties to the Registration and Shareholder Rights Agreement dated as of August 11, 2020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WHEREAS, the (i) Holders designated as “</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and (ii) Perceptive Life Sciences Master Fund Ltd., a Cayman Islands exempted company (“</w:t>
      </w:r>
      <w:r>
        <w:rPr>
          <w:rFonts w:ascii="Times New Roman" w:cs="Times New Roman" w:eastAsia="Times New Roman" w:hAnsi="Times New Roman"/>
          <w:sz w:val="18"/>
          <w:szCs w:val="18"/>
          <w:b w:val="1"/>
          <w:bCs w:val="1"/>
          <w:color w:val="auto"/>
        </w:rPr>
        <w:t>Perceptive</w:t>
      </w:r>
      <w:r>
        <w:rPr>
          <w:rFonts w:ascii="Times New Roman" w:cs="Times New Roman" w:eastAsia="Times New Roman" w:hAnsi="Times New Roman"/>
          <w:sz w:val="18"/>
          <w:szCs w:val="18"/>
          <w:color w:val="auto"/>
        </w:rPr>
        <w:t>”), will receive upon consummation of the Merger shares of the Company’s Common Stock on the Closing Date pursuant to the Business Combination Agreement;</w:t>
      </w:r>
    </w:p>
    <w:p>
      <w:pPr>
        <w:spacing w:after="0" w:line="16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NOW, THEREFORE, in consideration of the foregoing, the parties hereby agree as follows: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1.1. </w:t>
      </w:r>
      <w:r>
        <w:rPr>
          <w:rFonts w:ascii="Times New Roman" w:cs="Times New Roman" w:eastAsia="Times New Roman" w:hAnsi="Times New Roman"/>
          <w:sz w:val="18"/>
          <w:szCs w:val="18"/>
          <w:b w:val="1"/>
          <w:bCs w:val="1"/>
          <w:color w:val="000000"/>
        </w:rPr>
        <w:t>Definitions</w:t>
      </w:r>
      <w:r>
        <w:rPr>
          <w:rFonts w:ascii="Times New Roman" w:cs="Times New Roman" w:eastAsia="Times New Roman" w:hAnsi="Times New Roman"/>
          <w:sz w:val="18"/>
          <w:szCs w:val="18"/>
          <w:color w:val="000000"/>
        </w:rPr>
        <w:t>. For purposes of this Agreement, the following terms and variations thereof have the meanings set forth below:</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Trade</w:t>
      </w:r>
      <w:r>
        <w:rPr>
          <w:rFonts w:ascii="Times New Roman" w:cs="Times New Roman" w:eastAsia="Times New Roman" w:hAnsi="Times New Roman"/>
          <w:sz w:val="18"/>
          <w:szCs w:val="18"/>
          <w:color w:val="auto"/>
        </w:rPr>
        <w:t>” means any non-marketed underwritten offering taking the form of a block trade to a financial institution, “qualified institutional buyer” (as defined in Rule 144A under the Securities Act) or institutional “accredited” investor (as defined in Rule 501(a) of Regulation D under the Securities Act), bought deal, over-night 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48" w:right="319" w:bottom="1440" w:gutter="0" w:footer="0" w:header="0"/>
        </w:sectPr>
      </w:pPr>
    </w:p>
    <w:bookmarkStart w:id="278" w:name="page279"/>
    <w:bookmarkEnd w:id="278"/>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19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shall mean any merger, share exchange, asset acquisition, stock purchase, recapitalization, reorganization or other similar business combination with one or more businesses, involving the Company.</w:t>
      </w:r>
    </w:p>
    <w:p>
      <w:pPr>
        <w:spacing w:after="0" w:line="145" w:lineRule="exact"/>
        <w:rPr>
          <w:sz w:val="20"/>
          <w:szCs w:val="20"/>
          <w:color w:val="auto"/>
        </w:rPr>
      </w:pPr>
    </w:p>
    <w:p>
      <w:pPr>
        <w:jc w:val="both"/>
        <w:ind w:right="20"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145"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 par value $0.0001 per share.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shall have the meaning set forth in the Business Combination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a Registration Statement on Form S-1 or any comparable successor form or forms thereto.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a Registration Statement on Form S-3 or any comparable successor form or forms thereto.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means Todd Wider, Bradley L. Campbell and Saqib Islam.</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shall mean any of the following that occur following the Effective Time, (i) the acquisition of the Company by another entity by 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 or other disposition is to a wholly-owned subsidiary of the Company; or (iii) any liquidation, dissolution or winding up of the Company, whether voluntary or involuntary.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79" w:name="page280"/>
    <w:bookmarkEnd w:id="279"/>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Holders</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Perceptive Holders</w:t>
      </w:r>
      <w:r>
        <w:rPr>
          <w:rFonts w:ascii="Times New Roman" w:cs="Times New Roman" w:eastAsia="Times New Roman" w:hAnsi="Times New Roman"/>
          <w:sz w:val="18"/>
          <w:szCs w:val="18"/>
          <w:color w:val="auto"/>
        </w:rPr>
        <w:t>” means the Sponsor and Perceptive.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means shares of Common Stock purchased pursuant to those certain Subscription Agreements between certain Holders and the Company dated on or about February 7, 2021.</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shall mean (a) any outstanding share of Common Stock or any other equity security (including the 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spacing w:after="0" w:line="167" w:lineRule="exact"/>
        <w:rPr>
          <w:sz w:val="20"/>
          <w:szCs w:val="20"/>
          <w:color w:val="auto"/>
        </w:rPr>
      </w:pPr>
    </w:p>
    <w:p>
      <w:pPr>
        <w:jc w:val="both"/>
        <w:ind w:right="20"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5"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or Underwritten Offering, including, without limitation, the following:</w:t>
      </w:r>
    </w:p>
    <w:p>
      <w:pPr>
        <w:spacing w:after="0" w:line="147" w:lineRule="exact"/>
        <w:rPr>
          <w:sz w:val="20"/>
          <w:szCs w:val="20"/>
          <w:color w:val="auto"/>
        </w:rPr>
      </w:pPr>
    </w:p>
    <w:p>
      <w:pPr>
        <w:ind w:firstLine="541"/>
        <w:spacing w:after="0" w:line="260" w:lineRule="auto"/>
        <w:tabs>
          <w:tab w:leader="none" w:pos="130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80" w:name="page281"/>
    <w:bookmarkEnd w:id="280"/>
    <w:p>
      <w:pPr>
        <w:ind w:firstLine="541"/>
        <w:spacing w:after="0" w:line="259" w:lineRule="auto"/>
        <w:tabs>
          <w:tab w:leader="none" w:pos="15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51" w:lineRule="exact"/>
        <w:rPr>
          <w:rFonts w:ascii="Times New Roman" w:cs="Times New Roman" w:eastAsia="Times New Roman" w:hAnsi="Times New Roman"/>
          <w:sz w:val="18"/>
          <w:szCs w:val="18"/>
          <w:color w:val="auto"/>
        </w:rPr>
      </w:pPr>
    </w:p>
    <w:p>
      <w:pPr>
        <w:ind w:left="1220" w:hanging="679"/>
        <w:spacing w:after="0"/>
        <w:tabs>
          <w:tab w:leader="none" w:pos="12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92" w:lineRule="exact"/>
        <w:rPr>
          <w:rFonts w:ascii="Times New Roman" w:cs="Times New Roman" w:eastAsia="Times New Roman" w:hAnsi="Times New Roman"/>
          <w:sz w:val="18"/>
          <w:szCs w:val="18"/>
          <w:color w:val="auto"/>
        </w:rPr>
      </w:pPr>
    </w:p>
    <w:p>
      <w:pPr>
        <w:ind w:left="1240" w:hanging="699"/>
        <w:spacing w:after="0"/>
        <w:tabs>
          <w:tab w:leader="none" w:pos="12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192" w:lineRule="exact"/>
        <w:rPr>
          <w:rFonts w:ascii="Times New Roman" w:cs="Times New Roman" w:eastAsia="Times New Roman" w:hAnsi="Times New Roman"/>
          <w:sz w:val="18"/>
          <w:szCs w:val="18"/>
          <w:color w:val="auto"/>
        </w:rPr>
      </w:pPr>
    </w:p>
    <w:p>
      <w:pPr>
        <w:ind w:firstLine="541"/>
        <w:spacing w:after="0" w:line="260" w:lineRule="auto"/>
        <w:tabs>
          <w:tab w:leader="none" w:pos="124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or Underwritten Offering; and</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11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or the majority-in interest of the Takedown Requesting Holders (including if such Underwritten Takedown is in the form of a Block Trade), as applicable.</w:t>
      </w:r>
    </w:p>
    <w:p>
      <w:pPr>
        <w:spacing w:after="0" w:line="149"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means any Holder electing to sell any of its Registrable Securities in a Registration.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6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45"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1" w:name="page282"/>
    <w:bookmarkEnd w:id="281"/>
    <w:p>
      <w:pPr>
        <w:jc w:val="center"/>
        <w:ind w:right="-59"/>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2.1. </w:t>
      </w:r>
      <w:r>
        <w:rPr>
          <w:rFonts w:ascii="Times New Roman" w:cs="Times New Roman" w:eastAsia="Times New Roman" w:hAnsi="Times New Roman"/>
          <w:sz w:val="18"/>
          <w:szCs w:val="18"/>
          <w:b w:val="1"/>
          <w:bCs w:val="1"/>
          <w:color w:val="000000"/>
        </w:rPr>
        <w:t>Demand Registration</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7"/>
          <w:szCs w:val="17"/>
          <w:color w:val="010000"/>
        </w:rPr>
        <w:t xml:space="preserve">2.1.1 </w:t>
      </w:r>
      <w:r>
        <w:rPr>
          <w:rFonts w:ascii="Times New Roman" w:cs="Times New Roman" w:eastAsia="Times New Roman" w:hAnsi="Times New Roman"/>
          <w:sz w:val="17"/>
          <w:szCs w:val="17"/>
          <w:u w:val="single" w:color="auto"/>
          <w:color w:val="000000"/>
        </w:rPr>
        <w:t>Request for Registration</w:t>
      </w:r>
      <w:r>
        <w:rPr>
          <w:rFonts w:ascii="Times New Roman" w:cs="Times New Roman" w:eastAsia="Times New Roman" w:hAnsi="Times New Roman"/>
          <w:sz w:val="17"/>
          <w:szCs w:val="17"/>
          <w:color w:val="000000"/>
        </w:rPr>
        <w:t>. Subject to the provisions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subsection 2.1.4</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2.4</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hereof, at any time and from time to time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following the Effective Time (but subject to Article V), (i) New Holders holding at least a majority in interest of the then-outstanding number of Registrable Securities held by all New Holders including or (ii) the Perceptive Holders holding at least a majority in interest of the then-outstanding number of Registrable Securities held by all Perceptive Holders (such New Holders or Perceptive Holders, as the case may be, the “</w:t>
      </w:r>
      <w:r>
        <w:rPr>
          <w:rFonts w:ascii="Times New Roman" w:cs="Times New Roman" w:eastAsia="Times New Roman" w:hAnsi="Times New Roman"/>
          <w:sz w:val="17"/>
          <w:szCs w:val="17"/>
          <w:b w:val="1"/>
          <w:bCs w:val="1"/>
          <w:color w:val="000000"/>
        </w:rPr>
        <w:t>Demanding Holders</w:t>
      </w:r>
      <w:r>
        <w:rPr>
          <w:rFonts w:ascii="Times New Roman" w:cs="Times New Roman" w:eastAsia="Times New Roman" w:hAnsi="Times New Roman"/>
          <w:sz w:val="17"/>
          <w:szCs w:val="17"/>
          <w:color w:val="000000"/>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7"/>
          <w:szCs w:val="17"/>
          <w:b w:val="1"/>
          <w:bCs w:val="1"/>
          <w:color w:val="000000"/>
        </w:rPr>
        <w:t>Demand Registration</w:t>
      </w:r>
      <w:r>
        <w:rPr>
          <w:rFonts w:ascii="Times New Roman" w:cs="Times New Roman" w:eastAsia="Times New Roman" w:hAnsi="Times New Roman"/>
          <w:sz w:val="17"/>
          <w:szCs w:val="17"/>
          <w:color w:val="00000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7"/>
          <w:szCs w:val="17"/>
          <w:b w:val="1"/>
          <w:bCs w:val="1"/>
          <w:color w:val="000000"/>
        </w:rPr>
        <w:t>Demand Requesting Holder</w:t>
      </w:r>
      <w:r>
        <w:rPr>
          <w:rFonts w:ascii="Times New Roman" w:cs="Times New Roman" w:eastAsia="Times New Roman" w:hAnsi="Times New Roman"/>
          <w:sz w:val="17"/>
          <w:szCs w:val="17"/>
          <w:color w:val="00000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Times New Roman" w:cs="Times New Roman" w:eastAsia="Times New Roman" w:hAnsi="Times New Roman"/>
          <w:sz w:val="17"/>
          <w:szCs w:val="17"/>
          <w:u w:val="single" w:color="auto"/>
          <w:color w:val="000000"/>
        </w:rPr>
        <w:t>provided that</w:t>
      </w:r>
      <w:r>
        <w:rPr>
          <w:rFonts w:ascii="Times New Roman" w:cs="Times New Roman" w:eastAsia="Times New Roman" w:hAnsi="Times New Roman"/>
          <w:sz w:val="17"/>
          <w:szCs w:val="17"/>
          <w:color w:val="000000"/>
        </w:rPr>
        <w:t xml:space="preserve"> the Company shall not be obligated to effect any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initiated by New Holders, or (iii) two (2) Registration pursuant to a Demand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initiated by Perceptive Holders.</w:t>
      </w:r>
    </w:p>
    <w:p>
      <w:pPr>
        <w:spacing w:after="0" w:line="372"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2.1.2 </w:t>
      </w:r>
      <w:r>
        <w:rPr>
          <w:rFonts w:ascii="Times New Roman" w:cs="Times New Roman" w:eastAsia="Times New Roman" w:hAnsi="Times New Roman"/>
          <w:sz w:val="18"/>
          <w:szCs w:val="18"/>
          <w:u w:val="single" w:color="auto"/>
          <w:color w:val="000000"/>
        </w:rPr>
        <w:t>Effective Registration</w:t>
      </w:r>
      <w:r>
        <w:rPr>
          <w:rFonts w:ascii="Times New Roman" w:cs="Times New Roman" w:eastAsia="Times New Roman" w:hAnsi="Times New Roman"/>
          <w:sz w:val="18"/>
          <w:szCs w:val="18"/>
          <w:color w:val="000000"/>
        </w:rPr>
        <w:t>. Notwithstanding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or any other part of this Agreement, a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76"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2.1.3 </w:t>
      </w:r>
      <w:r>
        <w:rPr>
          <w:rFonts w:ascii="Times New Roman" w:cs="Times New Roman" w:eastAsia="Times New Roman" w:hAnsi="Times New Roman"/>
          <w:sz w:val="18"/>
          <w:szCs w:val="18"/>
          <w:u w:val="single" w:color="auto"/>
          <w:color w:val="000000"/>
        </w:rPr>
        <w:t>Underwritten Offering</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2.1.4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if a majority-in-interest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000000"/>
        </w:rPr>
        <w:t>subsection 2.1.3</w:t>
      </w:r>
      <w:r>
        <w:rPr>
          <w:rFonts w:ascii="Times New Roman" w:cs="Times New Roman" w:eastAsia="Times New Roman" w:hAnsi="Times New Roman"/>
          <w:sz w:val="18"/>
          <w:szCs w:val="18"/>
          <w:color w:val="000000"/>
        </w:rPr>
        <w:t xml:space="preserve"> shall enter into an underwriting agreement in customary form with the Underwriter(s) selected for such Underwritten Offering by a majority-in-interest of the Demanding Holders, such Underwriter(s) to be reasonably acceptable to the Company.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82" w:name="page283"/>
    <w:bookmarkEnd w:id="282"/>
    <w:p>
      <w:pPr>
        <w:jc w:val="both"/>
        <w:ind w:firstLine="1065"/>
        <w:spacing w:after="0" w:line="233" w:lineRule="auto"/>
        <w:rPr>
          <w:sz w:val="20"/>
          <w:szCs w:val="20"/>
          <w:color w:val="auto"/>
        </w:rPr>
      </w:pPr>
      <w:r>
        <w:rPr>
          <w:rFonts w:ascii="Times New Roman" w:cs="Times New Roman" w:eastAsia="Times New Roman" w:hAnsi="Times New Roman"/>
          <w:sz w:val="18"/>
          <w:szCs w:val="18"/>
          <w:color w:val="010000"/>
        </w:rPr>
        <w:t xml:space="preserve">2.1.4 </w:t>
      </w:r>
      <w:r>
        <w:rPr>
          <w:rFonts w:ascii="Times New Roman" w:cs="Times New Roman" w:eastAsia="Times New Roman" w:hAnsi="Times New Roman"/>
          <w:sz w:val="18"/>
          <w:szCs w:val="18"/>
          <w:u w:val="single" w:color="auto"/>
          <w:color w:val="000000"/>
        </w:rPr>
        <w:t>Reduction of Underwritten Offering</w:t>
      </w:r>
      <w:r>
        <w:rPr>
          <w:rFonts w:ascii="Times New Roman" w:cs="Times New Roman" w:eastAsia="Times New Roman" w:hAnsi="Times New Roman"/>
          <w:sz w:val="18"/>
          <w:szCs w:val="18"/>
          <w:color w:val="000000"/>
        </w:rPr>
        <w:t>. If the managing Underwriter or Underwriters in an Underwritten Registration pursuant to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000000"/>
        </w:rPr>
        <w:t>Maximum Number of Securities</w:t>
      </w:r>
      <w:r>
        <w:rPr>
          <w:rFonts w:ascii="Times New Roman" w:cs="Times New Roman" w:eastAsia="Times New Roman" w:hAnsi="Times New Roman"/>
          <w:sz w:val="18"/>
          <w:szCs w:val="18"/>
          <w:color w:val="000000"/>
        </w:rPr>
        <w:t>”), then the Company shal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color w:val="000000"/>
        </w:rPr>
        <w:t>Pro Rata</w:t>
      </w:r>
      <w:r>
        <w:rPr>
          <w:rFonts w:ascii="Times New Roman" w:cs="Times New Roman" w:eastAsia="Times New Roman" w:hAnsi="Times New Roman"/>
          <w:sz w:val="18"/>
          <w:szCs w:val="18"/>
          <w:color w:val="000000"/>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78"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2.1.5 </w:t>
      </w:r>
      <w:r>
        <w:rPr>
          <w:rFonts w:ascii="Times New Roman" w:cs="Times New Roman" w:eastAsia="Times New Roman" w:hAnsi="Times New Roman"/>
          <w:sz w:val="18"/>
          <w:szCs w:val="18"/>
          <w:u w:val="single" w:color="auto"/>
          <w:color w:val="000000"/>
        </w:rPr>
        <w:t>Demand Registration Withdrawal</w:t>
      </w:r>
      <w:r>
        <w:rPr>
          <w:rFonts w:ascii="Times New Roman" w:cs="Times New Roman" w:eastAsia="Times New Roman" w:hAnsi="Times New Roman"/>
          <w:sz w:val="18"/>
          <w:szCs w:val="18"/>
          <w:color w:val="000000"/>
        </w:rPr>
        <w:t>. A majority-in-interest of the New Holders or a majority-in-interest of the Perceptive Holders,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case may be, in the case of a Registration under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000000"/>
        </w:rPr>
        <w:t>subsection 2.1.5</w:t>
      </w:r>
      <w:r>
        <w:rPr>
          <w:rFonts w:ascii="Times New Roman" w:cs="Times New Roman" w:eastAsia="Times New Roman" w:hAnsi="Times New Roman"/>
          <w:sz w:val="18"/>
          <w:szCs w:val="18"/>
          <w:color w:val="000000"/>
        </w:rPr>
        <w:t xml:space="preserve">, unless the Holders of a majority of the Registrable Securities agree to forfeit their right to a demand registration pursuant to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2.2. </w:t>
      </w:r>
      <w:r>
        <w:rPr>
          <w:rFonts w:ascii="Times New Roman" w:cs="Times New Roman" w:eastAsia="Times New Roman" w:hAnsi="Times New Roman"/>
          <w:sz w:val="18"/>
          <w:szCs w:val="18"/>
          <w:b w:val="1"/>
          <w:bCs w:val="1"/>
          <w:color w:val="000000"/>
        </w:rPr>
        <w:t>Piggyback Registration</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010000"/>
        </w:rPr>
        <w:t xml:space="preserve">2.2.1 </w:t>
      </w:r>
      <w:r>
        <w:rPr>
          <w:rFonts w:ascii="Times New Roman" w:cs="Times New Roman" w:eastAsia="Times New Roman" w:hAnsi="Times New Roman"/>
          <w:sz w:val="17"/>
          <w:szCs w:val="17"/>
          <w:u w:val="single" w:color="auto"/>
          <w:color w:val="000000"/>
        </w:rPr>
        <w:t>Piggyback Rights</w:t>
      </w:r>
      <w:r>
        <w:rPr>
          <w:rFonts w:ascii="Times New Roman" w:cs="Times New Roman" w:eastAsia="Times New Roman" w:hAnsi="Times New Roman"/>
          <w:sz w:val="17"/>
          <w:szCs w:val="17"/>
          <w:color w:val="000000"/>
        </w:rPr>
        <w:t>. If the Company proposes to file a Registration Statement under the Securities Act with respect to an offering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equity securities, or securities or other obligations exercisable or exchangeable for, or convertible into equity securities, for its own account or for the account of stockholders of the Company (other than pursuant to </w:t>
      </w:r>
      <w:r>
        <w:rPr>
          <w:rFonts w:ascii="Times New Roman" w:cs="Times New Roman" w:eastAsia="Times New Roman" w:hAnsi="Times New Roman"/>
          <w:sz w:val="17"/>
          <w:szCs w:val="17"/>
          <w:u w:val="single" w:color="auto"/>
          <w:color w:val="000000"/>
        </w:rPr>
        <w:t>Sections 2.1</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u w:val="single" w:color="auto"/>
          <w:color w:val="000000"/>
        </w:rPr>
        <w:t>2.3</w:t>
      </w:r>
      <w:r>
        <w:rPr>
          <w:rFonts w:ascii="Times New Roman" w:cs="Times New Roman" w:eastAsia="Times New Roman" w:hAnsi="Times New Roman"/>
          <w:sz w:val="17"/>
          <w:szCs w:val="17"/>
          <w:color w:val="000000"/>
        </w:rPr>
        <w:t xml:space="preserve"> 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7"/>
          <w:szCs w:val="17"/>
          <w:b w:val="1"/>
          <w:bCs w:val="1"/>
          <w:color w:val="000000"/>
        </w:rPr>
        <w:t>Piggyback Registration</w:t>
      </w:r>
      <w:r>
        <w:rPr>
          <w:rFonts w:ascii="Times New Roman" w:cs="Times New Roman" w:eastAsia="Times New Roman" w:hAnsi="Times New Roman"/>
          <w:sz w:val="17"/>
          <w:szCs w:val="17"/>
          <w:color w:val="00000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Times New Roman" w:cs="Times New Roman" w:eastAsia="Times New Roman" w:hAnsi="Times New Roman"/>
          <w:sz w:val="17"/>
          <w:szCs w:val="17"/>
          <w:u w:val="single" w:color="auto"/>
          <w:color w:val="000000"/>
        </w:rPr>
        <w:t>subsection 2.2.1</w:t>
      </w:r>
      <w:r>
        <w:rPr>
          <w:rFonts w:ascii="Times New Roman" w:cs="Times New Roman" w:eastAsia="Times New Roman" w:hAnsi="Times New Roman"/>
          <w:sz w:val="17"/>
          <w:szCs w:val="17"/>
          <w:color w:val="00000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000000"/>
        </w:rPr>
        <w:t>subsection 2.2.1</w:t>
      </w:r>
      <w:r>
        <w:rPr>
          <w:rFonts w:ascii="Times New Roman" w:cs="Times New Roman" w:eastAsia="Times New Roman" w:hAnsi="Times New Roman"/>
          <w:sz w:val="17"/>
          <w:szCs w:val="17"/>
          <w:color w:val="000000"/>
        </w:rPr>
        <w:t xml:space="preserve"> shall enter into an underwriting agreement in customary form with the Underwriter(s) selected for such Underwritten Offering by the Company.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3" w:name="page284"/>
    <w:bookmarkEnd w:id="283"/>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2.2.2 </w:t>
      </w:r>
      <w:r>
        <w:rPr>
          <w:rFonts w:ascii="Times New Roman" w:cs="Times New Roman" w:eastAsia="Times New Roman" w:hAnsi="Times New Roman"/>
          <w:sz w:val="18"/>
          <w:szCs w:val="18"/>
          <w:u w:val="single" w:color="auto"/>
          <w:color w:val="000000"/>
        </w:rPr>
        <w:t>Reduction of Piggyback Registration</w:t>
      </w:r>
      <w:r>
        <w:rPr>
          <w:rFonts w:ascii="Times New Roman" w:cs="Times New Roman" w:eastAsia="Times New Roman" w:hAnsi="Times New Roman"/>
          <w:sz w:val="18"/>
          <w:szCs w:val="18"/>
          <w:color w:val="000000"/>
        </w:rPr>
        <w:t>. If the managing Underwriter(s) in an Underwritten Registration that is to be a Piggyback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81" w:lineRule="exact"/>
        <w:rPr>
          <w:sz w:val="20"/>
          <w:szCs w:val="20"/>
          <w:color w:val="auto"/>
        </w:rPr>
      </w:pPr>
    </w:p>
    <w:p>
      <w:pPr>
        <w:jc w:val="both"/>
        <w:ind w:left="1600" w:hanging="526"/>
        <w:spacing w:after="0" w:line="251" w:lineRule="auto"/>
        <w:tabs>
          <w:tab w:leader="none" w:pos="1600" w:val="left"/>
        </w:tabs>
        <w:numPr>
          <w:ilvl w:val="0"/>
          <w:numId w:val="29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5"/>
          <w:szCs w:val="15"/>
          <w:u w:val="single" w:color="auto"/>
          <w:color w:val="auto"/>
        </w:rPr>
        <w:t>subsection 2.2.1</w:t>
      </w:r>
      <w:r>
        <w:rPr>
          <w:rFonts w:ascii="Times New Roman" w:cs="Times New Roman" w:eastAsia="Times New Roman" w:hAnsi="Times New Roman"/>
          <w:sz w:val="15"/>
          <w:szCs w:val="15"/>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spacing w:after="0" w:line="179" w:lineRule="exact"/>
        <w:rPr>
          <w:rFonts w:ascii="Times New Roman" w:cs="Times New Roman" w:eastAsia="Times New Roman" w:hAnsi="Times New Roman"/>
          <w:sz w:val="15"/>
          <w:szCs w:val="15"/>
          <w:color w:val="010000"/>
        </w:rPr>
      </w:pPr>
    </w:p>
    <w:p>
      <w:pPr>
        <w:jc w:val="both"/>
        <w:ind w:left="1600" w:hanging="526"/>
        <w:spacing w:after="0" w:line="249" w:lineRule="auto"/>
        <w:tabs>
          <w:tab w:leader="none" w:pos="1600" w:val="left"/>
        </w:tabs>
        <w:numPr>
          <w:ilvl w:val="0"/>
          <w:numId w:val="29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5"/>
          <w:szCs w:val="15"/>
          <w:u w:val="single" w:color="auto"/>
          <w:color w:val="auto"/>
        </w:rPr>
        <w:t>subsection 2.2.1</w:t>
      </w:r>
      <w:r>
        <w:rPr>
          <w:rFonts w:ascii="Times New Roman" w:cs="Times New Roman" w:eastAsia="Times New Roman" w:hAnsi="Times New Roman"/>
          <w:sz w:val="15"/>
          <w:szCs w:val="15"/>
          <w:color w:val="auto"/>
        </w:rPr>
        <w:t>, Pro Rata based on the respective number of Registrable Securities that each Holder has requested, which can be sold without exceeding the 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77"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2.2.3 </w:t>
      </w:r>
      <w:r>
        <w:rPr>
          <w:rFonts w:ascii="Times New Roman" w:cs="Times New Roman" w:eastAsia="Times New Roman" w:hAnsi="Times New Roman"/>
          <w:sz w:val="18"/>
          <w:szCs w:val="18"/>
          <w:u w:val="single" w:color="auto"/>
          <w:color w:val="000000"/>
        </w:rPr>
        <w:t>Piggyback Registration Withdrawal</w:t>
      </w:r>
      <w:r>
        <w:rPr>
          <w:rFonts w:ascii="Times New Roman" w:cs="Times New Roman" w:eastAsia="Times New Roman" w:hAnsi="Times New Roman"/>
          <w:sz w:val="18"/>
          <w:szCs w:val="18"/>
          <w:color w:val="000000"/>
        </w:rPr>
        <w:t>. Any Holder of Registrable Securities shall have the right to withdraw from a Piggyback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000000"/>
        </w:rPr>
        <w:t>subsection 2.2.3</w:t>
      </w:r>
      <w:r>
        <w:rPr>
          <w:rFonts w:ascii="Times New Roman" w:cs="Times New Roman" w:eastAsia="Times New Roman" w:hAnsi="Times New Roman"/>
          <w:sz w:val="18"/>
          <w:szCs w:val="18"/>
          <w:color w:val="000000"/>
        </w:rPr>
        <w: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4" w:name="page285"/>
    <w:bookmarkEnd w:id="284"/>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2.2.4 </w:t>
      </w:r>
      <w:r>
        <w:rPr>
          <w:rFonts w:ascii="Times New Roman" w:cs="Times New Roman" w:eastAsia="Times New Roman" w:hAnsi="Times New Roman"/>
          <w:sz w:val="18"/>
          <w:szCs w:val="18"/>
          <w:u w:val="single" w:color="auto"/>
          <w:color w:val="000000"/>
        </w:rPr>
        <w:t>Unlimited Piggyback Registration Rights</w:t>
      </w:r>
      <w:r>
        <w:rPr>
          <w:rFonts w:ascii="Times New Roman" w:cs="Times New Roman" w:eastAsia="Times New Roman" w:hAnsi="Times New Roman"/>
          <w:sz w:val="18"/>
          <w:szCs w:val="18"/>
          <w:color w:val="000000"/>
        </w:rPr>
        <w:t>. For purposes of clarity, any Registration effected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shall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counted as a Registration pursuant to a Demand Registration effected under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hereof.</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2.2.5 </w:t>
      </w:r>
      <w:r>
        <w:rPr>
          <w:rFonts w:ascii="Times New Roman" w:cs="Times New Roman" w:eastAsia="Times New Roman" w:hAnsi="Times New Roman"/>
          <w:sz w:val="18"/>
          <w:szCs w:val="18"/>
          <w:u w:val="single" w:color="auto"/>
          <w:color w:val="000000"/>
        </w:rPr>
        <w:t>Right to Terminate Registration</w:t>
      </w:r>
      <w:r>
        <w:rPr>
          <w:rFonts w:ascii="Times New Roman" w:cs="Times New Roman" w:eastAsia="Times New Roman" w:hAnsi="Times New Roman"/>
          <w:sz w:val="18"/>
          <w:szCs w:val="18"/>
          <w:color w:val="000000"/>
        </w:rPr>
        <w:t>. The Company shall have the right to terminate or withdraw any registration initiated by it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prior to the effectiveness of such registration whether or not any Holder of Registrable Securities has elected to include securities in such registration.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2.3. </w:t>
      </w:r>
      <w:r>
        <w:rPr>
          <w:rFonts w:ascii="Times New Roman" w:cs="Times New Roman" w:eastAsia="Times New Roman" w:hAnsi="Times New Roman"/>
          <w:sz w:val="18"/>
          <w:szCs w:val="18"/>
          <w:b w:val="1"/>
          <w:bCs w:val="1"/>
          <w:color w:val="000000"/>
        </w:rPr>
        <w:t>Resale Shelf Registration Rights</w:t>
      </w:r>
    </w:p>
    <w:p>
      <w:pPr>
        <w:spacing w:after="0" w:line="194" w:lineRule="exact"/>
        <w:rPr>
          <w:sz w:val="20"/>
          <w:szCs w:val="20"/>
          <w:color w:val="auto"/>
        </w:rPr>
      </w:pPr>
    </w:p>
    <w:p>
      <w:pPr>
        <w:jc w:val="both"/>
        <w:ind w:firstLine="1065"/>
        <w:spacing w:after="0" w:line="233" w:lineRule="auto"/>
        <w:rPr>
          <w:sz w:val="20"/>
          <w:szCs w:val="20"/>
          <w:color w:val="auto"/>
        </w:rPr>
      </w:pPr>
      <w:r>
        <w:rPr>
          <w:rFonts w:ascii="Times New Roman" w:cs="Times New Roman" w:eastAsia="Times New Roman" w:hAnsi="Times New Roman"/>
          <w:sz w:val="18"/>
          <w:szCs w:val="18"/>
          <w:color w:val="010000"/>
        </w:rPr>
        <w:t xml:space="preserve">2.3.1 </w:t>
      </w:r>
      <w:r>
        <w:rPr>
          <w:rFonts w:ascii="Times New Roman" w:cs="Times New Roman" w:eastAsia="Times New Roman" w:hAnsi="Times New Roman"/>
          <w:sz w:val="18"/>
          <w:szCs w:val="18"/>
          <w:u w:val="single" w:color="auto"/>
          <w:color w:val="000000"/>
        </w:rPr>
        <w:t>Registration Statement Covering Resale of Registrable Securities</w:t>
      </w:r>
      <w:r>
        <w:rPr>
          <w:rFonts w:ascii="Times New Roman" w:cs="Times New Roman" w:eastAsia="Times New Roman" w:hAnsi="Times New Roman"/>
          <w:sz w:val="18"/>
          <w:szCs w:val="18"/>
          <w:color w:val="000000"/>
        </w:rPr>
        <w:t>. The Company shall prepare and file or cause to be prepared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filed with the Commission, no later than forty-five (45) days following the Closing Date (the “</w:t>
      </w:r>
      <w:r>
        <w:rPr>
          <w:rFonts w:ascii="Times New Roman" w:cs="Times New Roman" w:eastAsia="Times New Roman" w:hAnsi="Times New Roman"/>
          <w:sz w:val="18"/>
          <w:szCs w:val="18"/>
          <w:b w:val="1"/>
          <w:bCs w:val="1"/>
          <w:color w:val="000000"/>
        </w:rPr>
        <w:t>Filing Deadline</w:t>
      </w:r>
      <w:r>
        <w:rPr>
          <w:rFonts w:ascii="Times New Roman" w:cs="Times New Roman" w:eastAsia="Times New Roman" w:hAnsi="Times New Roman"/>
          <w:sz w:val="18"/>
          <w:szCs w:val="18"/>
          <w:color w:val="000000"/>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 w:cs="Times New Roman" w:eastAsia="Times New Roman" w:hAnsi="Times New Roman"/>
          <w:sz w:val="18"/>
          <w:szCs w:val="18"/>
          <w:b w:val="1"/>
          <w:bCs w:val="1"/>
          <w:color w:val="000000"/>
        </w:rPr>
        <w:t>Resale Shelf Registration Statement</w:t>
      </w:r>
      <w:r>
        <w:rPr>
          <w:rFonts w:ascii="Times New Roman" w:cs="Times New Roman" w:eastAsia="Times New Roman" w:hAnsi="Times New Roman"/>
          <w:sz w:val="18"/>
          <w:szCs w:val="18"/>
          <w:color w:val="000000"/>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18"/>
          <w:szCs w:val="18"/>
          <w:u w:val="single" w:color="auto"/>
          <w:color w:val="000000"/>
        </w:rPr>
        <w:t>subsection 2.3.1</w:t>
      </w:r>
      <w:r>
        <w:rPr>
          <w:rFonts w:ascii="Times New Roman" w:cs="Times New Roman" w:eastAsia="Times New Roman" w:hAnsi="Times New Roman"/>
          <w:sz w:val="18"/>
          <w:szCs w:val="18"/>
          <w:color w:val="000000"/>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00000"/>
        </w:rPr>
        <w:t xml:space="preserve"> of this Agreement), and shall provide that such Registrable Securities may be sold pursuant to any method or combination of methods legally available to, and requested by, Holders.</w:t>
      </w:r>
    </w:p>
    <w:p>
      <w:pPr>
        <w:spacing w:after="0" w:line="170"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010000"/>
        </w:rPr>
        <w:t xml:space="preserve">2.3.2 </w:t>
      </w:r>
      <w:r>
        <w:rPr>
          <w:rFonts w:ascii="Times New Roman" w:cs="Times New Roman" w:eastAsia="Times New Roman" w:hAnsi="Times New Roman"/>
          <w:sz w:val="18"/>
          <w:szCs w:val="18"/>
          <w:u w:val="single" w:color="auto"/>
          <w:color w:val="000000"/>
        </w:rPr>
        <w:t>Notification and Distribution of Materials</w:t>
      </w:r>
      <w:r>
        <w:rPr>
          <w:rFonts w:ascii="Times New Roman" w:cs="Times New Roman" w:eastAsia="Times New Roman" w:hAnsi="Times New Roman"/>
          <w:sz w:val="18"/>
          <w:szCs w:val="18"/>
          <w:color w:val="000000"/>
        </w:rPr>
        <w:t>. The Company shall notify the Holders in writing of the effectiveness of the Resale Shelf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spacing w:after="0" w:line="171"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2.3.3 </w:t>
      </w:r>
      <w:r>
        <w:rPr>
          <w:rFonts w:ascii="Times New Roman" w:cs="Times New Roman" w:eastAsia="Times New Roman" w:hAnsi="Times New Roman"/>
          <w:sz w:val="18"/>
          <w:szCs w:val="18"/>
          <w:u w:val="single" w:color="auto"/>
          <w:color w:val="000000"/>
        </w:rPr>
        <w:t>Amendments and Supplements</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2.3.1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the Company shall promptly prepare and file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 w:cs="Times New Roman" w:eastAsia="Times New Roman" w:hAnsi="Times New Roman"/>
          <w:sz w:val="18"/>
          <w:szCs w:val="18"/>
          <w:u w:val="single" w:color="auto"/>
          <w:color w:val="000000"/>
        </w:rPr>
        <w:t>Section 2.3.1</w:t>
      </w:r>
      <w:r>
        <w:rPr>
          <w:rFonts w:ascii="Times New Roman" w:cs="Times New Roman" w:eastAsia="Times New Roman" w:hAnsi="Times New Roman"/>
          <w:sz w:val="18"/>
          <w:szCs w:val="18"/>
          <w:color w:val="000000"/>
        </w:rPr>
        <w:t xml:space="preserve">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5" w:name="page286"/>
    <w:bookmarkEnd w:id="285"/>
    <w:p>
      <w:pPr>
        <w:jc w:val="both"/>
        <w:ind w:firstLine="1065"/>
        <w:spacing w:after="0" w:line="247" w:lineRule="auto"/>
        <w:rPr>
          <w:sz w:val="20"/>
          <w:szCs w:val="20"/>
          <w:color w:val="auto"/>
        </w:rPr>
      </w:pPr>
      <w:r>
        <w:rPr>
          <w:rFonts w:ascii="Times New Roman" w:cs="Times New Roman" w:eastAsia="Times New Roman" w:hAnsi="Times New Roman"/>
          <w:sz w:val="17"/>
          <w:szCs w:val="17"/>
          <w:color w:val="010000"/>
        </w:rPr>
        <w:t xml:space="preserve">2.3.4 </w:t>
      </w:r>
      <w:r>
        <w:rPr>
          <w:rFonts w:ascii="Times New Roman" w:cs="Times New Roman" w:eastAsia="Times New Roman" w:hAnsi="Times New Roman"/>
          <w:sz w:val="17"/>
          <w:szCs w:val="17"/>
          <w:u w:val="single" w:color="auto"/>
          <w:color w:val="000000"/>
        </w:rPr>
        <w:t>SEC Cutback</w:t>
      </w:r>
      <w:r>
        <w:rPr>
          <w:rFonts w:ascii="Times New Roman" w:cs="Times New Roman" w:eastAsia="Times New Roman" w:hAnsi="Times New Roman"/>
          <w:sz w:val="17"/>
          <w:szCs w:val="17"/>
          <w:color w:val="000000"/>
        </w:rPr>
        <w:t>. Notwithstanding the registration obligations set forth in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2.3</w:t>
      </w:r>
      <w:r>
        <w:rPr>
          <w:rFonts w:ascii="Times New Roman" w:cs="Times New Roman" w:eastAsia="Times New Roman" w:hAnsi="Times New Roman"/>
          <w:sz w:val="17"/>
          <w:szCs w:val="17"/>
          <w:color w:val="000000"/>
        </w:rPr>
        <w:t>, in the event the Commission informs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7"/>
          <w:szCs w:val="17"/>
          <w:b w:val="1"/>
          <w:bCs w:val="1"/>
          <w:color w:val="000000"/>
        </w:rPr>
        <w:t>New Registration Statement</w:t>
      </w:r>
      <w:r>
        <w:rPr>
          <w:rFonts w:ascii="Times New Roman" w:cs="Times New Roman" w:eastAsia="Times New Roman" w:hAnsi="Times New Roman"/>
          <w:sz w:val="17"/>
          <w:szCs w:val="17"/>
          <w:color w:val="000000"/>
        </w:rPr>
        <w:t xml:space="preserve">”) on Form S-3, or if Form S-3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Times New Roman" w:cs="Times New Roman" w:eastAsia="Times New Roman" w:hAnsi="Times New Roman"/>
          <w:sz w:val="17"/>
          <w:szCs w:val="17"/>
          <w:b w:val="1"/>
          <w:bCs w:val="1"/>
          <w:color w:val="000000"/>
        </w:rPr>
        <w:t>SEC Guidance</w:t>
      </w:r>
      <w:r>
        <w:rPr>
          <w:rFonts w:ascii="Times New Roman" w:cs="Times New Roman" w:eastAsia="Times New Roman" w:hAnsi="Times New Roman"/>
          <w:sz w:val="17"/>
          <w:szCs w:val="17"/>
          <w:color w:val="00000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72"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010000"/>
        </w:rPr>
        <w:t xml:space="preserve">2.3.5 </w:t>
      </w:r>
      <w:r>
        <w:rPr>
          <w:rFonts w:ascii="Times New Roman" w:cs="Times New Roman" w:eastAsia="Times New Roman" w:hAnsi="Times New Roman"/>
          <w:sz w:val="17"/>
          <w:szCs w:val="17"/>
          <w:u w:val="single" w:color="auto"/>
          <w:color w:val="000000"/>
        </w:rPr>
        <w:t>Underwritten Shelf Takedown</w:t>
      </w:r>
      <w:r>
        <w:rPr>
          <w:rFonts w:ascii="Times New Roman" w:cs="Times New Roman" w:eastAsia="Times New Roman" w:hAnsi="Times New Roman"/>
          <w:sz w:val="17"/>
          <w:szCs w:val="17"/>
          <w:color w:val="000000"/>
        </w:rPr>
        <w:t>. At any time and from time to time after a Resale Shelf Registration Statement has been declared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effective by the Commission, the Holders may request to sell all or any portion of the Registrable Securities in an underwritten offering that is registered pursuant to the Resale Shelf Registration Statement (each, an “</w:t>
      </w:r>
      <w:r>
        <w:rPr>
          <w:rFonts w:ascii="Times New Roman" w:cs="Times New Roman" w:eastAsia="Times New Roman" w:hAnsi="Times New Roman"/>
          <w:sz w:val="17"/>
          <w:szCs w:val="17"/>
          <w:b w:val="1"/>
          <w:bCs w:val="1"/>
          <w:color w:val="000000"/>
        </w:rPr>
        <w:t>Underwritten Shelf Takedown</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the Company shall only be obligated to effect an Underwritten Shelf Takedown if such offering shall include securities with a total offering price (including piggyback securities and before 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Times New Roman" w:cs="Times New Roman" w:eastAsia="Times New Roman" w:hAnsi="Times New Roman"/>
          <w:sz w:val="17"/>
          <w:szCs w:val="17"/>
          <w:b w:val="1"/>
          <w:bCs w:val="1"/>
          <w:color w:val="000000"/>
        </w:rPr>
        <w:t>Takedown Requesting Holder</w:t>
      </w:r>
      <w:r>
        <w:rPr>
          <w:rFonts w:ascii="Times New Roman" w:cs="Times New Roman" w:eastAsia="Times New Roman" w:hAnsi="Times New Roman"/>
          <w:sz w:val="17"/>
          <w:szCs w:val="17"/>
          <w:color w:val="000000"/>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Times New Roman" w:cs="Times New Roman" w:eastAsia="Times New Roman" w:hAnsi="Times New Roman"/>
          <w:sz w:val="17"/>
          <w:szCs w:val="17"/>
          <w:u w:val="single" w:color="auto"/>
          <w:color w:val="000000"/>
        </w:rPr>
        <w:t>subsection 2.3.5</w:t>
      </w:r>
      <w:r>
        <w:rPr>
          <w:rFonts w:ascii="Times New Roman" w:cs="Times New Roman" w:eastAsia="Times New Roman" w:hAnsi="Times New Roman"/>
          <w:sz w:val="17"/>
          <w:szCs w:val="17"/>
          <w:color w:val="000000"/>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6" w:name="page287"/>
    <w:bookmarkEnd w:id="286"/>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2.3.6 </w:t>
      </w:r>
      <w:r>
        <w:rPr>
          <w:rFonts w:ascii="Times New Roman" w:cs="Times New Roman" w:eastAsia="Times New Roman" w:hAnsi="Times New Roman"/>
          <w:sz w:val="18"/>
          <w:szCs w:val="18"/>
          <w:u w:val="single" w:color="auto"/>
          <w:color w:val="000000"/>
        </w:rPr>
        <w:t>Reduction of Underwritten Shelf Takedown</w:t>
      </w:r>
      <w:r>
        <w:rPr>
          <w:rFonts w:ascii="Times New Roman" w:cs="Times New Roman" w:eastAsia="Times New Roman" w:hAnsi="Times New Roman"/>
          <w:sz w:val="18"/>
          <w:szCs w:val="18"/>
          <w:color w:val="000000"/>
        </w:rPr>
        <w:t>. If the managing Underwriter(s) in an Underwritten Shelf Takedown, in good faith,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spacing w:after="0" w:line="173" w:lineRule="exact"/>
        <w:rPr>
          <w:sz w:val="20"/>
          <w:szCs w:val="20"/>
          <w:color w:val="auto"/>
        </w:rPr>
      </w:pPr>
    </w:p>
    <w:p>
      <w:pPr>
        <w:ind w:left="1080"/>
        <w:spacing w:after="0"/>
        <w:tabs>
          <w:tab w:leader="none" w:pos="1940" w:val="left"/>
        </w:tabs>
        <w:rPr>
          <w:sz w:val="20"/>
          <w:szCs w:val="20"/>
          <w:color w:val="auto"/>
        </w:rPr>
      </w:pPr>
      <w:r>
        <w:rPr>
          <w:rFonts w:ascii="Times New Roman" w:cs="Times New Roman" w:eastAsia="Times New Roman" w:hAnsi="Times New Roman"/>
          <w:sz w:val="18"/>
          <w:szCs w:val="18"/>
          <w:color w:val="010000"/>
        </w:rPr>
        <w:t>2.3.7</w:t>
      </w:r>
      <w:r>
        <w:rPr>
          <w:sz w:val="20"/>
          <w:szCs w:val="20"/>
          <w:color w:val="auto"/>
        </w:rPr>
        <w:tab/>
      </w:r>
      <w:r>
        <w:rPr>
          <w:rFonts w:ascii="Times New Roman" w:cs="Times New Roman" w:eastAsia="Times New Roman" w:hAnsi="Times New Roman"/>
          <w:sz w:val="18"/>
          <w:szCs w:val="18"/>
          <w:color w:val="auto"/>
        </w:rPr>
        <w:t xml:space="preserve">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no circumstances shall the Company be obligated to effect more than an aggregate of four (4) Underwritten Shelf Takedowns in any 12-month period.</w:t>
      </w:r>
    </w:p>
    <w:p>
      <w:pPr>
        <w:spacing w:after="0" w:line="184"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2.3.8 </w:t>
      </w:r>
      <w:r>
        <w:rPr>
          <w:rFonts w:ascii="Times New Roman" w:cs="Times New Roman" w:eastAsia="Times New Roman" w:hAnsi="Times New Roman"/>
          <w:sz w:val="18"/>
          <w:szCs w:val="18"/>
          <w:u w:val="single" w:color="auto"/>
          <w:color w:val="000000"/>
        </w:rPr>
        <w:t>Block Trades</w:t>
      </w:r>
      <w:r>
        <w:rPr>
          <w:rFonts w:ascii="Times New Roman" w:cs="Times New Roman" w:eastAsia="Times New Roman" w:hAnsi="Times New Roman"/>
          <w:sz w:val="18"/>
          <w:szCs w:val="18"/>
          <w:color w:val="000000"/>
        </w:rPr>
        <w:t>. If the Company shall receive a request from a Holder or Holders of Registrable Securities with an estimated market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Times New Roman" w:cs="Times New Roman" w:eastAsia="Times New Roman" w:hAnsi="Times New Roman"/>
          <w:sz w:val="18"/>
          <w:szCs w:val="18"/>
          <w:u w:val="single" w:color="auto"/>
          <w:color w:val="000000"/>
        </w:rPr>
        <w:t>Section 2.3.7</w:t>
      </w:r>
      <w:r>
        <w:rPr>
          <w:rFonts w:ascii="Times New Roman" w:cs="Times New Roman" w:eastAsia="Times New Roman" w:hAnsi="Times New Roman"/>
          <w:sz w:val="18"/>
          <w:szCs w:val="18"/>
          <w:color w:val="000000"/>
        </w:rPr>
        <w:t>.</w:t>
      </w:r>
    </w:p>
    <w:p>
      <w:pPr>
        <w:spacing w:after="0" w:line="165"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2.4. </w:t>
      </w:r>
      <w:r>
        <w:rPr>
          <w:rFonts w:ascii="Times New Roman" w:cs="Times New Roman" w:eastAsia="Times New Roman" w:hAnsi="Times New Roman"/>
          <w:sz w:val="18"/>
          <w:szCs w:val="18"/>
          <w:b w:val="1"/>
          <w:bCs w:val="1"/>
          <w:color w:val="000000"/>
        </w:rPr>
        <w:t>Restrictions on Registration Rights</w:t>
      </w:r>
      <w:r>
        <w:rPr>
          <w:rFonts w:ascii="Times New Roman" w:cs="Times New Roman" w:eastAsia="Times New Roman" w:hAnsi="Times New Roman"/>
          <w:sz w:val="18"/>
          <w:szCs w:val="18"/>
          <w:color w:val="000000"/>
        </w:rPr>
        <w:t>. Notwithstanding anything to the contrary contained herein, the Company shall not be obligated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(but may, at its sole option) file a Registration Statement pursuant to a Demand Registration request made under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and that the Company continues to actively employ, in good faith, commercially reasonable efforts to cause the applicable Registration Statement to become effective.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3.1. </w:t>
      </w:r>
      <w:r>
        <w:rPr>
          <w:rFonts w:ascii="Times New Roman" w:cs="Times New Roman" w:eastAsia="Times New Roman" w:hAnsi="Times New Roman"/>
          <w:sz w:val="18"/>
          <w:szCs w:val="18"/>
          <w:b w:val="1"/>
          <w:bCs w:val="1"/>
          <w:color w:val="000000"/>
        </w:rPr>
        <w:t>General Procedures</w:t>
      </w:r>
      <w:r>
        <w:rPr>
          <w:rFonts w:ascii="Times New Roman" w:cs="Times New Roman" w:eastAsia="Times New Roman" w:hAnsi="Times New Roman"/>
          <w:sz w:val="18"/>
          <w:szCs w:val="18"/>
          <w:color w:val="000000"/>
        </w:rPr>
        <w:t>. If at any time on or after the Effective Time the Company is required to effect the Registration of Registrable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 </w:t>
      </w:r>
      <w:r>
        <w:rPr>
          <w:rFonts w:ascii="Times New Roman" w:cs="Times New Roman" w:eastAsia="Times New Roman" w:hAnsi="Times New Roman"/>
          <w:sz w:val="18"/>
          <w:szCs w:val="18"/>
          <w:color w:val="000000"/>
        </w:rPr>
        <w:t>prepare and file with the Commission as soon as practicable a Registration Statement with respect to such Registrable Securities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use its commercially reasonable efforts to cause such Registration Statement to become effective and remain effective until all Registrable Securities covered by such Registration Statement have been sold;</w:t>
      </w:r>
    </w:p>
    <w:p>
      <w:pPr>
        <w:spacing w:after="0" w:line="16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3.1.2 </w:t>
      </w:r>
      <w:r>
        <w:rPr>
          <w:rFonts w:ascii="Times New Roman" w:cs="Times New Roman" w:eastAsia="Times New Roman" w:hAnsi="Times New Roman"/>
          <w:sz w:val="18"/>
          <w:szCs w:val="18"/>
          <w:color w:val="000000"/>
        </w:rPr>
        <w:t>prepare and file with the Commission such amendments and post-effective amendments to the Registration Statement, and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7" w:name="page288"/>
    <w:bookmarkEnd w:id="287"/>
    <w:p>
      <w:pPr>
        <w:jc w:val="both"/>
        <w:ind w:firstLine="1120"/>
        <w:spacing w:after="0" w:line="237" w:lineRule="auto"/>
        <w:rPr>
          <w:sz w:val="20"/>
          <w:szCs w:val="20"/>
          <w:color w:val="auto"/>
        </w:rPr>
      </w:pPr>
      <w:r>
        <w:rPr>
          <w:rFonts w:ascii="Times New Roman" w:cs="Times New Roman" w:eastAsia="Times New Roman" w:hAnsi="Times New Roman"/>
          <w:sz w:val="18"/>
          <w:szCs w:val="18"/>
          <w:color w:val="010000"/>
        </w:rPr>
        <w:t xml:space="preserve">3.1.3 </w:t>
      </w:r>
      <w:r>
        <w:rPr>
          <w:rFonts w:ascii="Times New Roman" w:cs="Times New Roman" w:eastAsia="Times New Roman" w:hAnsi="Times New Roman"/>
          <w:sz w:val="18"/>
          <w:szCs w:val="18"/>
          <w:color w:val="000000"/>
        </w:rPr>
        <w:t>prior to filing a Registration Statement or Prospectus, or any amendment or supplement thereto, furnish without charge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1"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3.1.4 </w:t>
      </w:r>
      <w:r>
        <w:rPr>
          <w:rFonts w:ascii="Times New Roman" w:cs="Times New Roman" w:eastAsia="Times New Roman" w:hAnsi="Times New Roman"/>
          <w:sz w:val="18"/>
          <w:szCs w:val="18"/>
          <w:color w:val="000000"/>
        </w:rPr>
        <w:t>prior to any public offering of Registrable Securities, use its commercially reasonable efforts to (i) register or qualify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3"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3.1.5 </w:t>
      </w:r>
      <w:r>
        <w:rPr>
          <w:rFonts w:ascii="Times New Roman" w:cs="Times New Roman" w:eastAsia="Times New Roman" w:hAnsi="Times New Roman"/>
          <w:sz w:val="18"/>
          <w:szCs w:val="18"/>
          <w:color w:val="000000"/>
        </w:rPr>
        <w:t>cause all such Registrable Securities to be listed on each securities exchange or automated quotation system on which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issued by the Company are then listed;</w:t>
      </w:r>
    </w:p>
    <w:p>
      <w:pPr>
        <w:spacing w:after="0" w:line="151" w:lineRule="exact"/>
        <w:rPr>
          <w:sz w:val="20"/>
          <w:szCs w:val="20"/>
          <w:color w:val="auto"/>
        </w:rPr>
      </w:pPr>
    </w:p>
    <w:p>
      <w:pPr>
        <w:ind w:left="1080"/>
        <w:spacing w:after="0"/>
        <w:tabs>
          <w:tab w:leader="none" w:pos="2080" w:val="left"/>
        </w:tabs>
        <w:rPr>
          <w:sz w:val="20"/>
          <w:szCs w:val="20"/>
          <w:color w:val="auto"/>
        </w:rPr>
      </w:pPr>
      <w:r>
        <w:rPr>
          <w:rFonts w:ascii="Times New Roman" w:cs="Times New Roman" w:eastAsia="Times New Roman" w:hAnsi="Times New Roman"/>
          <w:sz w:val="18"/>
          <w:szCs w:val="18"/>
          <w:color w:val="010000"/>
        </w:rPr>
        <w:t>3.1.6</w:t>
      </w:r>
      <w:r>
        <w:rPr>
          <w:sz w:val="20"/>
          <w:szCs w:val="20"/>
          <w:color w:val="auto"/>
        </w:rPr>
        <w:tab/>
      </w:r>
      <w:r>
        <w:rPr>
          <w:rFonts w:ascii="Times New Roman" w:cs="Times New Roman" w:eastAsia="Times New Roman" w:hAnsi="Times New Roman"/>
          <w:sz w:val="18"/>
          <w:szCs w:val="18"/>
          <w:color w:val="auto"/>
        </w:rPr>
        <w:t>provide a transfer agent and registrar for all such Registrable Securities no later than the effective date of such Registration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172" w:lineRule="exact"/>
        <w:rPr>
          <w:sz w:val="20"/>
          <w:szCs w:val="20"/>
          <w:color w:val="auto"/>
        </w:rPr>
      </w:pPr>
    </w:p>
    <w:p>
      <w:pPr>
        <w:jc w:val="both"/>
        <w:ind w:firstLine="1065"/>
        <w:spacing w:after="0" w:line="241" w:lineRule="auto"/>
        <w:rPr>
          <w:sz w:val="20"/>
          <w:szCs w:val="20"/>
          <w:color w:val="auto"/>
        </w:rPr>
      </w:pPr>
      <w:r>
        <w:rPr>
          <w:rFonts w:ascii="Times New Roman" w:cs="Times New Roman" w:eastAsia="Times New Roman" w:hAnsi="Times New Roman"/>
          <w:sz w:val="18"/>
          <w:szCs w:val="18"/>
          <w:color w:val="010000"/>
        </w:rPr>
        <w:t xml:space="preserve">3.1.7 </w:t>
      </w:r>
      <w:r>
        <w:rPr>
          <w:rFonts w:ascii="Times New Roman" w:cs="Times New Roman" w:eastAsia="Times New Roman" w:hAnsi="Times New Roman"/>
          <w:sz w:val="18"/>
          <w:szCs w:val="18"/>
          <w:color w:val="000000"/>
        </w:rPr>
        <w:t>advise each seller of such Registrable Securities, promptly after it shall receive notice or obtain knowledge thereof, of the issuance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67"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3.1.8 </w:t>
      </w:r>
      <w:r>
        <w:rPr>
          <w:rFonts w:ascii="Times New Roman" w:cs="Times New Roman" w:eastAsia="Times New Roman" w:hAnsi="Times New Roman"/>
          <w:sz w:val="18"/>
          <w:szCs w:val="18"/>
          <w:color w:val="000000"/>
        </w:rPr>
        <w:t>advise each Holder of Registrable Securities covered by such Registration Statement, promptly after the Company receives notice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thereof, of the time when such registration statement has been declared effective or a supplement to any Prospectus forming a part of such registration statement has been filed;</w:t>
      </w:r>
    </w:p>
    <w:p>
      <w:pPr>
        <w:spacing w:after="0" w:line="16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3.1.9 </w:t>
      </w:r>
      <w:r>
        <w:rPr>
          <w:rFonts w:ascii="Times New Roman" w:cs="Times New Roman" w:eastAsia="Times New Roman" w:hAnsi="Times New Roman"/>
          <w:sz w:val="18"/>
          <w:szCs w:val="18"/>
          <w:color w:val="000000"/>
        </w:rPr>
        <w:t>at least five (5) days prior to the filing of any Registration Statement or Prospectus or any amendment or supplement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or Prospectus, furnish a draft copy thereof to each seller of such Registrable Securities or its counsel;</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3.1.10 </w:t>
      </w:r>
      <w:r>
        <w:rPr>
          <w:rFonts w:ascii="Times New Roman" w:cs="Times New Roman" w:eastAsia="Times New Roman" w:hAnsi="Times New Roman"/>
          <w:sz w:val="18"/>
          <w:szCs w:val="18"/>
          <w:color w:val="000000"/>
        </w:rPr>
        <w:t>notify the Holders at any time when a Prospectus relating to such Registration Statement is required to be delivered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000000"/>
        </w:rPr>
        <w:t>Section 3.4</w:t>
      </w:r>
      <w:r>
        <w:rPr>
          <w:rFonts w:ascii="Times New Roman" w:cs="Times New Roman" w:eastAsia="Times New Roman" w:hAnsi="Times New Roman"/>
          <w:sz w:val="18"/>
          <w:szCs w:val="18"/>
          <w:color w:val="000000"/>
        </w:rPr>
        <w:t xml:space="preserve"> hereof;</w:t>
      </w:r>
    </w:p>
    <w:p>
      <w:pPr>
        <w:spacing w:after="0" w:line="16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3.1.11 </w:t>
      </w:r>
      <w:r>
        <w:rPr>
          <w:rFonts w:ascii="Times New Roman" w:cs="Times New Roman" w:eastAsia="Times New Roman" w:hAnsi="Times New Roman"/>
          <w:sz w:val="18"/>
          <w:szCs w:val="18"/>
          <w:color w:val="000000"/>
        </w:rPr>
        <w:t>permit a representative of the Holders, the Underwriter(s), if any, and any attorney or accountant retained by such Holders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 representatives or Underwriter(s) enter into a confidentiality agreement, in form and substance reasonably satisfactory to the Company, prior to the release or disclosure of any such information;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8" w:name="page289"/>
    <w:bookmarkEnd w:id="288"/>
    <w:p>
      <w:pPr>
        <w:jc w:val="both"/>
        <w:ind w:firstLine="1120"/>
        <w:spacing w:after="0" w:line="245" w:lineRule="auto"/>
        <w:rPr>
          <w:sz w:val="20"/>
          <w:szCs w:val="20"/>
          <w:color w:val="auto"/>
        </w:rPr>
      </w:pPr>
      <w:r>
        <w:rPr>
          <w:rFonts w:ascii="Times New Roman" w:cs="Times New Roman" w:eastAsia="Times New Roman" w:hAnsi="Times New Roman"/>
          <w:sz w:val="18"/>
          <w:szCs w:val="18"/>
          <w:color w:val="010000"/>
        </w:rPr>
        <w:t xml:space="preserve">3.1.12 </w:t>
      </w:r>
      <w:r>
        <w:rPr>
          <w:rFonts w:ascii="Times New Roman" w:cs="Times New Roman" w:eastAsia="Times New Roman" w:hAnsi="Times New Roman"/>
          <w:sz w:val="18"/>
          <w:szCs w:val="18"/>
          <w:color w:val="000000"/>
        </w:rPr>
        <w:t>obtain a “cold comfort” letter from the Company’s independent registered public accountants in the event of an Underwritten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spacing w:after="0" w:line="164" w:lineRule="exact"/>
        <w:rPr>
          <w:sz w:val="20"/>
          <w:szCs w:val="20"/>
          <w:color w:val="auto"/>
        </w:rPr>
      </w:pPr>
    </w:p>
    <w:p>
      <w:pPr>
        <w:jc w:val="both"/>
        <w:ind w:firstLine="1065"/>
        <w:spacing w:after="0" w:line="241" w:lineRule="auto"/>
        <w:rPr>
          <w:sz w:val="20"/>
          <w:szCs w:val="20"/>
          <w:color w:val="auto"/>
        </w:rPr>
      </w:pPr>
      <w:r>
        <w:rPr>
          <w:rFonts w:ascii="Times New Roman" w:cs="Times New Roman" w:eastAsia="Times New Roman" w:hAnsi="Times New Roman"/>
          <w:sz w:val="18"/>
          <w:szCs w:val="18"/>
          <w:color w:val="010000"/>
        </w:rPr>
        <w:t xml:space="preserve">3.1.13 </w:t>
      </w:r>
      <w:r>
        <w:rPr>
          <w:rFonts w:ascii="Times New Roman" w:cs="Times New Roman" w:eastAsia="Times New Roman" w:hAnsi="Times New Roman"/>
          <w:sz w:val="18"/>
          <w:szCs w:val="18"/>
          <w:color w:val="000000"/>
        </w:rPr>
        <w:t>on the date the Registrable Securities are delivered for sale pursuant to such Registration, if requested by the Underwriter(s),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spacing w:after="0" w:line="167" w:lineRule="exact"/>
        <w:rPr>
          <w:sz w:val="20"/>
          <w:szCs w:val="20"/>
          <w:color w:val="auto"/>
        </w:rPr>
      </w:pPr>
    </w:p>
    <w:p>
      <w:pPr>
        <w:jc w:val="both"/>
        <w:ind w:right="20"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3.1.14 </w:t>
      </w:r>
      <w:r>
        <w:rPr>
          <w:rFonts w:ascii="Times New Roman" w:cs="Times New Roman" w:eastAsia="Times New Roman" w:hAnsi="Times New Roman"/>
          <w:sz w:val="18"/>
          <w:szCs w:val="18"/>
          <w:color w:val="000000"/>
        </w:rPr>
        <w:t>in the event of any Underwritten Offering, enter into and perform its obligations under an underwriting agreement, in usual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customary form, with the managing Underwriter(s) of such offering;</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3.1.15 </w:t>
      </w:r>
      <w:r>
        <w:rPr>
          <w:rFonts w:ascii="Times New Roman" w:cs="Times New Roman" w:eastAsia="Times New Roman" w:hAnsi="Times New Roman"/>
          <w:sz w:val="18"/>
          <w:szCs w:val="18"/>
          <w:color w:val="000000"/>
        </w:rPr>
        <w:t>make available to its security holders, as soon as reasonably practicable, an earnings statement covering the period of at least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twelve (12) months beginning with the first day of the Company’s first full calendar quarter after the effective date of the Registration Statement which satisfies the provisions of </w:t>
      </w:r>
      <w:r>
        <w:rPr>
          <w:rFonts w:ascii="Times New Roman" w:cs="Times New Roman" w:eastAsia="Times New Roman" w:hAnsi="Times New Roman"/>
          <w:sz w:val="18"/>
          <w:szCs w:val="18"/>
          <w:u w:val="single" w:color="auto"/>
          <w:color w:val="000000"/>
        </w:rPr>
        <w:t>Section 11(a)</w:t>
      </w:r>
      <w:r>
        <w:rPr>
          <w:rFonts w:ascii="Times New Roman" w:cs="Times New Roman" w:eastAsia="Times New Roman" w:hAnsi="Times New Roman"/>
          <w:sz w:val="18"/>
          <w:szCs w:val="18"/>
          <w:color w:val="000000"/>
        </w:rPr>
        <w:t xml:space="preserve"> of the Securities Act and Rule 158 thereunder (or any successor rule promulgated thereafter by the Commission);</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3.1.16 </w:t>
      </w:r>
      <w:r>
        <w:rPr>
          <w:rFonts w:ascii="Times New Roman" w:cs="Times New Roman" w:eastAsia="Times New Roman" w:hAnsi="Times New Roman"/>
          <w:sz w:val="18"/>
          <w:szCs w:val="18"/>
          <w:color w:val="000000"/>
        </w:rPr>
        <w:t>if a Registration, including an Underwritten Offering, involves the Registration of Registrable Securities involving gross proceeds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excess of $50,000,000, use its commercially reasonable efforts to make available senior executives of the Company to participate in customary “road show” presentations that may be reasonably requested by the Underwriter(s) in any Underwritten Offering; and</w:t>
      </w:r>
    </w:p>
    <w:p>
      <w:pPr>
        <w:spacing w:after="0" w:line="162" w:lineRule="exact"/>
        <w:rPr>
          <w:sz w:val="20"/>
          <w:szCs w:val="20"/>
          <w:color w:val="auto"/>
        </w:rPr>
      </w:pPr>
    </w:p>
    <w:p>
      <w:pPr>
        <w:jc w:val="both"/>
        <w:ind w:right="20"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3.1.17 </w:t>
      </w:r>
      <w:r>
        <w:rPr>
          <w:rFonts w:ascii="Times New Roman" w:cs="Times New Roman" w:eastAsia="Times New Roman" w:hAnsi="Times New Roman"/>
          <w:sz w:val="18"/>
          <w:szCs w:val="18"/>
          <w:color w:val="000000"/>
        </w:rPr>
        <w:t>otherwise, in good faith, cooperate reasonably with, and take such customary actions as may reasonably be requested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Holders, in connection with such Registration.</w:t>
      </w:r>
    </w:p>
    <w:p>
      <w:pPr>
        <w:spacing w:after="0" w:line="149"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3.2. </w:t>
      </w:r>
      <w:r>
        <w:rPr>
          <w:rFonts w:ascii="Times New Roman" w:cs="Times New Roman" w:eastAsia="Times New Roman" w:hAnsi="Times New Roman"/>
          <w:sz w:val="18"/>
          <w:szCs w:val="18"/>
          <w:b w:val="1"/>
          <w:bCs w:val="1"/>
          <w:color w:val="000000"/>
        </w:rPr>
        <w:t>Registration Expenses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all Registration Expenses shal be borne by the Company. It is acknowledged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64"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3.3. </w:t>
      </w:r>
      <w:r>
        <w:rPr>
          <w:rFonts w:ascii="Times New Roman" w:cs="Times New Roman" w:eastAsia="Times New Roman" w:hAnsi="Times New Roman"/>
          <w:sz w:val="18"/>
          <w:szCs w:val="18"/>
          <w:b w:val="1"/>
          <w:bCs w:val="1"/>
          <w:color w:val="000000"/>
        </w:rPr>
        <w:t>Requirements for Participation in Underwritten Offerings</w:t>
      </w:r>
      <w:r>
        <w:rPr>
          <w:rFonts w:ascii="Times New Roman" w:cs="Times New Roman" w:eastAsia="Times New Roman" w:hAnsi="Times New Roman"/>
          <w:sz w:val="18"/>
          <w:szCs w:val="18"/>
          <w:color w:val="000000"/>
        </w:rPr>
        <w:t>. No person may participate in any Underwritten Offering for equity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67"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3.4. </w:t>
      </w:r>
      <w:r>
        <w:rPr>
          <w:rFonts w:ascii="Times New Roman" w:cs="Times New Roman" w:eastAsia="Times New Roman" w:hAnsi="Times New Roman"/>
          <w:sz w:val="18"/>
          <w:szCs w:val="18"/>
          <w:b w:val="1"/>
          <w:bCs w:val="1"/>
          <w:color w:val="000000"/>
        </w:rPr>
        <w:t>Suspension of Sales; Adverse Disclosure</w:t>
      </w:r>
      <w:r>
        <w:rPr>
          <w:rFonts w:ascii="Times New Roman" w:cs="Times New Roman" w:eastAsia="Times New Roman" w:hAnsi="Times New Roman"/>
          <w:sz w:val="18"/>
          <w:szCs w:val="18"/>
          <w:color w:val="000000"/>
        </w:rPr>
        <w:t>. Upon receipt of written notice from the Company that a Registration Statement or Prospectus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000000"/>
        </w:rPr>
        <w:t>Section 3.4</w:t>
      </w:r>
      <w:r>
        <w:rPr>
          <w:rFonts w:ascii="Times New Roman" w:cs="Times New Roman" w:eastAsia="Times New Roman" w:hAnsi="Times New Roman"/>
          <w:sz w:val="18"/>
          <w:szCs w:val="18"/>
          <w:color w:val="000000"/>
        </w:rPr>
        <w:t xml:space="preserve">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9" w:name="page290"/>
    <w:bookmarkEnd w:id="289"/>
    <w:p>
      <w:pPr>
        <w:jc w:val="both"/>
        <w:ind w:firstLine="577"/>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3.5. </w:t>
      </w:r>
      <w:r>
        <w:rPr>
          <w:rFonts w:ascii="Times New Roman" w:cs="Times New Roman" w:eastAsia="Times New Roman" w:hAnsi="Times New Roman"/>
          <w:sz w:val="18"/>
          <w:szCs w:val="18"/>
          <w:b w:val="1"/>
          <w:bCs w:val="1"/>
          <w:color w:val="000000"/>
        </w:rPr>
        <w:t>Reporting Obligation</w:t>
      </w:r>
      <w:r>
        <w:rPr>
          <w:rFonts w:ascii="Times New Roman" w:cs="Times New Roman" w:eastAsia="Times New Roman" w:hAnsi="Times New Roman"/>
          <w:sz w:val="18"/>
          <w:szCs w:val="18"/>
          <w:color w:val="000000"/>
        </w:rPr>
        <w:t>s. As long as any Holder shall own Registrable Securities, the Company, at all times while it shall be a reporting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spacing w:after="0" w:line="170"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3.6. </w:t>
      </w:r>
      <w:r>
        <w:rPr>
          <w:rFonts w:ascii="Times New Roman" w:cs="Times New Roman" w:eastAsia="Times New Roman" w:hAnsi="Times New Roman"/>
          <w:sz w:val="18"/>
          <w:szCs w:val="18"/>
          <w:b w:val="1"/>
          <w:bCs w:val="1"/>
          <w:color w:val="000000"/>
        </w:rPr>
        <w:t>Limitations on Registration Rights</w:t>
      </w:r>
      <w:r>
        <w:rPr>
          <w:rFonts w:ascii="Times New Roman" w:cs="Times New Roman" w:eastAsia="Times New Roman" w:hAnsi="Times New Roman"/>
          <w:sz w:val="18"/>
          <w:szCs w:val="18"/>
          <w:color w:val="000000"/>
        </w:rPr>
        <w:t>. Other than the registration rights granted to the purchasers under the Subscription Agreements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4.1. </w:t>
      </w:r>
      <w:r>
        <w:rPr>
          <w:rFonts w:ascii="Times New Roman" w:cs="Times New Roman" w:eastAsia="Times New Roman" w:hAnsi="Times New Roman"/>
          <w:sz w:val="18"/>
          <w:szCs w:val="18"/>
          <w:b w:val="1"/>
          <w:bCs w:val="1"/>
          <w:color w:val="000000"/>
        </w:rPr>
        <w:t>Indemnification</w:t>
      </w:r>
    </w:p>
    <w:p>
      <w:pPr>
        <w:spacing w:after="0" w:line="194"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4.1.1 </w:t>
      </w:r>
      <w:r>
        <w:rPr>
          <w:rFonts w:ascii="Times New Roman" w:cs="Times New Roman" w:eastAsia="Times New Roman" w:hAnsi="Times New Roman"/>
          <w:sz w:val="18"/>
          <w:szCs w:val="18"/>
          <w:color w:val="000000"/>
        </w:rPr>
        <w:t>The Company agrees to indemnify, to the extent permitted by law, each Holder of Registrable Securities, its officers and directors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69"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4.1.2 </w:t>
      </w:r>
      <w:r>
        <w:rPr>
          <w:rFonts w:ascii="Times New Roman" w:cs="Times New Roman" w:eastAsia="Times New Roman" w:hAnsi="Times New Roman"/>
          <w:sz w:val="18"/>
          <w:szCs w:val="18"/>
          <w:color w:val="000000"/>
        </w:rPr>
        <w:t>In connection with any Registration Statement in which a Holder of Registrable Securities is participating, such Holder shall furnish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0" w:name="page291"/>
    <w:bookmarkEnd w:id="290"/>
    <w:p>
      <w:pPr>
        <w:jc w:val="both"/>
        <w:ind w:firstLine="1120"/>
        <w:spacing w:after="0" w:line="234" w:lineRule="auto"/>
        <w:rPr>
          <w:sz w:val="20"/>
          <w:szCs w:val="20"/>
          <w:color w:val="auto"/>
        </w:rPr>
      </w:pPr>
      <w:r>
        <w:rPr>
          <w:rFonts w:ascii="Times New Roman" w:cs="Times New Roman" w:eastAsia="Times New Roman" w:hAnsi="Times New Roman"/>
          <w:sz w:val="18"/>
          <w:szCs w:val="18"/>
          <w:color w:val="010000"/>
        </w:rPr>
        <w:t xml:space="preserve">4.1.3 </w:t>
      </w:r>
      <w:r>
        <w:rPr>
          <w:rFonts w:ascii="Times New Roman" w:cs="Times New Roman" w:eastAsia="Times New Roman" w:hAnsi="Times New Roman"/>
          <w:sz w:val="18"/>
          <w:szCs w:val="18"/>
          <w:color w:val="000000"/>
        </w:rPr>
        <w:t>Any person entitled to indemnification herein shall (i) give prompt written notice to the indemnifying party of any claim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which it seeks indemnification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spacing w:after="0" w:line="17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4.1.4 </w:t>
      </w:r>
      <w:r>
        <w:rPr>
          <w:rFonts w:ascii="Times New Roman" w:cs="Times New Roman" w:eastAsia="Times New Roman" w:hAnsi="Times New Roman"/>
          <w:sz w:val="18"/>
          <w:szCs w:val="18"/>
          <w:color w:val="000000"/>
        </w:rPr>
        <w:t>The indemnification provided for under this Agreement shall remain in full force and effect regardless of any investigation made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to such party in the event the Company’s or such Holder’s indemnification is unavailable for any reason.</w:t>
      </w:r>
    </w:p>
    <w:p>
      <w:pPr>
        <w:spacing w:after="0" w:line="167"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4.1.5 </w:t>
      </w:r>
      <w:r>
        <w:rPr>
          <w:rFonts w:ascii="Times New Roman" w:cs="Times New Roman" w:eastAsia="Times New Roman" w:hAnsi="Times New Roman"/>
          <w:sz w:val="18"/>
          <w:szCs w:val="18"/>
          <w:color w:val="000000"/>
        </w:rPr>
        <w:t>If the indemnification provided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from the indemnifying party is unavailable or insufficient to hold harmless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liability of any Holder under this </w:t>
      </w:r>
      <w:r>
        <w:rPr>
          <w:rFonts w:ascii="Times New Roman" w:cs="Times New Roman" w:eastAsia="Times New Roman" w:hAnsi="Times New Roman"/>
          <w:sz w:val="18"/>
          <w:szCs w:val="18"/>
          <w:u w:val="single" w:color="auto"/>
          <w:color w:val="000000"/>
        </w:rPr>
        <w:t>subsection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4.1.5</w:t>
      </w:r>
      <w:r>
        <w:rPr>
          <w:rFonts w:ascii="Times New Roman" w:cs="Times New Roman" w:eastAsia="Times New Roman" w:hAnsi="Times New Roman"/>
          <w:sz w:val="18"/>
          <w:szCs w:val="18"/>
          <w:color w:val="000000"/>
        </w:rPr>
        <w:t xml:space="preserve"> 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000000"/>
        </w:rPr>
        <w:t>subsections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4.1.2</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4.1.3</w:t>
      </w:r>
      <w:r>
        <w:rPr>
          <w:rFonts w:ascii="Times New Roman" w:cs="Times New Roman" w:eastAsia="Times New Roman" w:hAnsi="Times New Roman"/>
          <w:sz w:val="18"/>
          <w:szCs w:val="18"/>
          <w:color w:val="00000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xml:space="preserve">. No person guilty of fraudulent misrepresentation (within the meaning of </w:t>
      </w:r>
      <w:r>
        <w:rPr>
          <w:rFonts w:ascii="Times New Roman" w:cs="Times New Roman" w:eastAsia="Times New Roman" w:hAnsi="Times New Roman"/>
          <w:sz w:val="18"/>
          <w:szCs w:val="18"/>
          <w:u w:val="single" w:color="auto"/>
          <w:color w:val="000000"/>
        </w:rPr>
        <w:t>Section 11(f)</w:t>
      </w:r>
      <w:r>
        <w:rPr>
          <w:rFonts w:ascii="Times New Roman" w:cs="Times New Roman" w:eastAsia="Times New Roman" w:hAnsi="Times New Roman"/>
          <w:sz w:val="18"/>
          <w:szCs w:val="18"/>
          <w:color w:val="000000"/>
        </w:rPr>
        <w:t xml:space="preserve"> of the Securities Act) shall be entitled to contribution pursuant to this </w:t>
      </w:r>
      <w:r>
        <w:rPr>
          <w:rFonts w:ascii="Times New Roman" w:cs="Times New Roman" w:eastAsia="Times New Roman" w:hAnsi="Times New Roman"/>
          <w:sz w:val="18"/>
          <w:szCs w:val="18"/>
          <w:u w:val="single" w:color="auto"/>
          <w:color w:val="000000"/>
        </w:rPr>
        <w:t>subsection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4.1.5</w:t>
      </w:r>
      <w:r>
        <w:rPr>
          <w:rFonts w:ascii="Times New Roman" w:cs="Times New Roman" w:eastAsia="Times New Roman" w:hAnsi="Times New Roman"/>
          <w:sz w:val="18"/>
          <w:szCs w:val="18"/>
          <w:color w:val="000000"/>
        </w:rPr>
        <w:t xml:space="preserve"> from any person who was not guilty of such fraudulent misrepresentation.</w:t>
      </w:r>
    </w:p>
    <w:p>
      <w:pPr>
        <w:spacing w:after="0" w:line="168"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4.1.6 </w:t>
      </w:r>
      <w:r>
        <w:rPr>
          <w:rFonts w:ascii="Times New Roman" w:cs="Times New Roman" w:eastAsia="Times New Roman" w:hAnsi="Times New Roman"/>
          <w:sz w:val="18"/>
          <w:szCs w:val="18"/>
          <w:color w:val="000000"/>
        </w:rPr>
        <w:t>Notwithstanding the foregoing, to the extent that the provisions on indemnification and contribution contained in any underwriting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entered into in connection with an underwritten public offering are in conflict with the foregoing provisions, the provisions in the underwriting agreement shall control.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91" w:name="page292"/>
    <w:bookmarkEnd w:id="291"/>
    <w:p>
      <w:pPr>
        <w:ind w:left="5180"/>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5.1. </w:t>
      </w:r>
      <w:r>
        <w:rPr>
          <w:rFonts w:ascii="Times New Roman" w:cs="Times New Roman" w:eastAsia="Times New Roman" w:hAnsi="Times New Roman"/>
          <w:sz w:val="18"/>
          <w:szCs w:val="18"/>
          <w:b w:val="1"/>
          <w:bCs w:val="1"/>
          <w:color w:val="000000"/>
        </w:rPr>
        <w:t>Lock-Up</w:t>
      </w:r>
      <w:r>
        <w:rPr>
          <w:rFonts w:ascii="Times New Roman" w:cs="Times New Roman" w:eastAsia="Times New Roman" w:hAnsi="Times New Roman"/>
          <w:sz w:val="18"/>
          <w:szCs w:val="18"/>
          <w:color w:val="000000"/>
        </w:rPr>
        <w:t>. Except as permitted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5.2</w:t>
      </w:r>
      <w:r>
        <w:rPr>
          <w:rFonts w:ascii="Times New Roman" w:cs="Times New Roman" w:eastAsia="Times New Roman" w:hAnsi="Times New Roman"/>
          <w:sz w:val="18"/>
          <w:szCs w:val="18"/>
          <w:color w:val="000000"/>
        </w:rPr>
        <w:t>, each Holder shall not Transfer any shares of Common Stock, (including, without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limitation, the PIPE Shares, any shares of Common Stock issued pursuant to the Business Combination Agreement, and any other shares of Common Stock), beneficially owned or owned of record by such Holder until the date that is 180 days from the Closing Date (the “</w:t>
      </w:r>
      <w:r>
        <w:rPr>
          <w:rFonts w:ascii="Times New Roman" w:cs="Times New Roman" w:eastAsia="Times New Roman" w:hAnsi="Times New Roman"/>
          <w:sz w:val="18"/>
          <w:szCs w:val="18"/>
          <w:b w:val="1"/>
          <w:bCs w:val="1"/>
          <w:color w:val="000000"/>
        </w:rPr>
        <w:t>Lock-up Period</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5.2. </w:t>
      </w:r>
      <w:r>
        <w:rPr>
          <w:rFonts w:ascii="Times New Roman" w:cs="Times New Roman" w:eastAsia="Times New Roman" w:hAnsi="Times New Roman"/>
          <w:sz w:val="18"/>
          <w:szCs w:val="18"/>
          <w:b w:val="1"/>
          <w:bCs w:val="1"/>
          <w:color w:val="000000"/>
        </w:rPr>
        <w:t>Exceptions</w:t>
      </w:r>
      <w:r>
        <w:rPr>
          <w:rFonts w:ascii="Times New Roman" w:cs="Times New Roman" w:eastAsia="Times New Roman" w:hAnsi="Times New Roman"/>
          <w:sz w:val="18"/>
          <w:szCs w:val="18"/>
          <w:color w:val="000000"/>
        </w:rPr>
        <w:t>. The provisions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not apply to:</w:t>
      </w:r>
    </w:p>
    <w:p>
      <w:pPr>
        <w:spacing w:after="0" w:line="194" w:lineRule="exact"/>
        <w:rPr>
          <w:sz w:val="20"/>
          <w:szCs w:val="20"/>
          <w:color w:val="auto"/>
        </w:rPr>
      </w:pPr>
    </w:p>
    <w:p>
      <w:pPr>
        <w:ind w:left="1080"/>
        <w:spacing w:after="0"/>
        <w:tabs>
          <w:tab w:leader="none" w:pos="1860" w:val="left"/>
        </w:tabs>
        <w:rPr>
          <w:sz w:val="20"/>
          <w:szCs w:val="20"/>
          <w:color w:val="auto"/>
        </w:rPr>
      </w:pPr>
      <w:r>
        <w:rPr>
          <w:rFonts w:ascii="Times New Roman" w:cs="Times New Roman" w:eastAsia="Times New Roman" w:hAnsi="Times New Roman"/>
          <w:sz w:val="18"/>
          <w:szCs w:val="18"/>
          <w:color w:val="010000"/>
        </w:rPr>
        <w:t>5.2.1</w:t>
      </w:r>
      <w:r>
        <w:rPr>
          <w:sz w:val="20"/>
          <w:szCs w:val="20"/>
          <w:color w:val="auto"/>
        </w:rPr>
        <w:tab/>
      </w:r>
      <w:r>
        <w:rPr>
          <w:rFonts w:ascii="Times New Roman" w:cs="Times New Roman" w:eastAsia="Times New Roman" w:hAnsi="Times New Roman"/>
          <w:sz w:val="17"/>
          <w:szCs w:val="17"/>
          <w:color w:val="auto"/>
        </w:rPr>
        <w:t>transactions relating to shares of Common Stock acquired in open market transactions;</w:t>
      </w:r>
    </w:p>
    <w:p>
      <w:pPr>
        <w:spacing w:after="0" w:line="19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5.2.2 </w:t>
      </w:r>
      <w:r>
        <w:rPr>
          <w:rFonts w:ascii="Times New Roman" w:cs="Times New Roman" w:eastAsia="Times New Roman" w:hAnsi="Times New Roman"/>
          <w:sz w:val="18"/>
          <w:szCs w:val="18"/>
          <w:color w:val="000000"/>
        </w:rPr>
        <w:t>Transfers of shares of Common Stock or any security convertible into or exercisable or exchangeable for Common Stock as a bona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fide gift or charitable contribution;</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5.2.3 </w:t>
      </w:r>
      <w:r>
        <w:rPr>
          <w:rFonts w:ascii="Times New Roman" w:cs="Times New Roman" w:eastAsia="Times New Roman" w:hAnsi="Times New Roman"/>
          <w:sz w:val="18"/>
          <w:szCs w:val="18"/>
          <w:color w:val="000000"/>
        </w:rPr>
        <w:t>Transfers of shares of Common Stock to a trust, or other entity formed for estate planning purposes for the primary benefit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spouse, domestic partner, parent, sibling, child or grandchild of the undersigned or any other person with whom the undersigned has a relationship by blood, marriage or adoption not more remote than first cousin;</w:t>
      </w:r>
    </w:p>
    <w:p>
      <w:pPr>
        <w:spacing w:after="0" w:line="162" w:lineRule="exact"/>
        <w:rPr>
          <w:sz w:val="20"/>
          <w:szCs w:val="20"/>
          <w:color w:val="auto"/>
        </w:rPr>
      </w:pPr>
    </w:p>
    <w:p>
      <w:pPr>
        <w:ind w:left="1080"/>
        <w:spacing w:after="0"/>
        <w:tabs>
          <w:tab w:leader="none" w:pos="1840" w:val="left"/>
        </w:tabs>
        <w:rPr>
          <w:sz w:val="20"/>
          <w:szCs w:val="20"/>
          <w:color w:val="auto"/>
        </w:rPr>
      </w:pPr>
      <w:r>
        <w:rPr>
          <w:rFonts w:ascii="Times New Roman" w:cs="Times New Roman" w:eastAsia="Times New Roman" w:hAnsi="Times New Roman"/>
          <w:sz w:val="18"/>
          <w:szCs w:val="18"/>
          <w:color w:val="010000"/>
        </w:rPr>
        <w:t>5.2.4</w:t>
      </w:r>
      <w:r>
        <w:rPr>
          <w:sz w:val="20"/>
          <w:szCs w:val="20"/>
          <w:color w:val="auto"/>
        </w:rPr>
        <w:tab/>
      </w:r>
      <w:r>
        <w:rPr>
          <w:rFonts w:ascii="Times New Roman" w:cs="Times New Roman" w:eastAsia="Times New Roman" w:hAnsi="Times New Roman"/>
          <w:sz w:val="17"/>
          <w:szCs w:val="17"/>
          <w:color w:val="auto"/>
        </w:rPr>
        <w:t>Transfers by will or intestate succession upon the death of the undersigned;</w:t>
      </w:r>
    </w:p>
    <w:p>
      <w:pPr>
        <w:spacing w:after="0" w:line="192" w:lineRule="exact"/>
        <w:rPr>
          <w:sz w:val="20"/>
          <w:szCs w:val="20"/>
          <w:color w:val="auto"/>
        </w:rPr>
      </w:pPr>
    </w:p>
    <w:p>
      <w:pPr>
        <w:ind w:left="1080"/>
        <w:spacing w:after="0"/>
        <w:tabs>
          <w:tab w:leader="none" w:pos="2080" w:val="left"/>
        </w:tabs>
        <w:rPr>
          <w:sz w:val="20"/>
          <w:szCs w:val="20"/>
          <w:color w:val="auto"/>
        </w:rPr>
      </w:pPr>
      <w:r>
        <w:rPr>
          <w:rFonts w:ascii="Times New Roman" w:cs="Times New Roman" w:eastAsia="Times New Roman" w:hAnsi="Times New Roman"/>
          <w:sz w:val="18"/>
          <w:szCs w:val="18"/>
          <w:color w:val="010000"/>
        </w:rPr>
        <w:t>5.2.5</w:t>
      </w:r>
      <w:r>
        <w:rPr>
          <w:sz w:val="20"/>
          <w:szCs w:val="20"/>
          <w:color w:val="auto"/>
        </w:rPr>
        <w:tab/>
      </w:r>
      <w:r>
        <w:rPr>
          <w:rFonts w:ascii="Times New Roman" w:cs="Times New Roman" w:eastAsia="Times New Roman" w:hAnsi="Times New Roman"/>
          <w:sz w:val="18"/>
          <w:szCs w:val="18"/>
          <w:color w:val="auto"/>
        </w:rPr>
        <w:t>the Transfer of shares of Common Stock pursuant to a qualified domestic order, court order or in connection with a divorce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17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5.2.6 </w:t>
      </w:r>
      <w:r>
        <w:rPr>
          <w:rFonts w:ascii="Times New Roman" w:cs="Times New Roman" w:eastAsia="Times New Roman" w:hAnsi="Times New Roman"/>
          <w:sz w:val="18"/>
          <w:szCs w:val="18"/>
          <w:color w:val="000000"/>
        </w:rPr>
        <w:t>if the Holder is a corporation, partnership (whether general, limited or otherwise), limited liability company, trust or other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spacing w:after="0" w:line="167" w:lineRule="exact"/>
        <w:rPr>
          <w:sz w:val="20"/>
          <w:szCs w:val="20"/>
          <w:color w:val="auto"/>
        </w:rPr>
      </w:pPr>
    </w:p>
    <w:p>
      <w:pPr>
        <w:ind w:left="1080"/>
        <w:spacing w:after="0"/>
        <w:tabs>
          <w:tab w:leader="none" w:pos="1860" w:val="left"/>
        </w:tabs>
        <w:rPr>
          <w:sz w:val="20"/>
          <w:szCs w:val="20"/>
          <w:color w:val="auto"/>
        </w:rPr>
      </w:pPr>
      <w:r>
        <w:rPr>
          <w:rFonts w:ascii="Times New Roman" w:cs="Times New Roman" w:eastAsia="Times New Roman" w:hAnsi="Times New Roman"/>
          <w:sz w:val="18"/>
          <w:szCs w:val="18"/>
          <w:color w:val="010000"/>
        </w:rPr>
        <w:t>5.2.7</w:t>
      </w:r>
      <w:r>
        <w:rPr>
          <w:sz w:val="20"/>
          <w:szCs w:val="20"/>
          <w:color w:val="auto"/>
        </w:rPr>
        <w:tab/>
      </w:r>
      <w:r>
        <w:rPr>
          <w:rFonts w:ascii="Times New Roman" w:cs="Times New Roman" w:eastAsia="Times New Roman" w:hAnsi="Times New Roman"/>
          <w:sz w:val="17"/>
          <w:szCs w:val="17"/>
          <w:color w:val="auto"/>
        </w:rPr>
        <w:t>if the Holder is a trust, Transfers to a trustor or beneficiary of the trust or to the estate of a beneficiary of such trust;</w:t>
      </w:r>
    </w:p>
    <w:p>
      <w:pPr>
        <w:spacing w:after="0" w:line="192" w:lineRule="exact"/>
        <w:rPr>
          <w:sz w:val="20"/>
          <w:szCs w:val="20"/>
          <w:color w:val="auto"/>
        </w:rPr>
      </w:pPr>
    </w:p>
    <w:p>
      <w:pPr>
        <w:ind w:left="1080"/>
        <w:spacing w:after="0"/>
        <w:tabs>
          <w:tab w:leader="none" w:pos="1840" w:val="left"/>
        </w:tabs>
        <w:rPr>
          <w:sz w:val="20"/>
          <w:szCs w:val="20"/>
          <w:color w:val="auto"/>
        </w:rPr>
      </w:pPr>
      <w:r>
        <w:rPr>
          <w:rFonts w:ascii="Times New Roman" w:cs="Times New Roman" w:eastAsia="Times New Roman" w:hAnsi="Times New Roman"/>
          <w:sz w:val="18"/>
          <w:szCs w:val="18"/>
          <w:color w:val="010000"/>
        </w:rPr>
        <w:t>5.2.8</w:t>
      </w:r>
      <w:r>
        <w:rPr>
          <w:sz w:val="20"/>
          <w:szCs w:val="20"/>
          <w:color w:val="auto"/>
        </w:rPr>
        <w:tab/>
      </w:r>
      <w:r>
        <w:rPr>
          <w:rFonts w:ascii="Times New Roman" w:cs="Times New Roman" w:eastAsia="Times New Roman" w:hAnsi="Times New Roman"/>
          <w:sz w:val="17"/>
          <w:szCs w:val="17"/>
          <w:color w:val="auto"/>
        </w:rPr>
        <w:t>Transfers to the Company’s officers, directors or their affiliates;</w:t>
      </w:r>
    </w:p>
    <w:p>
      <w:pPr>
        <w:spacing w:after="0" w:line="192" w:lineRule="exact"/>
        <w:rPr>
          <w:sz w:val="20"/>
          <w:szCs w:val="20"/>
          <w:color w:val="auto"/>
        </w:rPr>
      </w:pPr>
    </w:p>
    <w:p>
      <w:pPr>
        <w:ind w:left="1080"/>
        <w:spacing w:after="0"/>
        <w:tabs>
          <w:tab w:leader="none" w:pos="1960" w:val="left"/>
        </w:tabs>
        <w:rPr>
          <w:sz w:val="20"/>
          <w:szCs w:val="20"/>
          <w:color w:val="auto"/>
        </w:rPr>
      </w:pPr>
      <w:r>
        <w:rPr>
          <w:rFonts w:ascii="Times New Roman" w:cs="Times New Roman" w:eastAsia="Times New Roman" w:hAnsi="Times New Roman"/>
          <w:sz w:val="18"/>
          <w:szCs w:val="18"/>
          <w:color w:val="010000"/>
        </w:rPr>
        <w:t>5.2.9</w:t>
      </w:r>
      <w:r>
        <w:rPr>
          <w:sz w:val="20"/>
          <w:szCs w:val="20"/>
          <w:color w:val="auto"/>
        </w:rPr>
        <w:tab/>
      </w:r>
      <w:r>
        <w:rPr>
          <w:rFonts w:ascii="Times New Roman" w:cs="Times New Roman" w:eastAsia="Times New Roman" w:hAnsi="Times New Roman"/>
          <w:sz w:val="18"/>
          <w:szCs w:val="18"/>
          <w:color w:val="auto"/>
        </w:rPr>
        <w:t xml:space="preserve">Transfers to a nominee or custodian of a person or entity to whom a disposition or transfer would be permissible under </w:t>
      </w:r>
      <w:r>
        <w:rPr>
          <w:rFonts w:ascii="Times New Roman" w:cs="Times New Roman" w:eastAsia="Times New Roman" w:hAnsi="Times New Roman"/>
          <w:sz w:val="18"/>
          <w:szCs w:val="18"/>
          <w:u w:val="single" w:color="auto"/>
          <w:color w:val="auto"/>
        </w:rPr>
        <w:t>Sections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5.2.8</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5.2.10 </w:t>
      </w:r>
      <w:r>
        <w:rPr>
          <w:rFonts w:ascii="Times New Roman" w:cs="Times New Roman" w:eastAsia="Times New Roman" w:hAnsi="Times New Roman"/>
          <w:sz w:val="18"/>
          <w:szCs w:val="18"/>
          <w:color w:val="000000"/>
        </w:rPr>
        <w:t>pledges of shares of Common Stock or other Registrable Securities as security or collateral in connection with any borrowing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incurrence of any indebtedness by any Holder;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 borrowing or incurrence of indebtedness is secured by a portfolio of assets or equity interests issued by multiple issuers;</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5.2.11 </w:t>
      </w:r>
      <w:r>
        <w:rPr>
          <w:rFonts w:ascii="Times New Roman" w:cs="Times New Roman" w:eastAsia="Times New Roman" w:hAnsi="Times New Roman"/>
          <w:sz w:val="18"/>
          <w:szCs w:val="18"/>
          <w:color w:val="000000"/>
        </w:rPr>
        <w:t>Transfers pursuant to a bona fide third-party tender offer, merger, stock sale, recapitalization, consolidation or other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involving a Change in Control of the Company;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the event that such tender offer, merger, recapitalization, consolidation or other such transaction is not completed, the Common Stock subject to this Agreement shall remain subject to this Agreement;</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5.2.12 </w:t>
      </w:r>
      <w:r>
        <w:rPr>
          <w:rFonts w:ascii="Times New Roman" w:cs="Times New Roman" w:eastAsia="Times New Roman" w:hAnsi="Times New Roman"/>
          <w:sz w:val="18"/>
          <w:szCs w:val="18"/>
          <w:color w:val="000000"/>
        </w:rPr>
        <w:t>the establishment of a trading plan pursuant to Rule 10b5-1 promulgated under the Exchange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plan does not provide for the Transfer of Common Stock or any securities convertible into or exercisable or exchangeable for Common Stock during the Lock-Up Period;</w:t>
      </w:r>
    </w:p>
    <w:p>
      <w:pPr>
        <w:spacing w:after="0" w:line="16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5.2.13 </w:t>
      </w:r>
      <w:r>
        <w:rPr>
          <w:rFonts w:ascii="Times New Roman" w:cs="Times New Roman" w:eastAsia="Times New Roman" w:hAnsi="Times New Roman"/>
          <w:sz w:val="18"/>
          <w:szCs w:val="18"/>
          <w:color w:val="000000"/>
        </w:rPr>
        <w:t>Transfers of shares of Common Stock to the Company in connection with the repurchase of the undersigned’s shares in connection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the termination of the undersigned’s employment with the Company pursuant to contractual agreements with the Company;</w:t>
      </w:r>
    </w:p>
    <w:p>
      <w:pPr>
        <w:spacing w:after="0" w:line="151"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5.2.14 </w:t>
      </w:r>
      <w:r>
        <w:rPr>
          <w:rFonts w:ascii="Times New Roman" w:cs="Times New Roman" w:eastAsia="Times New Roman" w:hAnsi="Times New Roman"/>
          <w:sz w:val="18"/>
          <w:szCs w:val="18"/>
          <w:color w:val="000000"/>
        </w:rPr>
        <w:t>Transfers of shares of Common Stock to satisfy tax withholding obligations in connection with the exercise of options to purchase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shares of Common Stock or the vesting of stock-based awards;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2" w:name="page293"/>
    <w:bookmarkEnd w:id="292"/>
    <w:p>
      <w:pPr>
        <w:jc w:val="both"/>
        <w:ind w:right="20" w:firstLine="1120"/>
        <w:spacing w:after="0" w:line="259" w:lineRule="auto"/>
        <w:rPr>
          <w:sz w:val="20"/>
          <w:szCs w:val="20"/>
          <w:color w:val="auto"/>
        </w:rPr>
      </w:pPr>
      <w:r>
        <w:rPr>
          <w:rFonts w:ascii="Times New Roman" w:cs="Times New Roman" w:eastAsia="Times New Roman" w:hAnsi="Times New Roman"/>
          <w:sz w:val="18"/>
          <w:szCs w:val="18"/>
          <w:color w:val="010000"/>
        </w:rPr>
        <w:t xml:space="preserve">5.2.15 </w:t>
      </w:r>
      <w:r>
        <w:rPr>
          <w:rFonts w:ascii="Times New Roman" w:cs="Times New Roman" w:eastAsia="Times New Roman" w:hAnsi="Times New Roman"/>
          <w:sz w:val="18"/>
          <w:szCs w:val="18"/>
          <w:color w:val="000000"/>
        </w:rPr>
        <w:t>Transfers of shares of Common Stock in payment on a “net exercise” or “cashless” basis of the exercise or purchase price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the exercise of options to purchase shares of Common Stock;</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5.2.16 </w:t>
      </w:r>
      <w:r>
        <w:rPr>
          <w:rFonts w:ascii="Times New Roman" w:cs="Times New Roman" w:eastAsia="Times New Roman" w:hAnsi="Times New Roman"/>
          <w:sz w:val="18"/>
          <w:szCs w:val="18"/>
          <w:color w:val="000000"/>
        </w:rPr>
        <w:t>Transfers to the Company through the exercise of a stock option granted under a stock incentive plan or stock purchase plan or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Transfer pursuant to </w:t>
      </w:r>
      <w:r>
        <w:rPr>
          <w:rFonts w:ascii="Times New Roman" w:cs="Times New Roman" w:eastAsia="Times New Roman" w:hAnsi="Times New Roman"/>
          <w:sz w:val="18"/>
          <w:szCs w:val="18"/>
          <w:u w:val="single" w:color="auto"/>
          <w:color w:val="auto"/>
        </w:rPr>
        <w:t>Sections 5.2.2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5.2.10</w:t>
      </w:r>
      <w:r>
        <w:rPr>
          <w:rFonts w:ascii="Times New Roman" w:cs="Times New Roman" w:eastAsia="Times New Roman" w:hAnsi="Times New Roman"/>
          <w:sz w:val="18"/>
          <w:szCs w:val="18"/>
          <w:color w:val="auto"/>
        </w:rPr>
        <w:t>, each donee, distribute, pledgee or other transferee shall agree in writing, in form and substance reasonably satisfactory to the Company, to be bound by the provisions of this Agreement.</w:t>
      </w:r>
    </w:p>
    <w:p>
      <w:pPr>
        <w:spacing w:after="0" w:line="149"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5.3. </w:t>
      </w:r>
      <w:r>
        <w:rPr>
          <w:rFonts w:ascii="Times New Roman" w:cs="Times New Roman" w:eastAsia="Times New Roman" w:hAnsi="Times New Roman"/>
          <w:sz w:val="18"/>
          <w:szCs w:val="18"/>
          <w:b w:val="1"/>
          <w:bCs w:val="1"/>
          <w:color w:val="000000"/>
        </w:rPr>
        <w:t>Release of Lock-Up Restrictions</w:t>
      </w:r>
      <w:r>
        <w:rPr>
          <w:rFonts w:ascii="Times New Roman" w:cs="Times New Roman" w:eastAsia="Times New Roman" w:hAnsi="Times New Roman"/>
          <w:sz w:val="18"/>
          <w:szCs w:val="18"/>
          <w:color w:val="000000"/>
        </w:rPr>
        <w:t>. Notwithstanding the other provisions set forth herein, the Board may, in its sole discretion, determine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to waive, amend, or repeal the restrictions set forth in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00000"/>
        </w:rPr>
        <w:t xml:space="preserve"> above, whether in whole or in part;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such waiver, amendment or repeal shall (i) not make such restrictions more restrictive or apply for a longer period of time and (ii) require the unanimous approval of the directors present at any duly called meeting at which a quorum is present.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6.1. </w:t>
      </w:r>
      <w:r>
        <w:rPr>
          <w:rFonts w:ascii="Times New Roman" w:cs="Times New Roman" w:eastAsia="Times New Roman" w:hAnsi="Times New Roman"/>
          <w:sz w:val="18"/>
          <w:szCs w:val="18"/>
          <w:b w:val="1"/>
          <w:bCs w:val="1"/>
          <w:color w:val="000000"/>
        </w:rPr>
        <w:t>Termination</w:t>
      </w:r>
      <w:r>
        <w:rPr>
          <w:rFonts w:ascii="Times New Roman" w:cs="Times New Roman" w:eastAsia="Times New Roman" w:hAnsi="Times New Roman"/>
          <w:sz w:val="18"/>
          <w:szCs w:val="18"/>
          <w:color w:val="000000"/>
        </w:rPr>
        <w:t>. This Agreement shall terminate upon the earliest to occur of: (i) the termination of the Business Combination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(ii) the date on which neither the Holders nor any of their permitted assignees hold any Registrable Securities, and (iii) a Liquidation Event.</w:t>
      </w:r>
    </w:p>
    <w:p>
      <w:pPr>
        <w:spacing w:after="0" w:line="145"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6.2. </w:t>
      </w:r>
      <w:r>
        <w:rPr>
          <w:rFonts w:ascii="Times New Roman" w:cs="Times New Roman" w:eastAsia="Times New Roman" w:hAnsi="Times New Roman"/>
          <w:sz w:val="18"/>
          <w:szCs w:val="18"/>
          <w:b w:val="1"/>
          <w:bCs w:val="1"/>
          <w:color w:val="000000"/>
        </w:rPr>
        <w:t>Effect of Business Combination Terminatio</w:t>
      </w:r>
      <w:r>
        <w:rPr>
          <w:rFonts w:ascii="Times New Roman" w:cs="Times New Roman" w:eastAsia="Times New Roman" w:hAnsi="Times New Roman"/>
          <w:sz w:val="18"/>
          <w:szCs w:val="18"/>
          <w:color w:val="000000"/>
        </w:rPr>
        <w:t>n. In the event of a termination of this Agreement as a result of the termination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7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7.1. </w:t>
      </w:r>
      <w:r>
        <w:rPr>
          <w:rFonts w:ascii="Times New Roman" w:cs="Times New Roman" w:eastAsia="Times New Roman" w:hAnsi="Times New Roman"/>
          <w:sz w:val="18"/>
          <w:szCs w:val="18"/>
          <w:b w:val="1"/>
          <w:bCs w:val="1"/>
          <w:color w:val="000000"/>
        </w:rPr>
        <w:t>Notices</w:t>
      </w:r>
      <w:r>
        <w:rPr>
          <w:rFonts w:ascii="Times New Roman" w:cs="Times New Roman" w:eastAsia="Times New Roman" w:hAnsi="Times New Roman"/>
          <w:sz w:val="18"/>
          <w:szCs w:val="18"/>
          <w:color w:val="000000"/>
        </w:rPr>
        <w:t>. All notices, requests, claims, demands and other communications hereunder shall be in writing and shall be given (and shall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w:t>
      </w:r>
    </w:p>
    <w:p>
      <w:pPr>
        <w:spacing w:after="0" w:line="1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425 Pontius Ave. N., Ste. 202</w:t>
      </w:r>
    </w:p>
    <w:p>
      <w:pPr>
        <w:ind w:left="1880"/>
        <w:spacing w:after="0" w:line="231" w:lineRule="auto"/>
        <w:rPr>
          <w:sz w:val="20"/>
          <w:szCs w:val="20"/>
          <w:color w:val="auto"/>
        </w:rPr>
      </w:pPr>
      <w:r>
        <w:rPr>
          <w:rFonts w:ascii="Times New Roman" w:cs="Times New Roman" w:eastAsia="Times New Roman" w:hAnsi="Times New Roman"/>
          <w:sz w:val="18"/>
          <w:szCs w:val="18"/>
          <w:color w:val="auto"/>
        </w:rPr>
        <w:t>Seattle, WA 98102</w:t>
      </w:r>
    </w:p>
    <w:p>
      <w:pPr>
        <w:ind w:left="1880"/>
        <w:spacing w:after="0" w:line="232" w:lineRule="auto"/>
        <w:rPr>
          <w:sz w:val="20"/>
          <w:szCs w:val="20"/>
          <w:color w:val="auto"/>
        </w:rPr>
      </w:pPr>
      <w:r>
        <w:rPr>
          <w:rFonts w:ascii="Times New Roman" w:cs="Times New Roman" w:eastAsia="Times New Roman" w:hAnsi="Times New Roman"/>
          <w:sz w:val="18"/>
          <w:szCs w:val="18"/>
          <w:color w:val="auto"/>
        </w:rPr>
        <w:t>Attention: Sujal Patel, Chief Executive Officer</w:t>
      </w:r>
    </w:p>
    <w:p>
      <w:pPr>
        <w:ind w:left="1880"/>
        <w:spacing w:after="0"/>
        <w:rPr>
          <w:sz w:val="20"/>
          <w:szCs w:val="20"/>
          <w:color w:val="auto"/>
        </w:rPr>
      </w:pPr>
      <w:r>
        <w:rPr>
          <w:rFonts w:ascii="Times New Roman" w:cs="Times New Roman" w:eastAsia="Times New Roman" w:hAnsi="Times New Roman"/>
          <w:sz w:val="18"/>
          <w:szCs w:val="18"/>
          <w:color w:val="auto"/>
        </w:rPr>
        <w:t>Email: smpatel@nautilus.bio</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650 Page Mill Road</w:t>
      </w:r>
    </w:p>
    <w:p>
      <w:pPr>
        <w:ind w:left="1880"/>
        <w:spacing w:after="0" w:line="231" w:lineRule="auto"/>
        <w:rPr>
          <w:sz w:val="20"/>
          <w:szCs w:val="20"/>
          <w:color w:val="auto"/>
        </w:rPr>
      </w:pPr>
      <w:r>
        <w:rPr>
          <w:rFonts w:ascii="Times New Roman" w:cs="Times New Roman" w:eastAsia="Times New Roman" w:hAnsi="Times New Roman"/>
          <w:sz w:val="18"/>
          <w:szCs w:val="18"/>
          <w:color w:val="auto"/>
        </w:rPr>
        <w:t>Palo Alto, CA 94304</w:t>
      </w:r>
    </w:p>
    <w:p>
      <w:pPr>
        <w:ind w:left="1880"/>
        <w:spacing w:after="0" w:line="232" w:lineRule="auto"/>
        <w:rPr>
          <w:sz w:val="20"/>
          <w:szCs w:val="20"/>
          <w:color w:val="auto"/>
        </w:rPr>
      </w:pPr>
      <w:r>
        <w:rPr>
          <w:rFonts w:ascii="Times New Roman" w:cs="Times New Roman" w:eastAsia="Times New Roman" w:hAnsi="Times New Roman"/>
          <w:sz w:val="18"/>
          <w:szCs w:val="18"/>
          <w:color w:val="auto"/>
        </w:rPr>
        <w:t>Attention: Robert F. Kornegay</w:t>
      </w:r>
    </w:p>
    <w:p>
      <w:pPr>
        <w:ind w:left="188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3" w:name="page294"/>
    <w:bookmarkEnd w:id="293"/>
    <w:p>
      <w:pPr>
        <w:ind w:left="1880"/>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pacing w:after="0" w:line="190"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7.2.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color w:val="000000"/>
        </w:rPr>
        <w:t>. If any term or other provision of this Agreement is invalid, illegal or incapable of being enforced by any rule of law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66"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7.3. </w:t>
      </w:r>
      <w:r>
        <w:rPr>
          <w:rFonts w:ascii="Times New Roman" w:cs="Times New Roman" w:eastAsia="Times New Roman" w:hAnsi="Times New Roman"/>
          <w:sz w:val="18"/>
          <w:szCs w:val="18"/>
          <w:b w:val="1"/>
          <w:bCs w:val="1"/>
          <w:color w:val="000000"/>
        </w:rPr>
        <w:t>Entire Agreement; Assignment</w:t>
      </w:r>
      <w:r>
        <w:rPr>
          <w:rFonts w:ascii="Times New Roman" w:cs="Times New Roman" w:eastAsia="Times New Roman" w:hAnsi="Times New Roman"/>
          <w:sz w:val="18"/>
          <w:szCs w:val="18"/>
          <w:color w:val="000000"/>
        </w:rPr>
        <w:t>. This Agreement constitutes the entire agreement among the parties with respect to the subject matter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Times New Roman" w:cs="Times New Roman" w:eastAsia="Times New Roman" w:hAnsi="Times New Roman"/>
          <w:sz w:val="18"/>
          <w:szCs w:val="18"/>
          <w:u w:val="single" w:color="auto"/>
          <w:color w:val="000000"/>
        </w:rPr>
        <w:t>Sections 5.2.2</w:t>
      </w:r>
      <w:r>
        <w:rPr>
          <w:rFonts w:ascii="Times New Roman" w:cs="Times New Roman" w:eastAsia="Times New Roman" w:hAnsi="Times New Roman"/>
          <w:sz w:val="18"/>
          <w:szCs w:val="18"/>
          <w:color w:val="000000"/>
        </w:rPr>
        <w:t xml:space="preserve"> through </w:t>
      </w:r>
      <w:r>
        <w:rPr>
          <w:rFonts w:ascii="Times New Roman" w:cs="Times New Roman" w:eastAsia="Times New Roman" w:hAnsi="Times New Roman"/>
          <w:sz w:val="18"/>
          <w:szCs w:val="18"/>
          <w:u w:val="single" w:color="auto"/>
          <w:color w:val="000000"/>
        </w:rPr>
        <w:t>5.2.10</w:t>
      </w:r>
      <w:r>
        <w:rPr>
          <w:rFonts w:ascii="Times New Roman" w:cs="Times New Roman" w:eastAsia="Times New Roman" w:hAnsi="Times New Roman"/>
          <w:sz w:val="18"/>
          <w:szCs w:val="18"/>
          <w:color w:val="000000"/>
        </w:rPr>
        <w:t xml:space="preserve"> (such transferees, “</w:t>
      </w:r>
      <w:r>
        <w:rPr>
          <w:rFonts w:ascii="Times New Roman" w:cs="Times New Roman" w:eastAsia="Times New Roman" w:hAnsi="Times New Roman"/>
          <w:sz w:val="18"/>
          <w:szCs w:val="18"/>
          <w:b w:val="1"/>
          <w:bCs w:val="1"/>
          <w:color w:val="000000"/>
        </w:rPr>
        <w:t>Permitted Transferees</w:t>
      </w:r>
      <w:r>
        <w:rPr>
          <w:rFonts w:ascii="Times New Roman" w:cs="Times New Roman" w:eastAsia="Times New Roman" w:hAnsi="Times New Roman"/>
          <w:sz w:val="18"/>
          <w:szCs w:val="18"/>
          <w:color w:val="000000"/>
        </w:rPr>
        <w:t>”).</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7.4. </w:t>
      </w:r>
      <w:r>
        <w:rPr>
          <w:rFonts w:ascii="Times New Roman" w:cs="Times New Roman" w:eastAsia="Times New Roman" w:hAnsi="Times New Roman"/>
          <w:sz w:val="18"/>
          <w:szCs w:val="18"/>
          <w:b w:val="1"/>
          <w:bCs w:val="1"/>
          <w:color w:val="000000"/>
        </w:rPr>
        <w:t>Parties in Interest</w:t>
      </w:r>
      <w:r>
        <w:rPr>
          <w:rFonts w:ascii="Times New Roman" w:cs="Times New Roman" w:eastAsia="Times New Roman" w:hAnsi="Times New Roman"/>
          <w:sz w:val="18"/>
          <w:szCs w:val="18"/>
          <w:color w:val="000000"/>
        </w:rPr>
        <w:t>. This Agreement shall be binding upon and inure solely to the benefit of each party hereto (and its respective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permitted assigns), and nothing in this Agreement, express or implied, is intended to or shall confer upon any other person any right, benefit or remedy of any nature whatsoever under or by reason of this Agreement.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7.5. </w:t>
      </w:r>
      <w:r>
        <w:rPr>
          <w:rFonts w:ascii="Times New Roman" w:cs="Times New Roman" w:eastAsia="Times New Roman" w:hAnsi="Times New Roman"/>
          <w:sz w:val="17"/>
          <w:szCs w:val="17"/>
          <w:b w:val="1"/>
          <w:bCs w:val="1"/>
          <w:color w:val="000000"/>
        </w:rPr>
        <w:t>Governing Law</w:t>
      </w:r>
      <w:r>
        <w:rPr>
          <w:rFonts w:ascii="Times New Roman" w:cs="Times New Roman" w:eastAsia="Times New Roman" w:hAnsi="Times New Roman"/>
          <w:sz w:val="17"/>
          <w:szCs w:val="17"/>
          <w:color w:val="000000"/>
        </w:rPr>
        <w:t>. This Agreement shall be governed by, and construed in accordance with, the laws of the State of Delaware applicable to</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contracts executed in and to be performed in that State. All legal actions and proceedings arising out of or relating to this Agreement shall be heard and determined exclusively in any Delaware Chancery Court;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w:t>
      </w:r>
    </w:p>
    <w:p>
      <w:pPr>
        <w:spacing w:after="0" w:line="7" w:lineRule="exact"/>
        <w:rPr>
          <w:sz w:val="20"/>
          <w:szCs w:val="20"/>
          <w:color w:val="auto"/>
        </w:rPr>
      </w:pPr>
    </w:p>
    <w:p>
      <w:pPr>
        <w:jc w:val="both"/>
        <w:ind w:firstLine="9"/>
        <w:spacing w:after="0" w:line="251" w:lineRule="auto"/>
        <w:tabs>
          <w:tab w:leader="none" w:pos="268"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p>
    <w:p>
      <w:pPr>
        <w:spacing w:after="0" w:line="159"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7.6. </w:t>
      </w:r>
      <w:r>
        <w:rPr>
          <w:rFonts w:ascii="Times New Roman" w:cs="Times New Roman" w:eastAsia="Times New Roman" w:hAnsi="Times New Roman"/>
          <w:sz w:val="18"/>
          <w:szCs w:val="18"/>
          <w:b w:val="1"/>
          <w:bCs w:val="1"/>
          <w:color w:val="000000"/>
        </w:rPr>
        <w:t>Waiver of Jury Trial</w:t>
      </w:r>
      <w:r>
        <w:rPr>
          <w:rFonts w:ascii="Times New Roman" w:cs="Times New Roman" w:eastAsia="Times New Roman" w:hAnsi="Times New Roman"/>
          <w:sz w:val="18"/>
          <w:szCs w:val="18"/>
          <w:color w:val="000000"/>
        </w:rPr>
        <w:t>. EACH OF THE PARTIES HERETO HEREBY WAIVES TO THE FULLEST EXTENT PERMITTED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000000"/>
        </w:rPr>
        <w:t>SECTION 7.6</w:t>
      </w:r>
      <w:r>
        <w:rPr>
          <w:rFonts w:ascii="Times New Roman" w:cs="Times New Roman" w:eastAsia="Times New Roman" w:hAnsi="Times New Roman"/>
          <w:sz w:val="18"/>
          <w:szCs w:val="18"/>
          <w:color w:val="000000"/>
        </w:rPr>
        <w: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94" w:name="page295"/>
    <w:bookmarkEnd w:id="294"/>
    <w:p>
      <w:pPr>
        <w:jc w:val="both"/>
        <w:ind w:firstLine="588"/>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7.7. </w:t>
      </w:r>
      <w:r>
        <w:rPr>
          <w:rFonts w:ascii="Times New Roman" w:cs="Times New Roman" w:eastAsia="Times New Roman" w:hAnsi="Times New Roman"/>
          <w:sz w:val="18"/>
          <w:szCs w:val="18"/>
          <w:b w:val="1"/>
          <w:bCs w:val="1"/>
          <w:color w:val="000000"/>
        </w:rPr>
        <w:t>Headings; Interpretation</w:t>
      </w:r>
      <w:r>
        <w:rPr>
          <w:rFonts w:ascii="Times New Roman" w:cs="Times New Roman" w:eastAsia="Times New Roman" w:hAnsi="Times New Roman"/>
          <w:sz w:val="18"/>
          <w:szCs w:val="18"/>
          <w:color w:val="000000"/>
        </w:rPr>
        <w:t>. The descriptive headings contained in this Agreement are included for convenience of reference only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68"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7.8. </w:t>
      </w:r>
      <w:r>
        <w:rPr>
          <w:rFonts w:ascii="Times New Roman" w:cs="Times New Roman" w:eastAsia="Times New Roman" w:hAnsi="Times New Roman"/>
          <w:sz w:val="18"/>
          <w:szCs w:val="18"/>
          <w:b w:val="1"/>
          <w:bCs w:val="1"/>
          <w:color w:val="000000"/>
        </w:rPr>
        <w:t>Counterparts</w:t>
      </w:r>
      <w:r>
        <w:rPr>
          <w:rFonts w:ascii="Times New Roman" w:cs="Times New Roman" w:eastAsia="Times New Roman" w:hAnsi="Times New Roman"/>
          <w:sz w:val="18"/>
          <w:szCs w:val="18"/>
          <w:color w:val="000000"/>
        </w:rPr>
        <w:t>. This Agreement may be executed and delivered (including by facsimile or portable document format (pdf) transmission)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counterparts, and by the different parties hereto in separate counterparts, each of which when executed shall be deemed to be an original but all of which taken together shall constitute one and the same agreement.</w:t>
      </w:r>
    </w:p>
    <w:p>
      <w:pPr>
        <w:spacing w:after="0" w:line="16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7.9. </w:t>
      </w:r>
      <w:r>
        <w:rPr>
          <w:rFonts w:ascii="Times New Roman" w:cs="Times New Roman" w:eastAsia="Times New Roman" w:hAnsi="Times New Roman"/>
          <w:sz w:val="18"/>
          <w:szCs w:val="18"/>
          <w:b w:val="1"/>
          <w:bCs w:val="1"/>
          <w:color w:val="000000"/>
        </w:rPr>
        <w:t>Specific Performance</w:t>
      </w:r>
      <w:r>
        <w:rPr>
          <w:rFonts w:ascii="Times New Roman" w:cs="Times New Roman" w:eastAsia="Times New Roman" w:hAnsi="Times New Roman"/>
          <w:sz w:val="18"/>
          <w:szCs w:val="18"/>
          <w:color w:val="000000"/>
        </w:rPr>
        <w:t>. The parties hereto agree that irreparable damage would occur in the event any provision of this Agreement was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64"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7.10. </w:t>
      </w:r>
      <w:r>
        <w:rPr>
          <w:rFonts w:ascii="Times New Roman" w:cs="Times New Roman" w:eastAsia="Times New Roman" w:hAnsi="Times New Roman"/>
          <w:sz w:val="18"/>
          <w:szCs w:val="18"/>
          <w:b w:val="1"/>
          <w:bCs w:val="1"/>
          <w:color w:val="000000"/>
        </w:rPr>
        <w:t>Amendment</w:t>
      </w:r>
      <w:r>
        <w:rPr>
          <w:rFonts w:ascii="Times New Roman" w:cs="Times New Roman" w:eastAsia="Times New Roman" w:hAnsi="Times New Roman"/>
          <w:sz w:val="18"/>
          <w:szCs w:val="18"/>
          <w:color w:val="000000"/>
        </w:rPr>
        <w:t>. This Agreement may be amended in writing by the parties hereto at any time prior to the Effective Time. Following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majority in interest of the then-outstanding number of Registrable Securities held by all New Holders in their capacity as New Holders (provided the New Holders or their Permitted Transferees hold Registrable Securities at the time of such amendment).</w:t>
      </w:r>
    </w:p>
    <w:p>
      <w:pPr>
        <w:spacing w:after="0" w:line="166" w:lineRule="exact"/>
        <w:rPr>
          <w:sz w:val="20"/>
          <w:szCs w:val="20"/>
          <w:color w:val="auto"/>
        </w:rPr>
      </w:pPr>
    </w:p>
    <w:p>
      <w:pPr>
        <w:jc w:val="both"/>
        <w:ind w:firstLine="532"/>
        <w:spacing w:after="0" w:line="258" w:lineRule="auto"/>
        <w:rPr>
          <w:sz w:val="20"/>
          <w:szCs w:val="20"/>
          <w:color w:val="auto"/>
        </w:rPr>
      </w:pPr>
      <w:r>
        <w:rPr>
          <w:rFonts w:ascii="Times New Roman" w:cs="Times New Roman" w:eastAsia="Times New Roman" w:hAnsi="Times New Roman"/>
          <w:sz w:val="17"/>
          <w:szCs w:val="17"/>
          <w:b w:val="1"/>
          <w:bCs w:val="1"/>
          <w:color w:val="010000"/>
        </w:rPr>
        <w:t xml:space="preserve">Section 7.11. </w:t>
      </w:r>
      <w:r>
        <w:rPr>
          <w:rFonts w:ascii="Times New Roman" w:cs="Times New Roman" w:eastAsia="Times New Roman" w:hAnsi="Times New Roman"/>
          <w:sz w:val="17"/>
          <w:szCs w:val="17"/>
          <w:b w:val="1"/>
          <w:bCs w:val="1"/>
          <w:color w:val="000000"/>
        </w:rPr>
        <w:t>Waiver</w:t>
      </w:r>
      <w:r>
        <w:rPr>
          <w:rFonts w:ascii="Times New Roman" w:cs="Times New Roman" w:eastAsia="Times New Roman" w:hAnsi="Times New Roman"/>
          <w:sz w:val="17"/>
          <w:szCs w:val="17"/>
          <w:color w:val="000000"/>
        </w:rPr>
        <w:t>. At any time, (i) the Company may (a) extend the time for the performance of any obligation or other act of any Holder, (b)</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waive any inaccuracy in the representations and warranties of any Holder contained herein or in any document delivered by such Holder pursuant hereto and</w:t>
      </w:r>
    </w:p>
    <w:p>
      <w:pPr>
        <w:spacing w:after="0" w:line="1" w:lineRule="exact"/>
        <w:rPr>
          <w:sz w:val="20"/>
          <w:szCs w:val="20"/>
          <w:color w:val="auto"/>
        </w:rPr>
      </w:pPr>
    </w:p>
    <w:p>
      <w:pPr>
        <w:jc w:val="both"/>
        <w:ind w:firstLine="9"/>
        <w:spacing w:after="0" w:line="234" w:lineRule="auto"/>
        <w:tabs>
          <w:tab w:leader="none" w:pos="24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7.12. </w:t>
      </w:r>
      <w:r>
        <w:rPr>
          <w:rFonts w:ascii="Times New Roman" w:cs="Times New Roman" w:eastAsia="Times New Roman" w:hAnsi="Times New Roman"/>
          <w:sz w:val="18"/>
          <w:szCs w:val="18"/>
          <w:b w:val="1"/>
          <w:bCs w:val="1"/>
          <w:color w:val="000000"/>
        </w:rPr>
        <w:t>Further Assurances</w:t>
      </w:r>
      <w:r>
        <w:rPr>
          <w:rFonts w:ascii="Times New Roman" w:cs="Times New Roman" w:eastAsia="Times New Roman" w:hAnsi="Times New Roman"/>
          <w:sz w:val="18"/>
          <w:szCs w:val="18"/>
          <w:color w:val="000000"/>
        </w:rPr>
        <w:t>. At the request of the Company, in the case of any Holder, or at the request of any Holder, in the case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7.13. </w:t>
      </w:r>
      <w:r>
        <w:rPr>
          <w:rFonts w:ascii="Times New Roman" w:cs="Times New Roman" w:eastAsia="Times New Roman" w:hAnsi="Times New Roman"/>
          <w:sz w:val="18"/>
          <w:szCs w:val="18"/>
          <w:b w:val="1"/>
          <w:bCs w:val="1"/>
          <w:color w:val="000000"/>
        </w:rPr>
        <w:t>Prior Agreement Superseded</w:t>
      </w:r>
      <w:r>
        <w:rPr>
          <w:rFonts w:ascii="Times New Roman" w:cs="Times New Roman" w:eastAsia="Times New Roman" w:hAnsi="Times New Roman"/>
          <w:sz w:val="18"/>
          <w:szCs w:val="18"/>
          <w:color w:val="000000"/>
        </w:rPr>
        <w:t>. Pursuant to Section 5.6 of the Prior Agreement, the undersigned parties who are parties to such Prior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hereby terminate the Prior Agreement, with the intent and effect that the Prior Agreement shall hereby be replaced and superseded in its entirety by this Agreement.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5" w:name="page296"/>
    <w:bookmarkEnd w:id="295"/>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7.14. </w:t>
      </w:r>
      <w:r>
        <w:rPr>
          <w:rFonts w:ascii="Times New Roman" w:cs="Times New Roman" w:eastAsia="Times New Roman" w:hAnsi="Times New Roman"/>
          <w:sz w:val="18"/>
          <w:szCs w:val="18"/>
          <w:b w:val="1"/>
          <w:bCs w:val="1"/>
          <w:color w:val="000000"/>
        </w:rPr>
        <w:t>No Strict Construction</w:t>
      </w:r>
      <w:r>
        <w:rPr>
          <w:rFonts w:ascii="Times New Roman" w:cs="Times New Roman" w:eastAsia="Times New Roman" w:hAnsi="Times New Roman"/>
          <w:sz w:val="18"/>
          <w:szCs w:val="18"/>
          <w:color w:val="000000"/>
        </w:rPr>
        <w:t>. The language used in this Agreement shall be deemed to be the language chosen by the parties to express their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mutual intent and no rule of strict construction shall be applied against any party.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Next Page is Signature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362" w:lineRule="exact"/>
        <w:rPr>
          <w:sz w:val="20"/>
          <w:szCs w:val="20"/>
          <w:color w:val="auto"/>
        </w:rPr>
      </w:pPr>
    </w:p>
    <w:tbl>
      <w:tblPr>
        <w:tblLayout w:type="fixed"/>
        <w:tblInd w:w="5120" w:type="dxa"/>
        <w:tblCellMar>
          <w:top w:w="0" w:type="dxa"/>
          <w:left w:w="0" w:type="dxa"/>
          <w:bottom w:w="0" w:type="dxa"/>
          <w:right w:w="0" w:type="dxa"/>
        </w:tblCellMar>
      </w:tblP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Chief Financial Officer</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020" w:type="dxa"/>
        <w:tblCellMar>
          <w:top w:w="0" w:type="dxa"/>
          <w:left w:w="0" w:type="dxa"/>
          <w:bottom w:w="0" w:type="dxa"/>
          <w:right w:w="0" w:type="dxa"/>
        </w:tblCellMar>
      </w:tblPr>
      <w:tr>
        <w:trPr>
          <w:trHeight w:val="194"/>
        </w:trPr>
        <w:tc>
          <w:tcPr>
            <w:tcW w:w="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7"/>
              </w:rPr>
              <w:t>HOLDER:</w:t>
            </w:r>
          </w:p>
        </w:tc>
        <w:tc>
          <w:tcPr>
            <w:tcW w:w="5020" w:type="dxa"/>
            <w:vAlign w:val="bottom"/>
          </w:tcPr>
          <w:p>
            <w:pPr>
              <w:spacing w:after="0"/>
              <w:rPr>
                <w:sz w:val="16"/>
                <w:szCs w:val="16"/>
                <w:color w:val="auto"/>
              </w:rPr>
            </w:pPr>
          </w:p>
        </w:tc>
      </w:tr>
      <w:tr>
        <w:trPr>
          <w:trHeight w:val="369"/>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Perceptive Life Sciences Master Fund Ltd</w:t>
            </w:r>
          </w:p>
        </w:tc>
      </w:tr>
      <w:tr>
        <w:trPr>
          <w:trHeight w:val="36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700" w:type="dxa"/>
            <w:vAlign w:val="bottom"/>
          </w:tcPr>
          <w:p>
            <w:pPr>
              <w:spacing w:after="0"/>
              <w:rPr>
                <w:sz w:val="14"/>
                <w:szCs w:val="14"/>
                <w:color w:val="auto"/>
              </w:rPr>
            </w:pPr>
          </w:p>
        </w:tc>
        <w:tc>
          <w:tcPr>
            <w:tcW w:w="50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Michael Altman</w:t>
            </w:r>
          </w:p>
        </w:tc>
      </w:tr>
      <w:tr>
        <w:trPr>
          <w:trHeight w:val="192"/>
        </w:trPr>
        <w:tc>
          <w:tcPr>
            <w:tcW w:w="7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bl>
    <w:p>
      <w:pPr>
        <w:spacing w:after="0" w:line="385" w:lineRule="exact"/>
        <w:rPr>
          <w:sz w:val="20"/>
          <w:szCs w:val="20"/>
          <w:color w:val="auto"/>
        </w:rPr>
      </w:pPr>
    </w:p>
    <w:tbl>
      <w:tblPr>
        <w:tblLayout w:type="fixed"/>
        <w:tblInd w:w="5120" w:type="dxa"/>
        <w:tblCellMar>
          <w:top w:w="0" w:type="dxa"/>
          <w:left w:w="0" w:type="dxa"/>
          <w:bottom w:w="0" w:type="dxa"/>
          <w:right w:w="0" w:type="dxa"/>
        </w:tblCellMar>
      </w:tblP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05"/>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51 Astor Pl 10th fIoor, New York, NY 10003</w:t>
            </w: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120" w:type="dxa"/>
            <w:vAlign w:val="bottom"/>
          </w:tcPr>
          <w:p>
            <w:pPr>
              <w:spacing w:after="0"/>
              <w:rPr>
                <w:sz w:val="24"/>
                <w:szCs w:val="24"/>
                <w:color w:val="auto"/>
              </w:rPr>
            </w:pPr>
          </w:p>
        </w:tc>
        <w:tc>
          <w:tcPr>
            <w:tcW w:w="4500" w:type="dxa"/>
            <w:vAlign w:val="bottom"/>
            <w:tcBorders>
              <w:top w:val="single" w:sz="8" w:color="auto"/>
              <w:bottom w:val="single" w:sz="8" w:color="auto"/>
            </w:tcBorders>
          </w:tcPr>
          <w:p>
            <w:pPr>
              <w:spacing w:after="0"/>
              <w:rPr>
                <w:sz w:val="24"/>
                <w:szCs w:val="24"/>
                <w:color w:val="auto"/>
              </w:rPr>
            </w:pP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1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34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HOLDER:</w:t>
      </w:r>
    </w:p>
    <w:p>
      <w:pPr>
        <w:spacing w:after="0" w:line="184" w:lineRule="exact"/>
        <w:rPr>
          <w:sz w:val="20"/>
          <w:szCs w:val="20"/>
          <w:color w:val="auto"/>
        </w:rPr>
      </w:pPr>
    </w:p>
    <w:tbl>
      <w:tblPr>
        <w:tblLayout w:type="fixed"/>
        <w:tblInd w:w="5120" w:type="dxa"/>
        <w:tblCellMar>
          <w:top w:w="0" w:type="dxa"/>
          <w:left w:w="0" w:type="dxa"/>
          <w:bottom w:w="0" w:type="dxa"/>
          <w:right w:w="0" w:type="dxa"/>
        </w:tblCellMar>
      </w:tblP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ARYA Sciences Holdings III</w:t>
            </w:r>
          </w:p>
        </w:tc>
      </w:tr>
      <w:tr>
        <w:trPr>
          <w:trHeight w:val="368"/>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540" w:type="dxa"/>
            <w:vAlign w:val="bottom"/>
          </w:tcPr>
          <w:p>
            <w:pPr>
              <w:spacing w:after="0"/>
              <w:rPr>
                <w:sz w:val="14"/>
                <w:szCs w:val="14"/>
                <w:color w:val="auto"/>
              </w:rPr>
            </w:pPr>
          </w:p>
        </w:tc>
        <w:tc>
          <w:tcPr>
            <w:tcW w:w="5080" w:type="dxa"/>
            <w:vAlign w:val="bottom"/>
            <w:gridSpan w:val="2"/>
          </w:tcPr>
          <w:p>
            <w:pPr>
              <w:spacing w:after="0" w:line="163" w:lineRule="exact"/>
              <w:rPr>
                <w:sz w:val="20"/>
                <w:szCs w:val="20"/>
                <w:color w:val="auto"/>
              </w:rPr>
            </w:pPr>
            <w:r>
              <w:rPr>
                <w:rFonts w:ascii="Times New Roman" w:cs="Times New Roman" w:eastAsia="Times New Roman" w:hAnsi="Times New Roman"/>
                <w:sz w:val="15"/>
                <w:szCs w:val="15"/>
                <w:color w:val="auto"/>
              </w:rPr>
              <w:t>Name: Michael Altman</w:t>
            </w:r>
          </w:p>
        </w:tc>
      </w:tr>
      <w:tr>
        <w:trPr>
          <w:trHeight w:val="192"/>
        </w:trPr>
        <w:tc>
          <w:tcPr>
            <w:tcW w:w="54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63"/>
        </w:trPr>
        <w:tc>
          <w:tcPr>
            <w:tcW w:w="5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Address for</w:t>
            </w: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580" w:type="dxa"/>
            <w:vAlign w:val="bottom"/>
          </w:tcPr>
          <w:p>
            <w:pPr>
              <w:spacing w:after="0"/>
              <w:rPr>
                <w:sz w:val="17"/>
                <w:szCs w:val="17"/>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51 Astor Pl 10th fIoor, New York, NY 10003</w:t>
            </w:r>
          </w:p>
        </w:tc>
      </w:tr>
    </w:tbl>
    <w:p>
      <w:pPr>
        <w:spacing w:after="0" w:line="163"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5"/>
          <w:szCs w:val="15"/>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19685</wp:posOffset>
            </wp:positionV>
            <wp:extent cx="2860040" cy="139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60040" cy="13970"/>
                    </a:xfrm>
                    <a:prstGeom prst="rect">
                      <a:avLst/>
                    </a:prstGeom>
                    <a:noFill/>
                  </pic:spPr>
                </pic:pic>
              </a:graphicData>
            </a:graphic>
          </wp:anchor>
        </w:drawing>
      </w:r>
    </w:p>
    <w:p>
      <w:pPr>
        <w:spacing w:after="0" w:line="1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19685</wp:posOffset>
            </wp:positionV>
            <wp:extent cx="2860040"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60040" cy="13970"/>
                    </a:xfrm>
                    <a:prstGeom prst="rect">
                      <a:avLst/>
                    </a:prstGeom>
                    <a:noFill/>
                  </pic:spPr>
                </pic:pic>
              </a:graphicData>
            </a:graphic>
          </wp:anchor>
        </w:drawing>
      </w:r>
    </w:p>
    <w:p>
      <w:pPr>
        <w:spacing w:after="0" w:line="1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Email</w:t>
      </w:r>
    </w:p>
    <w:p>
      <w:pPr>
        <w:spacing w:after="0" w:line="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Address:</w:t>
      </w:r>
    </w:p>
    <w:p>
      <w:pPr>
        <w:spacing w:after="0" w:line="382"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w:t>
            </w:r>
          </w:p>
        </w:tc>
      </w:tr>
      <w:tr>
        <w:trPr>
          <w:trHeight w:val="35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PFV I, LLC</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Manager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Suraj Patel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Manager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 2020 Children’s Trust, u/a/d December 3, 2020</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Trustee</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Meera Patel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Trustee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Parag Mallick</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Parag Mallick</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5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Pr>
          <w:p>
            <w:pPr>
              <w:spacing w:after="0"/>
              <w:rPr>
                <w:sz w:val="24"/>
                <w:szCs w:val="24"/>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Vijay Pande</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Vijay Pande</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AH Bio Fund II, L.P.</w:t>
            </w:r>
          </w:p>
        </w:tc>
      </w:tr>
      <w:tr>
        <w:trPr>
          <w:trHeight w:val="159"/>
        </w:trPr>
        <w:tc>
          <w:tcPr>
            <w:tcW w:w="1120" w:type="dxa"/>
            <w:vAlign w:val="bottom"/>
          </w:tcPr>
          <w:p>
            <w:pPr>
              <w:spacing w:after="0"/>
              <w:rPr>
                <w:sz w:val="13"/>
                <w:szCs w:val="13"/>
                <w:color w:val="auto"/>
              </w:rPr>
            </w:pPr>
          </w:p>
        </w:tc>
        <w:tc>
          <w:tcPr>
            <w:tcW w:w="450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auto"/>
              </w:rPr>
              <w:t>for itself and as nominee for</w:t>
            </w:r>
          </w:p>
        </w:tc>
      </w:tr>
      <w:tr>
        <w:trPr>
          <w:trHeight w:val="204"/>
        </w:trPr>
        <w:tc>
          <w:tcPr>
            <w:tcW w:w="1120" w:type="dxa"/>
            <w:vAlign w:val="bottom"/>
          </w:tcPr>
          <w:p>
            <w:pPr>
              <w:spacing w:after="0"/>
              <w:rPr>
                <w:sz w:val="17"/>
                <w:szCs w:val="17"/>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AH Bio Fund II-B, L.P.</w:t>
            </w:r>
          </w:p>
        </w:tc>
        <w:tc>
          <w:tcPr>
            <w:tcW w:w="160" w:type="dxa"/>
            <w:vAlign w:val="bottom"/>
            <w:tcBorders>
              <w:top w:val="single" w:sz="8" w:color="auto"/>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AH Equity Partners Bio II, L.L.C.</w:t>
            </w:r>
          </w:p>
        </w:tc>
      </w:tr>
      <w:tr>
        <w:trPr>
          <w:trHeight w:val="192"/>
        </w:trPr>
        <w:tc>
          <w:tcPr>
            <w:tcW w:w="11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COO</w:t>
            </w:r>
          </w:p>
        </w:tc>
      </w:tr>
      <w:tr>
        <w:trPr>
          <w:trHeight w:val="163"/>
        </w:trPr>
        <w:tc>
          <w:tcPr>
            <w:tcW w:w="1120" w:type="dxa"/>
            <w:vAlign w:val="bottom"/>
          </w:tcPr>
          <w:p>
            <w:pPr>
              <w:spacing w:after="0"/>
              <w:rPr>
                <w:sz w:val="14"/>
                <w:szCs w:val="14"/>
                <w:color w:val="auto"/>
              </w:rPr>
            </w:pPr>
          </w:p>
        </w:tc>
        <w:tc>
          <w:tcPr>
            <w:tcW w:w="4500" w:type="dxa"/>
            <w:vAlign w:val="bottom"/>
            <w:gridSpan w:val="3"/>
          </w:tcPr>
          <w:p>
            <w:pPr>
              <w:spacing w:after="0" w:line="163" w:lineRule="exact"/>
              <w:rPr>
                <w:sz w:val="20"/>
                <w:szCs w:val="20"/>
                <w:color w:val="auto"/>
              </w:rPr>
            </w:pPr>
            <w:r>
              <w:rPr>
                <w:rFonts w:ascii="Times New Roman" w:cs="Times New Roman" w:eastAsia="Times New Roman" w:hAnsi="Times New Roman"/>
                <w:sz w:val="15"/>
                <w:szCs w:val="15"/>
                <w:color w:val="auto"/>
              </w:rPr>
              <w:t>Name: Scott Kupor</w:t>
            </w:r>
          </w:p>
        </w:tc>
      </w:tr>
      <w:tr>
        <w:trPr>
          <w:trHeight w:val="192"/>
        </w:trPr>
        <w:tc>
          <w:tcPr>
            <w:tcW w:w="11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Title: COO</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1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1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79"/>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5"/>
                <w:szCs w:val="15"/>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Andreesen Horowitz LSV Fund II,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for itself and as nominee for</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Andreessen Horowitz LSV Fund II-B,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w:t>
            </w:r>
          </w:p>
        </w:tc>
      </w:tr>
      <w:tr>
        <w:trPr>
          <w:trHeight w:val="205"/>
        </w:trPr>
        <w:tc>
          <w:tcPr>
            <w:tcW w:w="1120" w:type="dxa"/>
            <w:vAlign w:val="bottom"/>
          </w:tcPr>
          <w:p>
            <w:pPr>
              <w:spacing w:after="0"/>
              <w:rPr>
                <w:sz w:val="17"/>
                <w:szCs w:val="17"/>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Andreessen Horowitz LSV Fund II-Q,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AH Equity Partners LSV II,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Chief Operating Officer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Scott Kupor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Chief Operating Officer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Farzad Nazem</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Farzad Nazem</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HAND Capital, LLC</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Manager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Farzad Nazem</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Manager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5"/>
                <w:szCs w:val="15"/>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Matthew McIlwain</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Matthew McIlwain</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Madrona Venture Fund VI,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Investment Partners, VI,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VI General Partner,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Troy Cichos</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Madrona Venture Fund VI-A,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Investment Partners, VI, LP,</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VI General Partner,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Troy Cichos</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7"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VCVC V LLC</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VCVC Management V LLC, Its Manager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Cougar Investment Holdings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Managing Member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Vice President</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Danielle Harper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Vice President</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9"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Vulcan Capital Columbia Holdings LLC</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VCVC Management V LLC, Its Manager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Cougar Investment Holdings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Manager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Vice President</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Danielle Harper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Vice President</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515" w:right="3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Melissa Epperly</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Melissa Epperly</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5"/>
                <w:szCs w:val="15"/>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7"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Matthew Posard</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Matthew Posard</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Todd Wider</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Todd Wider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Todd Wider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Bradley L. Campbell</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Bradley L. Campbell</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Bradley L. Campbell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Saqib Islam</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Saqib Islam</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Saqib Islam</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8" w:name="page319"/>
    <w:bookmarkEnd w:id="318"/>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138430</wp:posOffset>
            </wp:positionV>
            <wp:extent cx="3578225" cy="57054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78225" cy="570547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Perceptive Holders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Perceptive Life Sciences Master Fund Ltd.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ARYA Sciences Holdings III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Holders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Sujal Patel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PFV I,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Sujal Patel 2020 Children’s Trust, u/a/d December 3,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Parag Mallick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Vijay Pande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AH Bio Fund II,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Andreesen Horowitz</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LSV Fund II,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Farzad Nazem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HAND Capital,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Matthew McIlwain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Madrona Venture Fund VI,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Madrona Venture Fund VI-A,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VCVC V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Vulcan Capital Columbia Holdings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Melissa Epperly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Matthew Posard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Independent Directors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Todd Wider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Bradley L. Campbell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491490</wp:posOffset>
            </wp:positionV>
            <wp:extent cx="7157085" cy="139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079"/>
          </w:cols>
          <w:pgMar w:left="380" w:top="114" w:right="1440"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Exhbit 10.3</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7157085" cy="139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320" w:name="page321"/>
    <w:bookmarkEnd w:id="320"/>
    <w:p>
      <w:pPr>
        <w:jc w:val="both"/>
        <w:ind w:left="-541" w:firstLine="541"/>
        <w:spacing w:after="0" w:line="234" w:lineRule="auto"/>
        <w:tabs>
          <w:tab w:leader="none" w:pos="57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173"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2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1" w:val="left"/>
        </w:tabs>
        <w:numPr>
          <w:ilvl w:val="2"/>
          <w:numId w:val="29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29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2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214630</wp:posOffset>
            </wp:positionV>
            <wp:extent cx="7157085"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1" w:name="page322"/>
    <w:bookmarkEnd w:id="321"/>
    <w:p>
      <w:pPr>
        <w:jc w:val="both"/>
        <w:ind w:left="-541" w:firstLine="1074"/>
        <w:spacing w:after="0" w:line="250" w:lineRule="auto"/>
        <w:tabs>
          <w:tab w:leader="none" w:pos="1172" w:val="left"/>
        </w:tabs>
        <w:numPr>
          <w:ilvl w:val="1"/>
          <w:numId w:val="2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163" w:lineRule="exact"/>
        <w:rPr>
          <w:rFonts w:ascii="Times New Roman" w:cs="Times New Roman" w:eastAsia="Times New Roman" w:hAnsi="Times New Roman"/>
          <w:sz w:val="17"/>
          <w:szCs w:val="17"/>
          <w:color w:val="010000"/>
        </w:rPr>
      </w:pPr>
    </w:p>
    <w:p>
      <w:pPr>
        <w:ind w:left="-541" w:firstLine="541"/>
        <w:spacing w:after="0" w:line="260" w:lineRule="auto"/>
        <w:tabs>
          <w:tab w:leader="none" w:pos="60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0"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29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217805</wp:posOffset>
            </wp:positionV>
            <wp:extent cx="7157085"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2" w:name="page323"/>
    <w:bookmarkEnd w:id="322"/>
    <w:p>
      <w:pPr>
        <w:jc w:val="both"/>
        <w:ind w:left="-1074" w:firstLine="1074"/>
        <w:spacing w:after="0" w:line="235" w:lineRule="auto"/>
        <w:tabs>
          <w:tab w:leader="none" w:pos="708"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168"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7"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215900</wp:posOffset>
            </wp:positionV>
            <wp:extent cx="7157085"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23" w:name="page324"/>
    <w:bookmarkEnd w:id="323"/>
    <w:p>
      <w:pPr>
        <w:jc w:val="both"/>
        <w:ind w:left="-541" w:firstLine="1074"/>
        <w:spacing w:after="0"/>
        <w:tabs>
          <w:tab w:leader="none" w:pos="1066"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9"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281"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088"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2"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3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30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210820</wp:posOffset>
            </wp:positionV>
            <wp:extent cx="7157085" cy="13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4" w:name="page325"/>
    <w:bookmarkEnd w:id="324"/>
    <w:p>
      <w:pPr>
        <w:jc w:val="both"/>
        <w:ind w:left="-9" w:firstLine="1074"/>
        <w:spacing w:after="0" w:line="238" w:lineRule="auto"/>
        <w:tabs>
          <w:tab w:leader="none" w:pos="1671"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70"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679"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7" w:lineRule="auto"/>
        <w:tabs>
          <w:tab w:leader="none" w:pos="1761"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71" w:lineRule="exact"/>
        <w:rPr>
          <w:rFonts w:ascii="Times New Roman" w:cs="Times New Roman" w:eastAsia="Times New Roman" w:hAnsi="Times New Roman"/>
          <w:sz w:val="18"/>
          <w:szCs w:val="18"/>
          <w:color w:val="010000"/>
        </w:rPr>
      </w:pPr>
    </w:p>
    <w:p>
      <w:pPr>
        <w:jc w:val="both"/>
        <w:ind w:left="-9" w:firstLine="1074"/>
        <w:spacing w:after="0" w:line="251" w:lineRule="auto"/>
        <w:tabs>
          <w:tab w:leader="none" w:pos="1790" w:val="left"/>
        </w:tabs>
        <w:numPr>
          <w:ilvl w:val="1"/>
          <w:numId w:val="30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57085"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325" w:name="page326"/>
    <w:bookmarkEnd w:id="325"/>
    <w:p>
      <w:pPr>
        <w:ind w:left="-1074" w:firstLine="1074"/>
        <w:spacing w:after="0" w:line="259" w:lineRule="auto"/>
        <w:tabs>
          <w:tab w:leader="none" w:pos="622"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1" w:lineRule="exact"/>
        <w:rPr>
          <w:rFonts w:ascii="Times New Roman" w:cs="Times New Roman" w:eastAsia="Times New Roman" w:hAnsi="Times New Roman"/>
          <w:sz w:val="18"/>
          <w:szCs w:val="18"/>
          <w:color w:val="010000"/>
        </w:rPr>
      </w:pPr>
    </w:p>
    <w:p>
      <w:pPr>
        <w:jc w:val="both"/>
        <w:ind w:left="-1074" w:firstLine="1074"/>
        <w:spacing w:after="0" w:line="235" w:lineRule="auto"/>
        <w:tabs>
          <w:tab w:leader="none" w:pos="625"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69"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93"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6"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3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26" w:name="page327"/>
    <w:bookmarkEnd w:id="326"/>
    <w:p>
      <w:pPr>
        <w:ind w:left="1160" w:hanging="619"/>
        <w:spacing w:after="0"/>
        <w:tabs>
          <w:tab w:leader="none" w:pos="11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w:t>
      </w:r>
    </w:p>
    <w:p>
      <w:pPr>
        <w:spacing w:after="0" w:line="191" w:lineRule="exact"/>
        <w:rPr>
          <w:rFonts w:ascii="Times New Roman" w:cs="Times New Roman" w:eastAsia="Times New Roman" w:hAnsi="Times New Roman"/>
          <w:sz w:val="18"/>
          <w:szCs w:val="18"/>
          <w:color w:val="auto"/>
        </w:rPr>
      </w:pPr>
    </w:p>
    <w:p>
      <w:pPr>
        <w:jc w:val="both"/>
        <w:ind w:firstLine="1065"/>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010000"/>
        </w:rPr>
        <w:t xml:space="preserve">a. </w:t>
      </w:r>
      <w:r>
        <w:rPr>
          <w:rFonts w:ascii="Times New Roman" w:cs="Times New Roman" w:eastAsia="Times New Roman" w:hAnsi="Times New Roman"/>
          <w:sz w:val="17"/>
          <w:szCs w:val="17"/>
          <w:color w:val="000000"/>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w:t>
      </w:r>
    </w:p>
    <w:p>
      <w:pPr>
        <w:jc w:val="both"/>
        <w:ind w:firstLine="9"/>
        <w:spacing w:after="0" w:line="232" w:lineRule="auto"/>
        <w:tabs>
          <w:tab w:leader="none" w:pos="43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7" w:name="page328"/>
    <w:bookmarkEnd w:id="327"/>
    <w:p>
      <w:pPr>
        <w:jc w:val="both"/>
        <w:ind w:left="-9" w:firstLine="1074"/>
        <w:spacing w:after="0" w:line="247" w:lineRule="auto"/>
        <w:tabs>
          <w:tab w:leader="none" w:pos="1679" w:val="left"/>
        </w:tabs>
        <w:numPr>
          <w:ilvl w:val="1"/>
          <w:numId w:val="3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w:t>
      </w:r>
    </w:p>
    <w:p>
      <w:pPr>
        <w:spacing w:after="0" w:line="5" w:lineRule="exact"/>
        <w:rPr>
          <w:rFonts w:ascii="Times New Roman" w:cs="Times New Roman" w:eastAsia="Times New Roman" w:hAnsi="Times New Roman"/>
          <w:sz w:val="17"/>
          <w:szCs w:val="17"/>
          <w:color w:val="010000"/>
        </w:rPr>
      </w:pPr>
    </w:p>
    <w:p>
      <w:pPr>
        <w:jc w:val="both"/>
        <w:ind w:left="-9" w:firstLine="9"/>
        <w:spacing w:after="0" w:line="246" w:lineRule="auto"/>
        <w:tabs>
          <w:tab w:leader="none" w:pos="252"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68" w:lineRule="exact"/>
        <w:rPr>
          <w:rFonts w:ascii="Times New Roman" w:cs="Times New Roman" w:eastAsia="Times New Roman" w:hAnsi="Times New Roman"/>
          <w:sz w:val="17"/>
          <w:szCs w:val="17"/>
          <w:color w:val="auto"/>
        </w:rPr>
      </w:pPr>
    </w:p>
    <w:p>
      <w:pPr>
        <w:ind w:left="1631" w:hanging="566"/>
        <w:spacing w:after="0"/>
        <w:tabs>
          <w:tab w:leader="none" w:pos="1631" w:val="left"/>
        </w:tabs>
        <w:numPr>
          <w:ilvl w:val="1"/>
          <w:numId w:val="3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w:t>
      </w:r>
    </w:p>
    <w:p>
      <w:pPr>
        <w:spacing w:after="0" w:line="192" w:lineRule="exact"/>
        <w:rPr>
          <w:rFonts w:ascii="Times New Roman" w:cs="Times New Roman" w:eastAsia="Times New Roman" w:hAnsi="Times New Roman"/>
          <w:sz w:val="18"/>
          <w:szCs w:val="18"/>
          <w:color w:val="010000"/>
        </w:rPr>
      </w:pPr>
    </w:p>
    <w:p>
      <w:pPr>
        <w:jc w:val="both"/>
        <w:ind w:left="1071" w:firstLine="526"/>
        <w:spacing w:after="0" w:line="236" w:lineRule="auto"/>
        <w:tabs>
          <w:tab w:leader="none" w:pos="2486" w:val="left"/>
        </w:tabs>
        <w:numPr>
          <w:ilvl w:val="2"/>
          <w:numId w:val="3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57085" cy="13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328" w:name="page329"/>
    <w:bookmarkEnd w:id="328"/>
    <w:p>
      <w:pPr>
        <w:jc w:val="both"/>
        <w:ind w:left="-60" w:firstLine="526"/>
        <w:spacing w:after="0" w:line="235" w:lineRule="auto"/>
        <w:tabs>
          <w:tab w:leader="none" w:pos="1211"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171"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180"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74"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272"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296"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212725</wp:posOffset>
            </wp:positionV>
            <wp:extent cx="7157085"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329" w:name="page330"/>
    <w:bookmarkEnd w:id="329"/>
    <w:p>
      <w:pPr>
        <w:jc w:val="both"/>
        <w:ind w:left="-541" w:firstLine="541"/>
        <w:spacing w:after="0" w:line="233" w:lineRule="auto"/>
        <w:tabs>
          <w:tab w:leader="none" w:pos="61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79" w:lineRule="exact"/>
        <w:rPr>
          <w:rFonts w:ascii="Times New Roman" w:cs="Times New Roman" w:eastAsia="Times New Roman" w:hAnsi="Times New Roman"/>
          <w:sz w:val="18"/>
          <w:szCs w:val="18"/>
          <w:color w:val="auto"/>
        </w:rPr>
      </w:pPr>
    </w:p>
    <w:p>
      <w:pPr>
        <w:jc w:val="both"/>
        <w:ind w:left="-541" w:firstLine="541"/>
        <w:spacing w:after="0" w:line="233" w:lineRule="auto"/>
        <w:tabs>
          <w:tab w:leader="none" w:pos="65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179" w:lineRule="exact"/>
        <w:rPr>
          <w:rFonts w:ascii="Times New Roman" w:cs="Times New Roman" w:eastAsia="Times New Roman" w:hAnsi="Times New Roman"/>
          <w:sz w:val="18"/>
          <w:szCs w:val="18"/>
          <w:color w:val="auto"/>
        </w:rPr>
      </w:pPr>
    </w:p>
    <w:p>
      <w:pPr>
        <w:ind w:left="659" w:hanging="659"/>
        <w:spacing w:after="0"/>
        <w:tabs>
          <w:tab w:leader="none" w:pos="65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92" w:lineRule="exact"/>
        <w:rPr>
          <w:rFonts w:ascii="Times New Roman" w:cs="Times New Roman" w:eastAsia="Times New Roman" w:hAnsi="Times New Roman"/>
          <w:sz w:val="18"/>
          <w:szCs w:val="18"/>
          <w:color w:val="auto"/>
        </w:rPr>
      </w:pPr>
    </w:p>
    <w:p>
      <w:pPr>
        <w:ind w:left="-541" w:firstLine="1074"/>
        <w:spacing w:after="0" w:line="260" w:lineRule="auto"/>
        <w:tabs>
          <w:tab w:leader="none" w:pos="1360" w:val="left"/>
        </w:tabs>
        <w:numPr>
          <w:ilvl w:val="1"/>
          <w:numId w:val="3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091" w:val="left"/>
        </w:tabs>
        <w:numPr>
          <w:ilvl w:val="1"/>
          <w:numId w:val="3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30" w:name="page331"/>
    <w:bookmarkEnd w:id="330"/>
    <w:p>
      <w:pPr>
        <w:jc w:val="both"/>
        <w:ind w:firstLine="1074"/>
        <w:spacing w:after="0" w:line="236" w:lineRule="auto"/>
        <w:tabs>
          <w:tab w:leader="none" w:pos="1983"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1"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42"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6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48"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67"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18"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1" w:name="page332"/>
    <w:bookmarkEnd w:id="331"/>
    <w:p>
      <w:pPr>
        <w:jc w:val="both"/>
        <w:ind w:left="-1074" w:firstLine="1074"/>
        <w:spacing w:after="0"/>
        <w:tabs>
          <w:tab w:leader="none" w:pos="591"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9"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717"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659"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548"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9" w:lineRule="auto"/>
        <w:tabs>
          <w:tab w:leader="none" w:pos="763"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67" w:lineRule="exact"/>
        <w:rPr>
          <w:rFonts w:ascii="Times New Roman" w:cs="Times New Roman" w:eastAsia="Times New Roman" w:hAnsi="Times New Roman"/>
          <w:sz w:val="18"/>
          <w:szCs w:val="18"/>
          <w:color w:val="010000"/>
        </w:rPr>
      </w:pPr>
    </w:p>
    <w:p>
      <w:pPr>
        <w:jc w:val="both"/>
        <w:ind w:left="-1074" w:firstLine="1074"/>
        <w:spacing w:after="0" w:line="247" w:lineRule="auto"/>
        <w:tabs>
          <w:tab w:leader="none" w:pos="618" w:val="left"/>
        </w:tabs>
        <w:numPr>
          <w:ilvl w:val="0"/>
          <w:numId w:val="3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32" w:name="page333"/>
    <w:bookmarkEnd w:id="332"/>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69" w:lineRule="exact"/>
        <w:rPr>
          <w:sz w:val="20"/>
          <w:szCs w:val="20"/>
          <w:color w:val="auto"/>
        </w:rPr>
      </w:pPr>
    </w:p>
    <w:p>
      <w:pPr>
        <w:jc w:val="both"/>
        <w:ind w:firstLine="541"/>
        <w:spacing w:after="0" w:line="233" w:lineRule="auto"/>
        <w:tabs>
          <w:tab w:leader="none" w:pos="151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7" w:lineRule="exact"/>
        <w:rPr>
          <w:sz w:val="20"/>
          <w:szCs w:val="20"/>
          <w:color w:val="auto"/>
        </w:rPr>
      </w:pPr>
    </w:p>
    <w:p>
      <w:pPr>
        <w:jc w:val="both"/>
        <w:ind w:firstLine="541"/>
        <w:spacing w:after="0" w:line="234" w:lineRule="auto"/>
        <w:tabs>
          <w:tab w:leader="none" w:pos="149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3" w:name="page334"/>
    <w:bookmarkEnd w:id="333"/>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334" w:name="page335"/>
    <w:bookmarkEnd w:id="334"/>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12700</wp:posOffset>
            </wp:positionV>
            <wp:extent cx="2789555" cy="139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89555" cy="1397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3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314"/>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314"/>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36" w:name="page337"/>
    <w:bookmarkEnd w:id="336"/>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99.1</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Next-Gen Proteomics Company Nautilus Biotechnology to List on Nasdaq Through Merger with Arya Sciences Acquisition Corp III</w:t>
      </w:r>
    </w:p>
    <w:p>
      <w:pPr>
        <w:spacing w:after="0" w:line="192"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i w:val="1"/>
          <w:iCs w:val="1"/>
          <w:color w:val="auto"/>
        </w:rPr>
        <w:t>Nautilus Biotechnology has entered into a definitive merger agreement with Arya Sciences Acquisition Corp III (Nasdaq: ARYA). Upon closing, the combined company is expected to be listed on Nasdaq under the ticker symbol “NAUT”</w:t>
      </w:r>
    </w:p>
    <w:p>
      <w:pPr>
        <w:spacing w:after="0" w:line="14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i w:val="1"/>
          <w:iCs w:val="1"/>
          <w:color w:val="auto"/>
        </w:rPr>
        <w:t>Nautilus Biotechnology is expected to receive $350 million in proceeds through the business combination, including a $200 million fully committed PIPE led by Perceptive Advisors and other top-tier healthcare investors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business combination is expected to be completed in the second quarter of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joint investor conference call to discuss the proposed transaction will be conducted today, February 8, 2021, at 8:00 AM ET</w:t>
      </w:r>
    </w:p>
    <w:p>
      <w:pPr>
        <w:spacing w:after="0" w:line="19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color w:val="auto"/>
        </w:rPr>
        <w:t>SEATTLE, WA / NEW YORK, 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8, 2021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Nautilus Biotechnology, Inc. ("Nautilus Biotechnology" or “Nautilus”), a company pioneering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 xml:space="preserve">single-molecule protein analysis platform for quantifying the human proteome, and Arya Sciences Acquisition Corp III (Nasdaq: ARYA) (“Arya III”), a special purpose acquisition company or </w:t>
      </w:r>
      <w:r>
        <w:rPr>
          <w:rFonts w:ascii="Times New Roman" w:cs="Times New Roman" w:eastAsia="Times New Roman" w:hAnsi="Times New Roman"/>
          <w:sz w:val="18"/>
          <w:szCs w:val="18"/>
          <w:i w:val="1"/>
          <w:iCs w:val="1"/>
          <w:color w:val="auto"/>
          <w:highlight w:val="white"/>
        </w:rPr>
        <w:t>SPAC</w:t>
      </w:r>
      <w:r>
        <w:rPr>
          <w:rFonts w:ascii="Times New Roman" w:cs="Times New Roman" w:eastAsia="Times New Roman" w:hAnsi="Times New Roman"/>
          <w:sz w:val="18"/>
          <w:szCs w:val="18"/>
          <w:color w:val="auto"/>
          <w:highlight w:val="white"/>
        </w:rPr>
        <w:t>, sponsored by Perceptive Advisors, today announced they have entered into a definitive business combination agreement. Upon closing of the transaction, Arya III will redomicile as a Delaware corporation, be renamed Nautilus Biotechnology, Inc. and its common stock is expected to be listed on Nasdaq under the ticker symbol “NAUT”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1270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085" cy="127000"/>
                    </a:xfrm>
                    <a:prstGeom prst="rect">
                      <a:avLst/>
                    </a:prstGeom>
                    <a:noFill/>
                  </pic:spPr>
                </pic:pic>
              </a:graphicData>
            </a:graphic>
          </wp:anchor>
        </w:drawing>
      </w:r>
    </w:p>
    <w:p>
      <w:pPr>
        <w:spacing w:after="0" w:line="14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In addition to the approximately $150 million held in Arya III’s trust account (assuming no redemptions are effected), a group of premier healthcare investors has committed to participate in the transaction through a common stock PIPE of approximately $200 million at $10 per share. Investors in the PIPE include lead investor Perceptive Advisors, an affiliate of Arya III’s sponsor, as well as RA Capital Management, Ally Bridge Group, Bain Capital Life Sciences, Franklin Templeton Investments, OrbiMed, Alyeska Investment Group, L.P., Casdin Capital and existing Nautilus Biotechnology shareholders including Andreessen Horowitz, Madrona Venture Group, and Vulcan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157085" cy="8877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085" cy="887730"/>
                    </a:xfrm>
                    <a:prstGeom prst="rect">
                      <a:avLst/>
                    </a:prstGeom>
                    <a:noFill/>
                  </pic:spPr>
                </pic:pic>
              </a:graphicData>
            </a:graphic>
          </wp:anchor>
        </w:drawing>
      </w:r>
    </w:p>
    <w:p>
      <w:pPr>
        <w:spacing w:after="0" w:line="1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The Combined Company is expected to receive proceeds of approximately $350 million at the closing of the transaction (assuming no redemptions are effected) and will continue to operate under the Nautilus management team, led by founder and Chief Executive Officer, Sujal Patel, and founder and Chief Scientist, Parag Mallick. The boards of directors of both Arya III and Nautilus have approved the proposed transaction. Completion of the transaction, which is expected in the second quarter of 2021, is subject to approval of Arya III’s shareholders and the satisfaction or waiver of certain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337" w:name="page338"/>
    <w:bookmarkEnd w:id="337"/>
    <w:p>
      <w:pPr>
        <w:ind w:right="220"/>
        <w:spacing w:after="0"/>
        <w:rPr>
          <w:sz w:val="20"/>
          <w:szCs w:val="20"/>
          <w:color w:val="auto"/>
        </w:rPr>
      </w:pPr>
      <w:r>
        <w:rPr>
          <w:rFonts w:ascii="Times New Roman" w:cs="Times New Roman" w:eastAsia="Times New Roman" w:hAnsi="Times New Roman"/>
          <w:sz w:val="18"/>
          <w:szCs w:val="18"/>
          <w:color w:val="auto"/>
        </w:rPr>
        <w:t>“We believe Nautilus has the potential to help revolutionize biomedicine with an ultra-sensitive, single-molecule protein analysis platform designed to comprehensively analyze and quantify the human proteome,” said Nautilus CEO, Sujal Patel. “Our long-standing relationship with Perceptive Advisors, combined with a strong syndicate of other investors, make us confident that this transaction aligns well with our goals of unlocking what we believe to be a significant opportunity in biological science, and creating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-511175</wp:posOffset>
            </wp:positionV>
            <wp:extent cx="7157085" cy="45643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085" cy="4564380"/>
                    </a:xfrm>
                    <a:prstGeom prst="rect">
                      <a:avLst/>
                    </a:prstGeom>
                    <a:noFill/>
                  </pic:spPr>
                </pic:pic>
              </a:graphicData>
            </a:graphic>
          </wp:anchor>
        </w:drawing>
      </w:r>
    </w:p>
    <w:p>
      <w:pPr>
        <w:spacing w:after="0" w:line="14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“When Arya III was formed, our objective was to identify a company with the potential to successfully address a significant, unmet need in biomedical science,” said Adam Stone, chief investment officer of Perceptive Advisors and CEO of Arya III. “In Nautilus, we are combining with a company we believe has the potential to transform the field of proteomics, unlocking access to the proteome and enabling fundamental advancements in biology, human health, and medicine. Over the course of our diligence, we've come to believe that the company’s innovative science, thoughtful commercialization strategy, and experienced leadership team make it an exceptional fit to meet our objectives.”</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Proceeds of the business combination and PIPE will be used to advance development of Nautilus Biotechnology’s unique proteomic analysis platform, as well as growth across the company’s scientific, engineering, and commercial teams, and to support general corporate activities.</w:t>
      </w:r>
    </w:p>
    <w:p>
      <w:pPr>
        <w:spacing w:after="0" w:line="151"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Since its founding, Nautilus has been driven by a desire to enable the biological community to rapidly and comprehensively access the proteome, thereby potentially transforming the ability to examine disease mechanisms, and develop new therapeutics and diagnostics. This mission is guided by a recognition that major advances in proteomics have lagged behind genomics, which Nautilus Biotechnology believes is primarily due to a lack of available tools for measuring the proteome as easily or completely as one can measure the genome and transcriptome.</w:t>
      </w:r>
    </w:p>
    <w:p>
      <w:pPr>
        <w:spacing w:after="0" w:line="167"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Nautilus believes that a fundamentally new approach is required to unlock this potential opportunity in biological science. Nautilus is aiming to create a bold, disruptive technology that has the potential to dramatically accelerate the generation of proteomics-based insight, drive new discoveries, and propel this field forward to better understand our fundamental biology and the molecular mechanisms of disease.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Transaction</w:t>
      </w:r>
    </w:p>
    <w:p>
      <w:pPr>
        <w:spacing w:after="0" w:line="1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Current Nautilus Biotechnology stockholders and holders of outstanding equity awards are converting 100% of their existing equity interests into shares or equivalent awards of the Combined Company at an implied Nautilus Biotechnology equity value of $900 million. Current shareholders of Arya III are converting their class A ordinary shares and class B ordinary shares of Arya III into common stock of the Combined Company on a one for one basis. Assuming that no Arya III shareholders elect to redeem their shares, and taking into account their participation in the PIPE, the current stockholders of Nautilus Biotechnology, excluding Perceptive Advisors, are expected to own approximately 70% of the Combined Company after closing. Further assuming a share price of $10 per share, the Combined Company is expected to have an initial market capitalization of approximately $1.3 billion. Upon closing, it is expected that the Combined Company’s common stock will be publicly traded on Nasdaq under the ticker symbol “NAUT.”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 transaction will be provided in a Current Report on Form 8-K that will contain an investor presentation to be filed by Arya</w:t>
      </w:r>
    </w:p>
    <w:p>
      <w:pPr>
        <w:spacing w:after="0" w:line="13" w:lineRule="exact"/>
        <w:rPr>
          <w:sz w:val="20"/>
          <w:szCs w:val="20"/>
          <w:color w:val="auto"/>
        </w:rPr>
      </w:pPr>
    </w:p>
    <w:p>
      <w:pPr>
        <w:jc w:val="both"/>
        <w:ind w:right="140" w:firstLine="9"/>
        <w:spacing w:after="0" w:line="265" w:lineRule="auto"/>
        <w:tabs>
          <w:tab w:leader="none" w:pos="222"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Securities and Exchange Commission (“SEC”) and will be available at www.sec.gov. In addition, Arya III intends to file a registration statement on Form S-4 with the SEC, which will include a proxy statement/prospectus, and will file other documents regarding the proposed transaction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7157085" cy="139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17748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085" cy="1774825"/>
                    </a:xfrm>
                    <a:prstGeom prst="rect">
                      <a:avLst/>
                    </a:prstGeom>
                    <a:noFill/>
                  </pic:spPr>
                </pic:pic>
              </a:graphicData>
            </a:graphic>
          </wp:anchor>
        </w:drawing>
      </w: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Morgan Stanley is acting as lead financial advisor to Nautilus Biotechnology, with Cowen also acting as financial advisor to Nautilus Biotechnology. Jefferies LLC and Goldman Sachs &amp; Co. LLC are acting as financial advisors to Arya III as well as private placement agents. Wilson Sonsini Goodrich &amp; Rosati, P.C., is acting as legal counsel to Nautilus Biotechnology. Kirkland &amp; Ellis LLP is acting as legal counsel to Arya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Monday, February 8, 2021 at 8:00 AM ET</w:t>
      </w:r>
    </w:p>
    <w:p>
      <w:pPr>
        <w:spacing w:after="0" w:line="231" w:lineRule="auto"/>
        <w:rPr>
          <w:sz w:val="20"/>
          <w:szCs w:val="20"/>
          <w:color w:val="auto"/>
        </w:rPr>
      </w:pPr>
      <w:r>
        <w:rPr>
          <w:rFonts w:ascii="Times New Roman" w:cs="Times New Roman" w:eastAsia="Times New Roman" w:hAnsi="Times New Roman"/>
          <w:sz w:val="18"/>
          <w:szCs w:val="18"/>
          <w:color w:val="auto"/>
        </w:rPr>
        <w:t>US Toll-Free Dial In: (855) 920-2730</w:t>
      </w:r>
    </w:p>
    <w:p>
      <w:pPr>
        <w:spacing w:after="0" w:line="232" w:lineRule="auto"/>
        <w:rPr>
          <w:sz w:val="20"/>
          <w:szCs w:val="20"/>
          <w:color w:val="auto"/>
        </w:rPr>
      </w:pPr>
      <w:r>
        <w:rPr>
          <w:rFonts w:ascii="Times New Roman" w:cs="Times New Roman" w:eastAsia="Times New Roman" w:hAnsi="Times New Roman"/>
          <w:sz w:val="18"/>
          <w:szCs w:val="18"/>
          <w:color w:val="auto"/>
        </w:rPr>
        <w:t>US Local Dial In: +1 (469) 598-1899</w:t>
      </w:r>
    </w:p>
    <w:p>
      <w:pPr>
        <w:spacing w:after="0" w:line="231" w:lineRule="auto"/>
        <w:rPr>
          <w:sz w:val="20"/>
          <w:szCs w:val="20"/>
          <w:color w:val="auto"/>
        </w:rPr>
      </w:pPr>
      <w:r>
        <w:rPr>
          <w:rFonts w:ascii="Times New Roman" w:cs="Times New Roman" w:eastAsia="Times New Roman" w:hAnsi="Times New Roman"/>
          <w:sz w:val="18"/>
          <w:szCs w:val="18"/>
          <w:color w:val="auto"/>
        </w:rPr>
        <w:t>Universal Int’l Dial In: +1 (913) 270-0999</w:t>
      </w:r>
    </w:p>
    <w:p>
      <w:pPr>
        <w:spacing w:after="0"/>
        <w:rPr>
          <w:sz w:val="20"/>
          <w:szCs w:val="20"/>
          <w:color w:val="auto"/>
        </w:rPr>
      </w:pPr>
      <w:r>
        <w:rPr>
          <w:rFonts w:ascii="Times New Roman" w:cs="Times New Roman" w:eastAsia="Times New Roman" w:hAnsi="Times New Roman"/>
          <w:sz w:val="18"/>
          <w:szCs w:val="18"/>
          <w:color w:val="auto"/>
        </w:rPr>
        <w:t>Conference ID: 67993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of the conference call and associated presentation materials will also be available on Deal Roadshow: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 Roadshow Investor Login Details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URL</w:t>
      </w:r>
      <w:r>
        <w:rPr>
          <w:rFonts w:ascii="Times New Roman" w:cs="Times New Roman" w:eastAsia="Times New Roman" w:hAnsi="Times New Roman"/>
          <w:sz w:val="18"/>
          <w:szCs w:val="18"/>
          <w:color w:val="auto"/>
        </w:rPr>
        <w:t>: https://dealroadshow.com</w:t>
      </w:r>
    </w:p>
    <w:p>
      <w:pPr>
        <w:spacing w:after="0" w:line="231" w:lineRule="auto"/>
        <w:rPr>
          <w:sz w:val="20"/>
          <w:szCs w:val="20"/>
          <w:color w:val="auto"/>
        </w:rPr>
      </w:pPr>
      <w:r>
        <w:rPr>
          <w:rFonts w:ascii="Times New Roman" w:cs="Times New Roman" w:eastAsia="Times New Roman" w:hAnsi="Times New Roman"/>
          <w:sz w:val="18"/>
          <w:szCs w:val="18"/>
          <w:b w:val="1"/>
          <w:bCs w:val="1"/>
          <w:color w:val="auto"/>
        </w:rPr>
        <w:t>Entry Code (</w:t>
      </w:r>
      <w:r>
        <w:rPr>
          <w:rFonts w:ascii="Times New Roman" w:cs="Times New Roman" w:eastAsia="Times New Roman" w:hAnsi="Times New Roman"/>
          <w:sz w:val="18"/>
          <w:szCs w:val="18"/>
          <w:color w:val="auto"/>
        </w:rPr>
        <w:t>Mon, Feb 8, 8:00AM - 9:00AM 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NAUT2021</w:t>
      </w:r>
    </w:p>
    <w:p>
      <w:pPr>
        <w:spacing w:after="0"/>
        <w:rPr>
          <w:sz w:val="20"/>
          <w:szCs w:val="20"/>
          <w:color w:val="auto"/>
        </w:rPr>
      </w:pPr>
      <w:r>
        <w:rPr>
          <w:rFonts w:ascii="Times New Roman" w:cs="Times New Roman" w:eastAsia="Times New Roman" w:hAnsi="Times New Roman"/>
          <w:sz w:val="18"/>
          <w:szCs w:val="18"/>
          <w:b w:val="1"/>
          <w:bCs w:val="1"/>
          <w:color w:val="auto"/>
        </w:rPr>
        <w:t>Direct Link</w:t>
      </w:r>
      <w:r>
        <w:rPr>
          <w:rFonts w:ascii="Times New Roman" w:cs="Times New Roman" w:eastAsia="Times New Roman" w:hAnsi="Times New Roman"/>
          <w:sz w:val="18"/>
          <w:szCs w:val="18"/>
          <w:color w:val="auto"/>
        </w:rPr>
        <w:t>: https://dealroadshow.com/e/NAUT2021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7157085" cy="30429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085" cy="30429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Arya III</w:t>
      </w:r>
    </w:p>
    <w:p>
      <w:pPr>
        <w:spacing w:after="0" w:line="1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highlight w:val="white"/>
        </w:rPr>
        <w:t>Arya III is a blank check company newly incorporated as a Cayman Islands exempted company for the purpose of effecting a merger, share exchange, asset acquisition, share purchase, reorganization or similar business combination with one or more businesses or entities. Arya III is led by Chairman Joseph Edelman, Chief Executive Officer Adam Stone, Chief Financial Officer Michael Altman and Chief Business Officer Konstantin Poukalov.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w:t>
      </w:r>
    </w:p>
    <w:p>
      <w:pPr>
        <w:spacing w:after="0" w:line="1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Nautilus is a biotechnology company who is developing a proteomics platform that aims to deliver superior sensitivity more quickly, more completely, and less expensively than is currently possible. Nautilus Biotechnology aims to enable a dramatic acceleration of basic science research, significantly improve the success rate of therapeutic development, and enhance opportunities for personalized and predictive medicine. Nautilus’ corporate headquarters is in Seattle, Washington and scientific research and development is being conducted from its San Carlos, California office and labs.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 xml:space="preserve">A full description of the terms of the transaction will be provided in a registration statement on Form S-4 to be filed with the SEC by Arya III that will include a prospectus with respect to the Combined Company’s securities to be issued in connection with the business combination and a proxy statement with respect to the shareholder meeting of Arya III to vote on the business combination. </w:t>
      </w:r>
      <w:r>
        <w:rPr>
          <w:rFonts w:ascii="Times New Roman" w:cs="Times New Roman" w:eastAsia="Times New Roman" w:hAnsi="Times New Roman"/>
          <w:sz w:val="18"/>
          <w:szCs w:val="18"/>
          <w:b w:val="1"/>
          <w:bCs w:val="1"/>
          <w:color w:val="auto"/>
        </w:rPr>
        <w:t>Arya III and Nautilus urge their investors, shareholders and other interested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to read, when available, the preliminary proxy statement/ prospectus as well as other documents filed with the SEC because these documents will contain important information about Arya III, Nautilus Biotechnology and the transaction. </w:t>
      </w:r>
      <w:r>
        <w:rPr>
          <w:rFonts w:ascii="Times New Roman" w:cs="Times New Roman" w:eastAsia="Times New Roman" w:hAnsi="Times New Roman"/>
          <w:sz w:val="18"/>
          <w:szCs w:val="18"/>
          <w:color w:val="auto"/>
        </w:rPr>
        <w:t>After the registration statement is declared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proxy statement/prospectus to be included in the registration statement will be mailed to shareholders of Arya III as of a record date to be established for voting on the proposed business combination. Once available, shareholders of Arya III will also be able to obtain a copy of the S-4, including the proxy statement/prospectus, and other documents filed with the SEC without charge, by directing a request to: ARYA Sciences Acquisition Corp III, 51 Astor Place, 10th Floor, New York, New York 10003, Attn: Secretary. The preliminary and definitive proxy statement/prospectus to be included in the registration statement, once available, can also be obtained, without charge, at the SEC’s website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7157085" cy="13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20281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085" cy="2028190"/>
                    </a:xfrm>
                    <a:prstGeom prst="rect">
                      <a:avLst/>
                    </a:prstGeom>
                    <a:noFill/>
                  </pic:spPr>
                </pic:pic>
              </a:graphicData>
            </a:graphic>
          </wp:anchor>
        </w:drawing>
      </w:r>
    </w:p>
    <w:p>
      <w:pPr>
        <w:spacing w:after="0" w:line="248" w:lineRule="auto"/>
        <w:rPr>
          <w:sz w:val="20"/>
          <w:szCs w:val="20"/>
          <w:color w:val="auto"/>
        </w:rPr>
      </w:pPr>
      <w:r>
        <w:rPr>
          <w:rFonts w:ascii="Times New Roman" w:cs="Times New Roman" w:eastAsia="Times New Roman" w:hAnsi="Times New Roman"/>
          <w:sz w:val="17"/>
          <w:szCs w:val="17"/>
          <w:color w:val="auto"/>
        </w:rPr>
        <w:t>Arya III and Nautilus Biotechnology and their respective directors and executive officers may be considered participants in the solicitation of proxies with respect to the potential transaction described in this press release under the rules of the SEC. Information about the directors and executive officers of Arya III 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transaction will be set forth in the registration statement containing the preliminary proxy statement/prospectus when it is filed with the SEC. These documents can be obtained free of charge from the sources indicated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1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4" w:right="3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38036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085" cy="3803650"/>
                    </a:xfrm>
                    <a:prstGeom prst="rect">
                      <a:avLst/>
                    </a:prstGeom>
                    <a:noFill/>
                  </pic:spPr>
                </pic:pic>
              </a:graphicData>
            </a:graphic>
          </wp:anchor>
        </w:drawing>
      </w:r>
    </w:p>
    <w:p>
      <w:pPr>
        <w:spacing w:after="0" w:line="245" w:lineRule="auto"/>
        <w:rPr>
          <w:sz w:val="20"/>
          <w:szCs w:val="20"/>
          <w:color w:val="auto"/>
        </w:rPr>
      </w:pPr>
      <w:r>
        <w:rPr>
          <w:rFonts w:ascii="Times New Roman" w:cs="Times New Roman" w:eastAsia="Times New Roman" w:hAnsi="Times New Roman"/>
          <w:sz w:val="17"/>
          <w:szCs w:val="17"/>
          <w:i w:val="1"/>
          <w:iCs w:val="1"/>
          <w:color w:val="auto"/>
          <w:highlight w:val="white"/>
        </w:rPr>
        <w:t>This press release contains forward-looking statements within the meaning of Section 27A of the Securities Act and Section 21E of the Securities Exchange Act of 1934, as amended,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including the timing and structure of the transaction, the proceeds of the transaction, the initial market capitalization of the Combined Company, the benefits of the transaction and the Combined Company’s future financial performance, as well as statements about the potential attributes and benefits of Nautilus Biotechnology’s proteomics platform, the potential market opportunity, and the development and performance of Nautilus Biotechnology’s platform. We cannot assure you that the forward-looking statements in this press release will prove to be accurate. These forward looking statements are subject to a number of risks and uncertainties, including, among others, the ability to complete the business combination due to the failure to obtain approval from Arya III’s shareholders or satisfy other closing conditions in the business combination agreement, the occurrence of any event or other circumstances that could give rise to the termination of the business combination agreement, the outcome of any legal proceedings that may be instituted against Nautilus Biotechnology or Arya III following announcement of the transactions, the risk that the proposed business combination disrupts Nautilus Biotechnology’s or Arya III’s current plans and operations as a result of the announcement of the transactions, the ability to recognize the anticipated benefits of the business combination, costs related to the business combination, the amount of redemption requests made by Arya III’s stockholders, changes in applicable laws or regulations, the possibility that the expected timeframe for, and other expectations regarding the development and performance of, Nautilus Biotechnology’s proteomic platform will differ from current assumptions, and other risks and uncertainties, including those to be included under the header “Risk Factors” in the registration statement on Form S-4 to be filed by Arya III with the SEC and those included under the header “Risk Factors” in the final prospectus of Arya III related to its initial public offering.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Except as otherwise required by applicable law, Nautilus Biotechnology and Arya</w:t>
      </w:r>
    </w:p>
    <w:p>
      <w:pPr>
        <w:spacing w:after="0" w:line="3" w:lineRule="exact"/>
        <w:rPr>
          <w:sz w:val="20"/>
          <w:szCs w:val="20"/>
          <w:color w:val="auto"/>
        </w:rPr>
      </w:pPr>
    </w:p>
    <w:p>
      <w:pPr>
        <w:ind w:right="80" w:firstLine="9"/>
        <w:spacing w:after="0" w:line="238" w:lineRule="auto"/>
        <w:tabs>
          <w:tab w:leader="none" w:pos="222" w:val="left"/>
        </w:tabs>
        <w:numPr>
          <w:ilvl w:val="0"/>
          <w:numId w:val="317"/>
        </w:numPr>
        <w:rPr>
          <w:rFonts w:ascii="Times New Roman" w:cs="Times New Roman" w:eastAsia="Times New Roman" w:hAnsi="Times New Roman"/>
          <w:sz w:val="18"/>
          <w:szCs w:val="18"/>
          <w:i w:val="1"/>
          <w:iCs w:val="1"/>
          <w:color w:val="auto"/>
          <w:highlight w:val="white"/>
        </w:rPr>
      </w:pPr>
      <w:r>
        <w:rPr>
          <w:rFonts w:ascii="Times New Roman" w:cs="Times New Roman" w:eastAsia="Times New Roman" w:hAnsi="Times New Roman"/>
          <w:sz w:val="18"/>
          <w:szCs w:val="18"/>
          <w:i w:val="1"/>
          <w:iCs w:val="1"/>
          <w:color w:val="auto"/>
          <w:highlight w:val="white"/>
        </w:rPr>
        <w:t>disclaim any duty to update any forward-looking statements. You should, therefore, not rely on these forward-looking statements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19723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085" cy="197231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Arya III: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Altman</w:t>
      </w:r>
    </w:p>
    <w:p>
      <w:pPr>
        <w:spacing w:after="0"/>
        <w:rPr>
          <w:sz w:val="20"/>
          <w:szCs w:val="20"/>
          <w:color w:val="auto"/>
        </w:rPr>
      </w:pPr>
      <w:r>
        <w:rPr>
          <w:rFonts w:ascii="Times New Roman" w:cs="Times New Roman" w:eastAsia="Times New Roman" w:hAnsi="Times New Roman"/>
          <w:sz w:val="17"/>
          <w:szCs w:val="17"/>
          <w:color w:val="auto"/>
        </w:rPr>
        <w:t>Chief Financial Officer of ARYA Sciences Acquisition Corp 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Arya3@perceptivelife.com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Biotechnology Investor: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Biotechnology Media: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Blessington</w:t>
      </w:r>
    </w:p>
    <w:p>
      <w:pPr>
        <w:spacing w:after="0" w:line="231" w:lineRule="auto"/>
        <w:rPr>
          <w:sz w:val="20"/>
          <w:szCs w:val="20"/>
          <w:color w:val="auto"/>
        </w:rPr>
      </w:pPr>
      <w:r>
        <w:rPr>
          <w:rFonts w:ascii="Times New Roman" w:cs="Times New Roman" w:eastAsia="Times New Roman" w:hAnsi="Times New Roman"/>
          <w:sz w:val="18"/>
          <w:szCs w:val="18"/>
          <w:color w:val="auto"/>
        </w:rPr>
        <w:t>Vice President, Corporate Marketing and Communications</w:t>
      </w:r>
    </w:p>
    <w:p>
      <w:pPr>
        <w:spacing w:after="0"/>
        <w:rPr>
          <w:sz w:val="20"/>
          <w:szCs w:val="20"/>
          <w:color w:val="auto"/>
        </w:rPr>
      </w:pPr>
      <w:r>
        <w:rPr>
          <w:rFonts w:ascii="Times New Roman" w:cs="Times New Roman" w:eastAsia="Times New Roman" w:hAnsi="Times New Roman"/>
          <w:sz w:val="18"/>
          <w:szCs w:val="18"/>
          <w:color w:val="auto"/>
        </w:rPr>
        <w:t>chrisb@nautilus.bio</w:t>
      </w:r>
    </w:p>
    <w:p>
      <w:pPr>
        <w:sectPr>
          <w:pgSz w:w="11900" w:h="16838" w:orient="portrait"/>
          <w:cols w:equalWidth="0" w:num="1">
            <w:col w:w="10159"/>
          </w:cols>
          <w:pgMar w:left="300" w:top="114" w:right="1440" w:bottom="1440" w:gutter="0" w:footer="0" w:header="0"/>
        </w:sectPr>
      </w:pPr>
    </w:p>
    <w:bookmarkStart w:id="342" w:name="page343"/>
    <w:bookmarkEnd w:id="342"/>
    <w:p>
      <w:pPr>
        <w:ind w:left="9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18415</wp:posOffset>
            </wp:positionV>
            <wp:extent cx="7207885" cy="42970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48" w:right="319" w:bottom="1440"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24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7885"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040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7885" cy="430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954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7885" cy="4395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Presentation Transcript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Blessington:</w:t>
      </w:r>
    </w:p>
    <w:p>
      <w:pPr>
        <w:spacing w:after="0" w:line="19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Thank you for joining our call today. In this call we’ll be discussing information contained in our press release issued today and available at www.nautilus.bio. Before we discuss what we believe is a very exciting announcement and a significant milestone for both Nautilus Biotechnology and Arya III, I will make some important disclaimers. Please note that today’s presentation is neither an offering of securities nor a solicitation of a proxy vote. The information discussed today is qualified in its entirety by the registration statement on Form S-4, containing a prospectus/proxy statement, that Arya III and Nautilus will file with the SEC in the future. The shareholders of Arya III are urged to read those filings carefully when they become available because they will contain important information about the proposed transaction. Additionally, during the presentation we will make certain forward-looking statements that reflect our current views related to our future financial performance, future events, and industry and market conditions, as well as forward-looking statements related to the business combination, including the timing, proceeds and benefits of the transaction, as well as statements about the potential attributes and benefits of Nautilus’ technology and timing of Nautilus’ milestones.</w:t>
      </w:r>
    </w:p>
    <w:p>
      <w:pPr>
        <w:spacing w:after="0" w:line="173"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These forward-looking statements are subject to risks and uncertainties that could cause actual results to differ materially from such forward-looking statements. We strongly encourage you to review the information that Arya III files with the SEC regarding specific risks and uncertainties - in particular, those that are described in the risk factors section of Arya III’s most recent 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I’ll turn the call over to Adam Stone.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 Stone:</w:t>
      </w:r>
    </w:p>
    <w:p>
      <w:pPr>
        <w:spacing w:after="0" w:line="19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Good morning everyone, and thanks for joining. When Arya III was formed, our objective was to identify a company with the potential to successfully address a significant, unmet need in biomedical science. In Nautilus, we are combining with a company we believe has the potential to transform the field of proteomics, unlocking access to the proteome and enabling fundamental advancements in biology, human health, and medicine. Over the course of our diligence, we've come to believe that the company’s innovative science, thoughtful commercialization strategy, and experienced leadership team make it an exceptional fit to meet our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pleased to be on this journey with you and your team, Sujal…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5"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8"/>
          <w:szCs w:val="18"/>
          <w:color w:val="auto"/>
        </w:rPr>
        <w:t>Thanks Adam, and hello everyone. I'm Sujal Patel, co-founder and CEO of Nautilus Biotechnology. We are really pleased to continue our work with the great team at Perceptive including Joe, Mike, Konstantin, and, of course, Adam. Our long-standing relationship with Perceptive, combined with a strong syndicate of other investors, make us confident that this transaction aligns well with our goals of unlocking what we believe to be a significant opportunity in biological science, and creating long-term shareholder value.</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And with that, I’m excited to introduce everyone to Nautilus Biotechnology. Here with me today are Parag Mallick, our co-founder and chief scientist, and the man behind the idea that has become Nautilus, and Anna Mowry, our company CFO. I'm going to start by telling you a little bit about the background of how Nautilus got started, as well as telling you a bit about my background.</w:t>
      </w:r>
    </w:p>
    <w:p>
      <w:pPr>
        <w:spacing w:after="0" w:line="16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 spent the first 20 years of my career purely in the tech world and I'm a tech entrepreneur who started a company in January 2001 called Isilon, and I led that company as CEO through commercialization and an initial public offering in 2006, and ultimately a sale to EMC in 2010 for $2.6B. I was at that company with Anna Mowry, who’s our Nautilus CFO, and together, the two of us built a commercial engine from pre-revenue all the way through $100M a quarter and a positive 20% operating margin before we sold it to EMC, and then both of us stayed onboard to grow it through a $1B run rate, and beyond in Anna’s case.</w:t>
      </w:r>
    </w:p>
    <w:p>
      <w:pPr>
        <w:spacing w:after="0" w:line="15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My previous company, Isilon, was focused on building data storage solutions for the new world – unstructured data, and 20 years ago, the world was in transition from text-based information to video, images, graphics, and machine generated data. That's where I met Parag, my co-founder here at Nautilus. 15 years ago, I met Parag while he was running clinical proteomics, the study of proteins, at Cedars Sinai Medical Center. Parag become a large customer of mine and I built a close relationship with Parag that parlayed itself into Parag calling me about 10 years ago and telling me about the lab he was building at Stanford, sitting at the intersection of computing and biochemistry. My wife and I were so excited about Parag’s work that we’ve been philanthropically supporting the Stanford lab for the last decade continuously, and that built a really close relationship with Parag and I, and in 2016, Parag called me up one day and he said, “I have to start a company because you know I've struggled with proteomics my whole career and I've come up with a new method”, and that's the method that we're going to tell you about here, and that's the method that Nautilus Biotechnology is commercializing.</w:t>
      </w:r>
    </w:p>
    <w:p>
      <w:pPr>
        <w:spacing w:after="0" w:line="169"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Please note the company’s disclaimer referencing our forward-looking statements and the fact that this communication and this presentation is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89" w:name="page390"/>
    <w:bookmarkEnd w:id="389"/>
    <w:p>
      <w:pPr>
        <w:ind w:right="180"/>
        <w:spacing w:after="0"/>
        <w:rPr>
          <w:sz w:val="20"/>
          <w:szCs w:val="20"/>
          <w:color w:val="auto"/>
        </w:rPr>
      </w:pPr>
      <w:r>
        <w:rPr>
          <w:rFonts w:ascii="Times New Roman" w:cs="Times New Roman" w:eastAsia="Times New Roman" w:hAnsi="Times New Roman"/>
          <w:sz w:val="18"/>
          <w:szCs w:val="18"/>
          <w:color w:val="auto"/>
        </w:rPr>
        <w:t>We believe that our company has the potential to revolutionize biomedicine. The proteome, the make-up of all the proteins in the human, is among the most dynamic and valuable sources of biological insight. Unlike the genome, which is pretty much static from the day you were born to the day you die, the proteome is dynamic; it's different in a cardiac cell than it is in a liver cell. The proteome is different in healthy cells and sick cells, and this has big implications across healthcare.</w:t>
      </w:r>
    </w:p>
    <w:p>
      <w:pPr>
        <w:spacing w:after="0" w:line="1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90% of our FDA-approved drugs target a protein. Most of our molecular diagnostics target proteins and in order to develop these drugs and diagnostics, over $25B a year is spent on technology that profiles proteins. And even with that level of investment, our ability to measure proteins today is awful. The coverage, meaning the number of proteins that you can detect in a given sample like blood, is very low. Ease of use is not where it should be, and certain platforms have challenging performance, dynamic range and high cost. A recent article highlighted that therapeutic development over the last decade has been in a steep productivity decline. Today, of the drugs that reach the milestone of FDA approval, only two in 10 will ever return the R&amp;D dollars that went into creating them, and that's because at this point, biopharma has picked off many of the easy drugs that are available to treat common ailments, and what's left is a difficult task that proteomics can help us with. We believe that humanity needs, and frankly deserves, a dramatic acceleration in drug development, and we think a scientific leap is needed to usher in this new world of precision and personalized medicine. To deliver, we believe we need to radically reinvent proteomics, and we believe that this is one of the last, untapped opportunities in biological science today.</w:t>
      </w:r>
    </w:p>
    <w:p>
      <w:pPr>
        <w:spacing w:after="0" w:line="17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Nautilus’ vision is to build a complete end-to-end platform comprised of instrumentation, reagents and software which takes a sample in and returns unique biological data and insight out. To accomplish this, we've designed a single molecule analysis platform of extreme sensitivity, scale and ease of use. Leveraging the unique architecture, advanced machine learning and algorithms, we believe our platform has the potential to identify substantially all proteins in a sample from almost any organism, of course human being the most important. In short, this is not an incremental or evolutionary instrument, but a complete reimagining, and we believe that this unlocks the $25B market opportunity in proteomics, as well as allows us to expand long term into many adjacent markets. Only a few months out of our stealth mode, in 2020, we quickly captured the attention of many of our future large biopharma customers, and at the end of 2020 we signed our first formal partnership with Genentech in a high impact technology application area. Lastly, we're a founder-led organization with a highly experienced leadership team that we're going to tell you about, but the most important thing is that our leadership team possesses a unique hybrid of tech and biotech experience which we believe is an important source of unique, long-term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90" w:name="page391"/>
    <w:bookmarkEnd w:id="390"/>
    <w:p>
      <w:pPr>
        <w:ind w:right="80"/>
        <w:spacing w:after="0" w:line="235" w:lineRule="auto"/>
        <w:rPr>
          <w:sz w:val="20"/>
          <w:szCs w:val="20"/>
          <w:color w:val="auto"/>
        </w:rPr>
      </w:pPr>
      <w:r>
        <w:rPr>
          <w:rFonts w:ascii="Times New Roman" w:cs="Times New Roman" w:eastAsia="Times New Roman" w:hAnsi="Times New Roman"/>
          <w:sz w:val="18"/>
          <w:szCs w:val="18"/>
          <w:color w:val="auto"/>
        </w:rPr>
        <w:t>When Parag brought the idea behind Nautilus to me in 2016, I first looked at it through the eyes of an investor. At the time, I was investing in private companies, having made about 80 investments, and I asked myself some questions: Why is this idea unique? Why did Parag come up with this idea and not someone else? Why is it timely? I think the answers to these questions are really quite interesting. The core idea behind Nautilus is completely counterintuitive and it requires thinking at the intersection of 3 distinct disciplines that don't often come together: the life sciences, the computer and data sciences, and the physical sciences and engineering. Having sat at the intersection of these disciplines for Parag’s whole career and having academic degrees in both biochemistry and computer science, Parag was uniquely suited to be able to discover our core innovation. It is also timely; the compute power and bandwidth required in the cloud to run our core algorithm really wasn't feasible 5 to 7 years ago. Also, we rely on the maturity in the machine learning world to power our adaptive, decoding algorithm. Nautilus is pursuing the deep, hard science with an entrepreneurial mindset to go and bring this innovation to the world.</w:t>
      </w:r>
    </w:p>
    <w:p>
      <w:pPr>
        <w:spacing w:after="0" w:line="17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Over the last few years, in addition to building a strong management team, we’ve assembled a team of individuals with unique experience across many different disciplines, protein biochemists working with nanofabrication engineers, working side by side software and machine learning engineers and single molecule biophysicists and optical engineers, all working together to bring this innovation to the world. I’m going to introduce Parag Mallick now and let him walk through a little bit about the current proteomics landscape and our design criteria for this product and how it works. Parag.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 Mallick</w:t>
      </w:r>
    </w:p>
    <w:p>
      <w:pPr>
        <w:spacing w:after="0" w:line="1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Well, Sujal already gave you a bit of my background but I'll just briefly introduce myself. I'm Parag Mallick, Nautilus’ scientific co-founder. My training has been at the intersection of computer science, biochemistry and engineering, always with a focus on human health. And my faculty positions, first in Los Angeles and then at Stanford, my lab has been really active in proteomics, in nanotechnology and next generation AI through a variety of NIH and DARPA initiatives and in general what we've tried to do is use a variety of both computational and experimental approaches to bring together diverse measurement modalities with the best analytical tools to accelerate biomarker discovery and precision medicine.</w:t>
      </w:r>
    </w:p>
    <w:p>
      <w:pPr>
        <w:spacing w:after="0" w:line="1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Nautilus grew out of my personal experiences and frustrations in large scale multiomics and systems medicine. In the studies, it was clear how simple and straight forward the genomics pieces have become, and just how infuriating and difficult the proteomics pieces were. I don't want you to stare too closely at the slide; it gets overwhelming pretty quickly, but what is outlined here are the pieces of the canonical mass spectrometry-based proteomics workflow. Broadly speaking, starting with sample collection and extraction and fractionation, moving through digestion, where we take all the proteins and chop them up into fragments and then a series of further sample preparation steps before ultimately putting them into a mass spectrometer and doing data analysis.</w:t>
      </w:r>
    </w:p>
    <w:p>
      <w:pPr>
        <w:spacing w:after="0" w:line="15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Over the past 30 years, there's been a tremendous amount of effort required to analyze a sample, and myself and others have explored a variety of approaches to improve individual pieces of this workflow. But after turning the problem over and over again, I just couldn't ever get to a solution that would bring proteomics into parity with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91" w:name="page392"/>
    <w:bookmarkEnd w:id="391"/>
    <w:p>
      <w:pPr>
        <w:ind w:right="20"/>
        <w:spacing w:after="0" w:line="235" w:lineRule="auto"/>
        <w:rPr>
          <w:sz w:val="20"/>
          <w:szCs w:val="20"/>
          <w:color w:val="auto"/>
        </w:rPr>
      </w:pPr>
      <w:r>
        <w:rPr>
          <w:rFonts w:ascii="Times New Roman" w:cs="Times New Roman" w:eastAsia="Times New Roman" w:hAnsi="Times New Roman"/>
          <w:sz w:val="18"/>
          <w:szCs w:val="18"/>
          <w:color w:val="auto"/>
        </w:rPr>
        <w:t>If we go to the next slide, slide 7. Despite all the effort that has occurred over the past decades, when you pile up those optimizations and ask: what can this mass spec proteomics workflow observe? It's limited. In the plot here, using mass spec, the average lab can only identify about 8% of the proteins present in a blood sample, shown here in red. From a cell or from a tissue sample, it's a bit better at around 30%, but just because you can identify a protein doesn't mean you can quantify it very well. And still, most of that blue proteome ocean isn't accessible. We don't believe anyone has ever measured the entire proteome, and that's only part of the story. There's this whole other dimension of data known as proteoforms that are essentially invisible to existing shotgun proteomics approaches. Proteoforms are alternative versions of the same protein that have different decorations on them that are critical to how the protein functions, defining their activation, how they move throughout the cell, and more. I’m personally really excited by the fact that there is so much of the dark proteome and these millions of invisible proteoforms available, as tapping into them could have tremendous potential as novel drug targets or biomarkers to really help catalyze the future of personalized medicine.</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After years of trying to incrementally fix the mass spec proteomics workflow, it became clear that we had to do something radically different. Turning the problem in my head over and over again, I started with a blank sheet of paper, wrote down what scientists and researchers like me want, and then tried to design something from the ground up to achieve those goals. There were a very clear set of design criteria. Number one was we wanted the whole proteome, we wanted to be able to measure everything, not just 8% of it. It had to be easy to use so that virtually any lab can benefit from using it. Anyone who wants a proteome, gets a proteome, rather than restricting it to a small collection of power user, analytical chemists. Of course, the platform has to be ultra-sensitive. Unlike NGS technologies, where you can leverage natural processes to amplify DNA and RNA, you can't amplify proteins. You have one molecule in a sample? You need to be able to measure one molecule in a sample. If you want to measure the complete proteome of a single cell? You need a method that has the sensitivity to pull that off. Of course, the process has to be reproducible and robust. To have any value, the results you get today must be the same as the results you get tomorrow. It also has to be complete. One of the largest challenges we have with mass spec is that when you run the same sample twice, you might observe different proteins in one run versus another. Critically, it has to be fast. You want to be able to churn through tens of thousands of samples. And importantly, it has to be integrated. You want to go from sample to insight. You want the biologist to be able to put a sample in and get an answer out.</w:t>
      </w:r>
    </w:p>
    <w:p>
      <w:pPr>
        <w:spacing w:after="0" w:line="165" w:lineRule="exact"/>
        <w:rPr>
          <w:sz w:val="20"/>
          <w:szCs w:val="20"/>
          <w:color w:val="auto"/>
        </w:rPr>
      </w:pPr>
    </w:p>
    <w:p>
      <w:pPr>
        <w:jc w:val="both"/>
        <w:ind w:right="500"/>
        <w:spacing w:after="0" w:line="290" w:lineRule="auto"/>
        <w:rPr>
          <w:sz w:val="20"/>
          <w:szCs w:val="20"/>
          <w:color w:val="auto"/>
        </w:rPr>
      </w:pPr>
      <w:r>
        <w:rPr>
          <w:rFonts w:ascii="Times New Roman" w:cs="Times New Roman" w:eastAsia="Times New Roman" w:hAnsi="Times New Roman"/>
          <w:sz w:val="17"/>
          <w:szCs w:val="17"/>
          <w:color w:val="auto"/>
        </w:rPr>
        <w:t>With these objectives as the design criteria, we set out to create a transformational platform which we show here on slide 9. The platform itself has key technical innovations across sample preparation, instrumentation, and machine learning, designed to achieve the system specifications I outlined above.</w:t>
      </w:r>
    </w:p>
    <w:p>
      <w:pPr>
        <w:spacing w:after="0" w:line="12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first innovation was the recognition that we would need a single molecule protein array. This is really hard and upside down of how people typically think of the problem where they immobilized antibodies or aptamers in bulk and tried to capture proteins in solution. In this instance we're going to flip things upside down and put the single protein molecules on a hyperdense array. This allows you to go beyond bulk measurements of proteins, which is how everything is done today and is necessary to achieve the sensitivity and scale we want. Remember, we can't copy proteins like we can DNA and RNA. There's only one molecule: that's what we have to work with. That array has to be hyperdense so we can be really efficient with our measurement and not waste measurement time measuring empty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2" w:name="page393"/>
    <w:bookmarkEnd w:id="392"/>
    <w:p>
      <w:pPr>
        <w:spacing w:after="0" w:line="245" w:lineRule="auto"/>
        <w:rPr>
          <w:sz w:val="20"/>
          <w:szCs w:val="20"/>
          <w:color w:val="auto"/>
        </w:rPr>
      </w:pPr>
      <w:r>
        <w:rPr>
          <w:rFonts w:ascii="Times New Roman" w:cs="Times New Roman" w:eastAsia="Times New Roman" w:hAnsi="Times New Roman"/>
          <w:sz w:val="18"/>
          <w:szCs w:val="18"/>
          <w:color w:val="auto"/>
        </w:rPr>
        <w:t>And that leads to our second major breakthrough, which was the instrument itself. This innovation was in the creation of a stable ultrafast, ultrasensitive, multi-cycle imaging process, which we can use to repetitively probe each individual protein molecule on our array over and over and over again with different binding reagents. Each cycle allows us to get more and more information about each individual molecule.</w:t>
      </w:r>
    </w:p>
    <w:p>
      <w:pPr>
        <w:spacing w:after="0" w:line="16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And the third significant innovation is the integration of a sophisticated machine learning framework within the measurement. Most platforms, if they do use ML, they tack it on at the end when they're comparing their cases in their controls or their responders and their non-responders. We recognized that by bringing ML up in the process, into the measurement itself, it fundamentally changes the landscape of what's possible and potentially unlocks your ability to measure substantially the entire proteome. In the next few slides, I'm going to walk through the pieces of the process in more detail. The IP is quite complex but remember that the ultimate product our customers will see will be a fully integrated sample-in, answer-out approach.</w:t>
      </w:r>
    </w:p>
    <w:p>
      <w:pPr>
        <w:spacing w:after="0" w:line="16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Moving to Slide 10, our sample prep process was designed to support the generation of a single molecule protein array. In prior work, people had attempted to build such things by fabricating substrates with really small landing pads, so that only 1 protein could dock at a given coordinate because the 2 proteins wouldn't be able to fit. But that approach isn't cost effective or robust at scale, so the team came up with a really clever approach. Instead of making the landing pad small, what we're going to do is we're going to make the proteins big. This allows us to fabricate a chip with much larger landing pads, which is easier to make, cheaper and more robust. We make the proteins big by conjugating them to a very special scaffold that we've designed to have exactly 1 protein attachment site. That scaffold is about 300 nanometers in dimension and holds exactly 1 protein. Accordingly, the chip is fabricated with landing pads that are 300 nanometers and hold exactly 1 scaffold. You put together both of those and you have a self-assembling, high density, single molecule array. You can see from the experimental results on the right, after years of development and optimization, we've achieved a method for conjugation that's both rapid and high efficiency. This is critical for giving biologists easy, quick and robust sample handling; a huge contrast to existing approaches.</w:t>
      </w:r>
    </w:p>
    <w:p>
      <w:pPr>
        <w:spacing w:after="0" w:line="17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nano fabricated biochip that we have designed has a few very important features to it. The first is that it is massive; each chip is about the size of an index card and holds 10 billion protein molecules. What you're looking at here on the left is a tiny, tiny, tiny portion of our array. Our actual array has about 10,000 of these squares on it. If you zoom in far enough you can see the individual landing pads holding single protein molecules. You might ask why measuring 10 billion individual molecules is so important, and the answer comes back to our design criteria of sensitivity. In talking to our pharma partners, their high content screening is done in microtitre plates, where it's common to have somewhere between 100 and 1,000 cells per well. And they want to be able to capture down to 1 molecule in those 1,000 cells. In order to measure that, with that sensitivity and dynamic range, you need to measure about 10 billion intact protein molecules. A similar dynamic range problem exists with blood profiling. The experimental results of a titration experiment demonstrate sensitivity is approaching the atomolar range, an amazing dynamic range, allowing us to really ask the critical biological questions we want.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93" w:name="page394"/>
    <w:bookmarkEnd w:id="393"/>
    <w:p>
      <w:pPr>
        <w:ind w:right="100"/>
        <w:spacing w:after="0" w:line="234" w:lineRule="auto"/>
        <w:rPr>
          <w:sz w:val="20"/>
          <w:szCs w:val="20"/>
          <w:color w:val="auto"/>
        </w:rPr>
      </w:pPr>
      <w:r>
        <w:rPr>
          <w:rFonts w:ascii="Times New Roman" w:cs="Times New Roman" w:eastAsia="Times New Roman" w:hAnsi="Times New Roman"/>
          <w:sz w:val="18"/>
          <w:szCs w:val="18"/>
          <w:color w:val="auto"/>
        </w:rPr>
        <w:t>Moving to the next slide, slide 12. Once we have the proteins down on the array, we load the flow cells into the measurement instrument to characterize each individual molecule. Typically, one might attempt to identify each protein using highly targeted and specific antibodies, but that would be slow and depends on having great affinity reagents for every protein in the proteome, which is likely interactable. So, we do something different. People often complain that their antibodies aren't specific enough; they cross-react. We're going to take advantage of that concept and take it to extremes, intentionally generating a special class of proprietary probes that are highly, highly cross-reactive. Such probes that recognize very short peptide epitopes, we call these multi-affinity probes. To your typical analytical chemist, this kind of reagent might be considered crazy talk, but it's a key part of our approach. We introduce each probe into the flow cell, rinse out the unbound fraction, image, and then wipe them all away and do this again, over, and over, and over again. Each of these probes, binds to a multiplicity of proteins. While each probe on its own is not specific to any particular protein, each probing gives us a little nugget of information. The counterintuitive, but important observation is that with the right machine learning framework, we believe it's possible to take all those tiny little nuggets of information and decode substantially the entire proteome. The instrument itself is designed to be fast, allowing us to perform hundreds of cycles within about a day. In addition, we intend to offer 6-sample multiplexing initially, with more multiplexing coming in the future to further enable high throughput application. This is also very important because multiplexing is a great way to drive the cost per sample down, while maintaining a dynamic range that is far greater than other approaches.</w:t>
      </w:r>
    </w:p>
    <w:p>
      <w:pPr>
        <w:spacing w:after="0" w:line="1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Once we’ve iteratively imaged the flow cells, we take that gargantuan amount of protein characterization digital information, about 20TB, and process it down to a simple binary binding matrix that simply says that a given probe bound or didn't bind to each coordinate. So, for example, here we look at coordinate to 2, 1, this would say that we had no binding from probe 1, but we did have binding from probes 2 and 3 and maybe ultimately 83 and 95 and on and on. We take this data and push it up into the cloud for decoding. This cloud ecosystem also allows us to provide a great experience for customers, allowing us to get to that sample-in, insight-out paradigm that is so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4" w:name="page395"/>
    <w:bookmarkEnd w:id="394"/>
    <w:p>
      <w:pPr>
        <w:spacing w:after="0" w:line="234" w:lineRule="auto"/>
        <w:rPr>
          <w:sz w:val="20"/>
          <w:szCs w:val="20"/>
          <w:color w:val="auto"/>
        </w:rPr>
      </w:pPr>
      <w:r>
        <w:rPr>
          <w:rFonts w:ascii="Times New Roman" w:cs="Times New Roman" w:eastAsia="Times New Roman" w:hAnsi="Times New Roman"/>
          <w:sz w:val="18"/>
          <w:szCs w:val="18"/>
          <w:color w:val="auto"/>
        </w:rPr>
        <w:t>In the cloud, the machine learning now takes in all of that information and converts it to protein identities, asking the question, ‘given this pattern of finding, what protein is compatible’? For instance, if we look at coordinate 2, 1 again, we might take that pattern of 2, 3, 85, 92 and then say okay, given this set of probe landings, which protein could this be? Now, it's important to recognize that while it's tempting to say that there's a signature so that every time I see cMET, I'm going to see probes 2, 3, 85 and 92 landing, but that's simply not the case. There's so much stochasticity in the system, as a single molecule platform, that we really need to ask the question, is this pattern of probe bindings compatible? And that's part of the machine learning architecture that we've built over the past 4 years, asking those kinds of questions in a sophisticated manner. Once we've identified virtually every protein on the array at their individual coordinates, we accomplish our quantitation by simply counting. As a single molecule platform, it is designed to be definitionally among the most sensitive you can get. It is also designed to be definitionally among the most accurate you can get. It also provides an absolute quantitation read out. A critical and important aspect of the platform is that the machine learning is on the inside and then it learns from every experiment. So, there may be a spot that in some experiment today, the machine learning says, “well, I'm not really totally sure what this is. I've only got about 80% confidence.” But after many, many, more years of experiments and getting smarter and learning the details of how these probes bind, we might be able to go back and say, “You know what? Actually, we figured it out, we now know that this protein is BRAF.” That stickiness, that iterative learning, the fact that the platform gets smarter over time is a really important attribute of our platform.</w:t>
      </w:r>
    </w:p>
    <w:p>
      <w:pPr>
        <w:spacing w:after="0" w:line="1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What we've been designing over the past 4 years is a technology that could do both the discovery science and the clinical science required to take that discovery into health care practice. And to really understand how stable this process was to make sure it was highly robust, we had to test the durability of proteins on our array and our ability to detect them over time. And as you can see on the left, over many, many, many cycles, the protein loss is very, is incredibly minimal: less than 1%. And on the right, the proteins after probing, and re-probing, and re-probing, they continue to be re-probable over, and over, and over again.</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this slide we're going to go under the hood of the machine learning to understand: How does it figure out what protein is on a particular landing pad? And what you can see on the graph on the left, is that over time as a particular landing pad is getting more and more touches, from more and more landings from probes, initially the algorithm can't quite figure out which protein it is. But after about 12 or 15 touches, it starts to lock in on the right answer this GRK6 protein. And from that point onward it just gets increasingly confident, as all those little pieces of nuggets of information start to build up. To the point that GRK6 is the only possible answer, it's incredibly confident and every other protein is exceedingly improbable.</w:t>
      </w:r>
    </w:p>
    <w:p>
      <w:pPr>
        <w:spacing w:after="0" w:line="16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One key question you might ask is, how many cycles and probes are required to decode the whole human proteome? Based on our internal test the answer is surprisingly low. In about 200 to 300 cycles, you're able to decode the vast majority of the proteome. We believe this method and our analysis approach represent a quantum leap forward in studying the proteome. It's just so exciting.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95" w:name="page396"/>
    <w:bookmarkEnd w:id="395"/>
    <w:p>
      <w:pPr>
        <w:ind w:right="140"/>
        <w:spacing w:after="0" w:line="237" w:lineRule="auto"/>
        <w:rPr>
          <w:sz w:val="20"/>
          <w:szCs w:val="20"/>
          <w:color w:val="auto"/>
        </w:rPr>
      </w:pPr>
      <w:r>
        <w:rPr>
          <w:rFonts w:ascii="Times New Roman" w:cs="Times New Roman" w:eastAsia="Times New Roman" w:hAnsi="Times New Roman"/>
          <w:sz w:val="18"/>
          <w:szCs w:val="18"/>
          <w:color w:val="auto"/>
        </w:rPr>
        <w:t>Beyond broad scale profiling, our platform also unlocks a tremendously exciting opportunity to measure proteoforms. For those who aren't familiar, each protein exists in potentially hundreds or thousands of different forms with different patterns of modifications on them. So, you can see some of these modifications in the center panel here; methylation, acetylation, phosphorylation. These modifications govern the protein's function, its activity, its location and are compounded. So, on the right, you can see multiple forms of the same protein that are decorated in different ways. It's believed that there are potentially millions of different proteoforms in the world. And the pattern of these modifications is biologically critical in defining drug function, in defining potential biomarkers and more.</w:t>
      </w:r>
    </w:p>
    <w:p>
      <w:pPr>
        <w:spacing w:after="0" w:line="17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Historically, peptide-centric proteomics methods are unable to differentiate mixtures of proteoforms. What we can see on the left, is we have a mixture where we have one protein that has three modifications on it at different locations. And then two molecules that are unmodified at all. On the right, we have three different molecules each of which is modified in a different location. These are clearly distinct from a biological function perspective, their molecular heterogeneity is very distinct and yet, to existing peptide-centric platforms, one could not differentiate these 2 samples at all. They look identical, because you take the proteins, you break them up into little pieces and the context that helps you understand the difference between having one modification on each individual molecule versus three modifications on a single molecule is lost.</w:t>
      </w:r>
    </w:p>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Moving to slide 20. In our platform, because we study the proteins intact our approach is designed to be able to preserve that context to truly measure the proteoforms. The way it works is we come in with an existing reagent, a commercially available reagent perhaps, that allows us to first identify a given protein on the surface. So, for instance EGFR, and, say, here on our array are where all the EGFRs are. We next come in with a position-specific reagent that allows us to interrogate. For instance, threonine at position 678, wipe it off and come in with a third reagent and then a fourth one and a fifth one. And you can see that very quickly, this allows us to elucidate the molecular heterogeneity of these diverse proteoforms. In five cycles, looking at 32 distinct proteoforms, which should be completely invisible to any other platform. On the right, you see a demonstration of this where we looked at samples that were dominated by either one proteoform or another or a mix, and being able to quantitatively resolve samples that would have looked identical to any other method, it is incredibly thrilling.</w:t>
      </w:r>
    </w:p>
    <w:p>
      <w:pPr>
        <w:spacing w:after="0" w:line="1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Moving to slide 21, one very important aspect of our technology is that it’s highly open and customizable with compatibility to a wide variety of binary agents. This lets us tune the system to be very good at asking different types of questions based on the profile of binding reagents we introduced. As an example, on the left we have an entire process developed in house for creating these multi-affinity probe reagents. These aptamers and mini-protein binders let us probe broadly to study substantially the entire proteome. On the right we've tested targeted reagents from partners and vendors with high affinity to specific proteins and proteoforms. On our platform these reagents provide a detailed view of the proteome form landscape and the molecular heterogeneity of individual proteins and pathways. Additionally, with a simple labeling kit our platform is designed to be able to access virtually any reagent in the library of biologicals that have been created by biopharma, or academia, or commercial antibody manufacturers today. This is an incredibly powerful aspect of our technology which makes it customizable for the community to ask the questions that they want to ask. Now I'm going to turn the conversation back over to Sujal.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Thank you, Parag. We're going to turn our attention now to talking about the market opportunity, talking about our commercial strategy, and then I'll wrap up with the team and a little bit about our first partner collaboration. The global proteomics market is a very large, immediate opportunity for Nautilus. The market is sized at about $25B and it's growing at a 12% compound annual growth rate. This market includes the sales of mass spectrometry instruments and reagents, it includes assays, it includes, micro-arrays and it’s about 50% biopharma, 30% applied markets like agriculture, industrial science and environmental and 20% academic and research. While that market opportunity is an immediate focus area for us and really exciting, we think what's more exciting is that we believe that long term, there's a transformation of healthcare that is enabled by proteomics and there's huge high value applications in precision and personalized medicine, in drug discovery and in diagnostics that are unlocked by broad proteomic profiling. The clinical diagnostic opportunity alone by itself is interesting just in this first phase where we're partnering with biomarker discovery companies in building new diagnostics and better diagnostics, but in the long run we believe that our platform could be used in the clinical setting as a molecular diagnostic as well.</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Let's talk about some of the potential markets and applications for this technology. When Parag and I got this company off the ground, I was really fortunate. My co-founder Parag is a KOL of the proteomic space and he already knew the five or six key application areas where our technology would have the potential to be transformative. But very early on in our company's life, we had over 100 conversations with biopharma companies, with academic and research organizations, and the feedback was a bit surprising. What we learned was that there is a much wider range of potential applications for our future customers and they were keenly interested in what we were doing. Some customers wanted to do longitudinal monitoring of proteome dynamics for therapeutic response monitoring, some of our customers were interested in profiling exosomes. Some were interested in the proteoform composition and landscape. Some were interested in drug repurpose and rescue and a big, broad swath of our customers were focused on translational research. These translation research customers are focused on building drugs, they spend in aggregate over $200B a year and some key themes have emerged. Biomarker and drug target discovery is a major area of pain because of existing proteomics solutions. Mechanism impaction studies, trying to understand how a target compound interacts with different cell lines and trying to pick between 5,6,7 different compounds which one might be right, is another area where proteomics can have a substantial benefit. And last, in toxicity profiling and prediction there's a real need for full proteomic profiling to figure out where cross reactivity from particular compounds exist so that it could be either mitigated or understood better, making the drug development process more effective and less time consuming.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97" w:name="page398"/>
    <w:bookmarkEnd w:id="397"/>
    <w:p>
      <w:pPr>
        <w:spacing w:after="0" w:line="234" w:lineRule="auto"/>
        <w:rPr>
          <w:sz w:val="20"/>
          <w:szCs w:val="20"/>
          <w:color w:val="auto"/>
        </w:rPr>
      </w:pPr>
      <w:r>
        <w:rPr>
          <w:rFonts w:ascii="Times New Roman" w:cs="Times New Roman" w:eastAsia="Times New Roman" w:hAnsi="Times New Roman"/>
          <w:sz w:val="18"/>
          <w:szCs w:val="18"/>
          <w:color w:val="auto"/>
        </w:rPr>
        <w:t>On this slide you see a number of significant milestones that Nautilus has up to comprehensive proteomic profiling, and then through comprehensive proteomic profiling. At the end of 2020 and through 2021 we have been and will continue to work with pharma partners, leveraging the single molecule hyperdense array that we've demonstrated, and being able to run multiple reagents through that array in multiple cycles each time putting data together in a way that returns unique biological insight to our customers. In 2022 and up through the middle of 2023 we will move through a number of milestones related to broad proteomic profiling. We'll move through the milestone of being able to get through 2,500 proteins per run, 10,000 proteins per run, and by run I mean in a single sample identified. And then by mid-2023, comprehensive proteomic profiling. In these first 4 phases and milestones we're really focused on a model where the customer can send us the sample, we can analyze it in our facility on our prototype equipment with our own staff and return data for the customer in the cloud. At the end of 2023, we anticipate launching an instrument and from that point forward the predominant business model we expect is selling instruments, consumables and software. This is the point where the significant revenue ramp is really expected to begin for our company. Customers will be installing this instrument in their labs. They’ll be buying consumables from us. They’ll be leveraging it for all of their life sciences experiments in drug discovery, translational research, diagnostic and other applications. And we believe from this point forward our revenue ramp has the potential to look pretty similar to that of other disruptive life sciences instrumentation companies, many of which you're familiar with. For example, the Illumina NGS ramp post the acquisition of Solexa. And of course, from late 2023 on, this is really a business model where the customers are largely generating data from instruments that are in their own facilities.</w:t>
      </w:r>
    </w:p>
    <w:p>
      <w:pPr>
        <w:spacing w:after="0" w:line="16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milestones that I just described to you map to a 3-phase commercial strategy, and we're in phase 1 right now. In phase 1, we're focused on partnerships and collaborations that are getting key KOLs in the proteomics industry familiar with our platform; we're starting to validate the reproducibility of it, and we're working with pharmaceutical companies to get endorsement of our platform's capabilities prior to the stages 2 and 3 that we’ve outlined here. The primary goal of these engagements is to jointly publish data and to start showing what our platform is capable of doing. In phase 1 we also see a unique opportunity in that some of these partnerships are really close to a development type of opportunity and may yield high potential discovery and IP licensing opportunities as well. In phase 2 of our commercial strategy we launch what’s called our early access program. While we do that we scale up our in house data production capability to be able to support a wider range of customers who are looking to get familiar with our platform’s performance, they’re getting familiar with how to manage the data coming out of our platform and the tools that are required to analyze it, and in this phase our goal is really not just to scale up but to also start building the early pipelines for instrument sales, and in actuality starting preorders of the instrument is a key goal for us in this early access program. As the early access program progresses and we're getting closer and closer to our platform launch, many of these engagements will really look like paid proof of concept studies where a customer is paying us to analyze some samples, they're getting value from the data, and that leads to a signed pre order for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8" w:name="page399"/>
    <w:bookmarkEnd w:id="398"/>
    <w:p>
      <w:pPr>
        <w:ind w:right="40"/>
        <w:spacing w:after="0" w:line="238" w:lineRule="auto"/>
        <w:rPr>
          <w:sz w:val="20"/>
          <w:szCs w:val="20"/>
          <w:color w:val="auto"/>
        </w:rPr>
      </w:pPr>
      <w:r>
        <w:rPr>
          <w:rFonts w:ascii="Times New Roman" w:cs="Times New Roman" w:eastAsia="Times New Roman" w:hAnsi="Times New Roman"/>
          <w:sz w:val="18"/>
          <w:szCs w:val="18"/>
          <w:color w:val="auto"/>
        </w:rPr>
        <w:t>In phase 3 of this commercial strategy we largely are moving to that instrument, consumables and software model. In North America, we’ll largely go to market with a direct sales force, and in international geographies we’ll use distribution channels, a very common model in life sciences, Dx and tools, and a model that is very similar to the enterprise sales motion that my CFO Anna and I worked on in our last company from $0 of revenue through $100M a quarter as a public company. Once we're in this stage, we have already thought through a multi-year roadmap of product innovation and really view this as the significant inflection point in our top line.</w:t>
      </w:r>
    </w:p>
    <w:p>
      <w:pPr>
        <w:spacing w:after="0" w:line="17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One of the other keys to our commercial strategy is this land and expand sales model that you see on the slide. And this model is true in all 3 phases of our commercial strategy. Our goal is, just like working with our first pharma partner, to establish an initial beachhead in an account. Focus on one research group, one therapeutic area, one application. And from there we want to show value to the customer, we want to demonstrate the reproducibility of our results, we want to grow into other research groups, other therapeutic areas, perhaps even other geographies within that one account. From there we expect that we’ll grow their workflows. Not just doing target discovery but maybe doing target discovery and mechanism of action. Maybe from there we're going to toxicity. We grow our capacity by having a world where we’re adding value to our customer, they want to run more samples through the system per experiment, and whereby more reagents and more capacity is being utilized and that leads to more product sales. And this is really a way to build a high lifetime value in a single account. And the thing that really is great about that is it leads to a very efficient sales model. On the right you see our target customers we've talked about bio pharma and academic and research quite a bit, but we also see significant opportunity to work with large scale multiomics core laboratories and CROs, and we see diagnostic service partnerships as another key area, and these are the five that really round out the initial customers that we see over the course of the next 3 to 5 years.</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So, what you see here on this slide is how the milestones that I laid out just a couple of minutes ago map to the 3 phases of the commercial strategy that I outlined. You see that early collaborations and partnerships is the first section here. We're focused on working with pharma and biotech as well as influential academic sites and our goal here is to create foundational publications to demonstrate utility and value to build confidence around our solution, and our goal here is really to validate the technology. Because we will be introducing new capabilities for many, many years to come, you see that this phase will probably continue indefinitely. Starting in the middle to late 2022 time period we’ll begin that early access period that I talked about. Here, in addition to working with biopharma and academic customers, we’ll also add advanced proteomic laboratories. And our goal here, as I mentioned earlier, is to seed the market for instrument pre-sales by expanding the applications we focus on, by showing value and utility, and really the goal here is to start to build that customer pipeline for our instrument launch, which comes at the end of 2023. And then, lastly, at the end of 2023, with this instrument launch, this is where we really set ourselves up to have a diversified customer base. This launch catalyzes our business growth because the instrument sale in total is about $1M and $1M sales average selling price, you're able to grow the topline very quickly with putting instruments out into the marketplace, and then of course there's the recurring revenues from consumables sales and software that comes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7157085" cy="139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9" w:name="page400"/>
    <w:bookmarkEnd w:id="399"/>
    <w:p>
      <w:pPr>
        <w:ind w:right="80"/>
        <w:spacing w:after="0" w:line="245" w:lineRule="auto"/>
        <w:rPr>
          <w:sz w:val="20"/>
          <w:szCs w:val="20"/>
          <w:color w:val="auto"/>
        </w:rPr>
      </w:pPr>
      <w:r>
        <w:rPr>
          <w:rFonts w:ascii="Times New Roman" w:cs="Times New Roman" w:eastAsia="Times New Roman" w:hAnsi="Times New Roman"/>
          <w:sz w:val="18"/>
          <w:szCs w:val="18"/>
          <w:color w:val="auto"/>
        </w:rPr>
        <w:t>There are a number of planned strategic elements of our platform that are designed to create competitive advantage in the field. As we've talked about, we are building an end-to-end platform that focuses on sample-in and data- and insight-out. We believe that a platform that is end-to-end and delivers broad proteomic profiling is going to be incredibly disruptive to the market and unlock primary sources of biological information.</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And we believe, based on our current development, that we'll have first-mover advantage in this very large and expanding market. The thing that gets you is it gets you an early base of customers, and gets you to the point where you're generating data for proteomic information. We view data as an asset. As we generate that data, we build algorithms and we use machine learning to learn off of that data. That delivers more value to our customers, that in turn makes our customers want to run more samples through the system, and you create this cycle where it's reinforcing and it creates value for the customer and it makes our products more sticky.</w:t>
      </w:r>
    </w:p>
    <w:p>
      <w:pPr>
        <w:spacing w:after="0" w:line="16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The commercial model that we're employing is a proven commercial model. Many life sciences research tools companies (Illumina included) use a model that's very similar to this, but the big advantage that we have is that in addition to that land-and-expand sales motion that I talked about, our competitor in the marketplace is a mass spectrometer. We don't directly compete with a mass spectrometer, but our price point is harmonized with where a mass spectrometer would typically be for a discovery proteomics application. And with that high ASP as a starting place, it makes for a very efficient sales model. Lastly, in conjunction with that instrument sale, there are a number of recurring revenue sources that create a diversified revenue model. With each instrument sale there's a recurring stream of consumable sales, there's a recurring stream of service and support, and software as a service. If you look at instruments, consumables, services support and software in conjunction with partnerships where we’re working closely with customers on joint development types of opportunities, what you have is a layer cake of revenue streams that creates diversity and more predictability in our business, which we think is very valuable.</w:t>
      </w:r>
    </w:p>
    <w:p>
      <w:pPr>
        <w:spacing w:after="0" w:line="17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5"/>
          <w:szCs w:val="15"/>
          <w:color w:val="auto"/>
        </w:rPr>
        <w:t>In this slide, we describe the collaboration that we’ve signed with Genentech. In December 2020, we signed a research collaboration agreement with Genentech to use the Nautilus platform to analyze and map the proteoform landscape of a particular protein target of interest to Genentech. The primary goal of this collaboration is to reach a publication by late 2021. And really the way the Nautilus technology works here is very similar to what Parag described earlier in terms of the technology that we built for mapping proteoform landscapes. It's hypothesized that these proteform patterns, different modifications, and isoforms play a critical role in understanding molecular disease progression and understanding molecular disease pathways, and we’ll focus on working with Genentech and eventually with other customers on trying to figure out if these protein modifications could be a biomarker, or whether they're indicative of therapeutic response. It's really an exciting area and we think there's a lot of room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7157085" cy="139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0" w:name="page401"/>
    <w:bookmarkEnd w:id="400"/>
    <w:p>
      <w:pPr>
        <w:ind w:right="40"/>
        <w:spacing w:after="0" w:line="251" w:lineRule="auto"/>
        <w:rPr>
          <w:sz w:val="20"/>
          <w:szCs w:val="20"/>
          <w:color w:val="auto"/>
        </w:rPr>
      </w:pPr>
      <w:r>
        <w:rPr>
          <w:rFonts w:ascii="Times New Roman" w:cs="Times New Roman" w:eastAsia="Times New Roman" w:hAnsi="Times New Roman"/>
          <w:sz w:val="15"/>
          <w:szCs w:val="15"/>
          <w:color w:val="auto"/>
        </w:rPr>
        <w:t>One of the things that we’ve thought a lot about at Nautilus is trying to build a competitive moat that gives us a long-term competitive advantage. Some of the things that we have are really quite great for that. Our solution is very counterintuitive. It requires specialized experience and expertise to build the type of product that we're trying to bring to market. And we’ve spent many years building a diverse set of talent in our company that's capable of building all of these components and integrating them together. The third leg of that stool is really an IP portfolio. We were very fortunate in 2016 when Parag came up with this idea that the IP landscape for what Parag conceived of was relatively open. And the reason for that is it's really a very counterintuitive and different prospect than anything else that had come out before that. We've spent substantial time, energy and money over the course of the last 4+ years filing patents both in the US and internationally, and multiple patent families across each of the major areas of our process. We have 3 allowed US patents today and we have many more patents in various stages of prosecution.</w:t>
      </w:r>
    </w:p>
    <w:p>
      <w:pPr>
        <w:spacing w:after="0" w:line="17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So, with that, let me introduce Anna Mowry, the company CFO. She's going to walk you through leadership and some of our financial targets and then I look forward to wrapping up after that. Anna.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Anna Mowry:</w:t>
      </w:r>
    </w:p>
    <w:p>
      <w:pPr>
        <w:spacing w:after="0" w:line="19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Great, thank you, Sujal. As you just heard, Sujal and Parag bring together a unique and powerful combination of talent and experience. That deep interdisciplinary experience is now reflected in the leadership team that they've assembled together here. That’s important because as Nautilus evolves from its research roots into commercialization, we believe this is the team to do it. Chris, Mary, and myself, under Sujal’s leadership as CEO, worked closely together at Isilon, where we built a $1B revenue engine from the ground up. Nick, Subra, John and Matt Posard on our board were in leadership roles at Illumina at the time of the Solexa acquisition, and they drove the NGS ramp from there. We have a first-class set of investors who put together a seasoned board, who have experience leading public companies, as well as proven operational experience. Finally, on our scientific advisory board we have an amazing team of KOLs. Ruedi Aebersold is widely considered the father of modern proteomics. We have a Nobel laureate in Lee Hartwell, and he earned that prize for discovering the protein that drives cell division. And Joshua Labaer is the head of the Biodesign Institute at ASU. He’s also the former president of the Human Proteome Organization. As you can see, we’ve put together an extraordinary team in anticipation of the enormous opportunity that's in front of us, and we're well set up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213995</wp:posOffset>
            </wp:positionV>
            <wp:extent cx="7157085" cy="139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01" w:name="page402"/>
    <w:bookmarkEnd w:id="401"/>
    <w:p>
      <w:pPr>
        <w:spacing w:after="0" w:line="234" w:lineRule="auto"/>
        <w:rPr>
          <w:sz w:val="20"/>
          <w:szCs w:val="20"/>
          <w:color w:val="auto"/>
        </w:rPr>
      </w:pPr>
      <w:r>
        <w:rPr>
          <w:rFonts w:ascii="Times New Roman" w:cs="Times New Roman" w:eastAsia="Times New Roman" w:hAnsi="Times New Roman"/>
          <w:sz w:val="18"/>
          <w:szCs w:val="18"/>
          <w:color w:val="auto"/>
        </w:rPr>
        <w:t>Sujal talked about our commercial strengths just a few minutes ago. I want to show you how those strengths translate into our long-term financial targets. Our long-term gross margin target of 70% is really a function of our high ASP, that's based off of the high cost of alternatives out in the market today. It's also a function of our multiple revenue streams. Once launched we believed initially, the majority of our revenue will come from those instruments. But very quickly the pull-through revenue coming from software, support, and consumables will drive a recurring revenue stream that's predictable and highly profitable. On the other hand, the cost to manufacture the equipment is expected to remain relatively modest, because we believe we’ll be able to use readily available parts from a well-established supply chain. On the opex side, we intend to continue investing in R&amp;D. Right now, we're focused on development and preparing for commercialization, but over the longer term we intend to extend our lead, build on early successes, and expand into new categories and use cases. In SG&amp;A we expect significant leverage from our high ASP, but also from the land-and-expand motion that will drive a high lifetime value for each account. Our highly profitable sales combined with productive spending are expected to lead to an operating margin target over the long term, in the range of 25 to 30%, but we believe there are so many adjacent opportunity that about 25%, we expect to reinvest in R&amp;D and strategic opportunities in order to grow our top line even further. We've been very capital-efficient to date, but we believe now is the time to accelerate the pace of our investment, and Sujal will recap why we think this is a great time to get involved. Sujal.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Thank you, Anna. As we talked for the last hour, we believe that a radical reinvention of proteomics is necessary. And we believe that Nautilus has a platform with the potential to revolutionize biomedicine. And in doing that, we could unlock significant new potential market opportunities, and we're building a platform that we believe is fine-tuned for what our customers need in drug development, diagnostics development, and a wide range of proteomics applications. Over the course of the last four years, we’ve built a proven team that is driven to win. And next, I’m going to talk to you about this transaction with Arya III, and why we believe it aligns us with investors on a path to long term shareholder value creation.</w:t>
      </w:r>
    </w:p>
    <w:p>
      <w:pPr>
        <w:spacing w:after="0" w:line="16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Let me take a minute and talk about the merger with Arya III from Nautilus’ perspective. This transaction allows Nautilus a more direct path to an IPO where the company will experience greater visibility and greater access to capital as a public company. It enables us to go public in one step, versus a traditional two or three step process, with venture-backed private rounds and a traditional IPO. And in addition to that, it enables us to establish a premier healthcare – focused investor base and allows us to continue our long-term partnership with Perceptive. The $385 million we expect to have through a combination of cash on hand at Nautilus and the merger with the SPAC and our PIPE is going to be used to fund long-term development of our proteomics platform. This capital is expected to provide the cash runway to achieve all the key catalyst and commercialization milestones we talked about earlier, and the capital enables us to accelerate the development of our proteomics platform and expand into new opportunities and more staff across our scientific, engineering and commercial teams.</w:t>
      </w:r>
    </w:p>
    <w:p>
      <w:pPr>
        <w:spacing w:after="0" w:line="16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This slide summarizes the terms of the transaction. The transaction with Arya III ascribes a $900M pre-money equity value to Nautilus. The implied pro forma enterprise value of the combined enterprise is approximately $905M. Of the cash coming in from the transaction, $150M of it is in trust with the Arya</w:t>
      </w:r>
    </w:p>
    <w:p>
      <w:pPr>
        <w:spacing w:after="0" w:line="1" w:lineRule="exact"/>
        <w:rPr>
          <w:sz w:val="20"/>
          <w:szCs w:val="20"/>
          <w:color w:val="auto"/>
        </w:rPr>
      </w:pPr>
    </w:p>
    <w:p>
      <w:pPr>
        <w:jc w:val="both"/>
        <w:ind w:right="160" w:firstLine="9"/>
        <w:spacing w:after="0" w:line="236" w:lineRule="auto"/>
        <w:tabs>
          <w:tab w:leader="none" w:pos="22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and $200M is being raised through a PIPE. Of the PIPE, $55 million is committed by Perceptive and an additional $38 million is committed from existing Nautilus shareholders, not including Perceptive. We’re very pleased to have a strong syndicate of investors supporting this PIPE, as well as the 45% plus participation from insiders.</w:t>
      </w:r>
    </w:p>
    <w:p>
      <w:pPr>
        <w:spacing w:after="0" w:line="1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With that, we'd like to conclude our presentation. Thank you so much for allowing us to take this opportunity to tell you more about Nautilus and our plans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7157085" cy="139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2" w:name="page403"/>
    <w:bookmarkEnd w:id="402"/>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(silence) Okay. Good afternoon, everyone. For our audience, I am Nick Nelson. I'm the senior vice president and chief business officer at Nautilus. Here with me today, I'll be interviewing Dr. Josh LaBaer. Josh is currently the executive director of the Biodesign Institute at ASU, and he's also recently just served as the president of the US Human Proteome Organization. So Josh, welcome.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thanks. Thanks for having 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your time. We're happy to have a chance to learn from you and hear your insights on the proteomics market and on Nautilus.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Yeah.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So if I could, I'd like to ask first if we could just kick it off with you sharing a little bit of background on yourself, your role at the Biodesign Institute, perhaps your areas of research today.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Sure, sure. Very brief background, I'm a MD PhD. I went to medical school at UCF, where I also did my PhD. I trained in Boston for many years. I did the full clinical training. I did an internship in residency at the Brigham Women's Hospital and then a medical oncology fellowship at the Dana Farber. So I got board certified in internal medicine and medical oncology. But I've long time been focused on research. My research primarily is involved in diagnostics and early detection of disease. Fundamentally, the tools that I use in my research involve proteomics, especially proteomics driven from expressing proteins from cloned copies of genes. I serve as an editor for the Journal Reporting on Research. I was on the board of scientific advisors for the National Cancer Institute for a number of years, and I'm an advisor for the National Cancer Institute's clinical proteomics program, the CB Tech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Wonderful. Thank you. So, I mean, given your background, it's a perfect opportunity for us to learn a little bit about your experience with the technologies out in the field today. Share with us a little bit on what your lab's doing, what technologies you're interested in or familiar with.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Right. So back when I was at Harvard, I started the Harvard Institute of Proteomics, and the approach that we have always taken was proteomics from their perspective of taking cloned copies of genes and producing proteins in a variety of settings in high throughput. The notion that we take is that we want to understand how, by producing proteins in high throughput, we can both understand what they do, but also how they are altered in disease or how they can trigger the ability to identify biomarkers for early detection of disease.</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So my lab has cloned tens of thousands of full-length copies of genes. We have largest collection of genes for the human I think anywhere on the planet, close to the full complement of genes now, around almost 18,000 full-length genes, as well as tens of thousands of genes from both microorganisms and model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 key part of our technology has been to produce those proteins in a protein microarray setting. So we print the genes on the chip and then synthesize the proteins in situ on the chip, which we can then probe with serum from patients to look for responses to proteins that betray the presence of diseases. So in that context, we've identified a number of biomarkers for the early detection of breast cancer that have been now licensed out and are part of a CLIA-approved test for breast cancer, as well as biomarkers for detections of various inflammatory diseases, autoimmune diseases, and also infectious diseases.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So my lab has also been involved in a number of other high throughput projects. We had a $40 million project with an agency called BARDA to assess responses in the context of a nuclear explosion using a technology called qPCR, which we've now pivoted to use for detection of COVID. We now run a clinical testing lab for COVID-19 that has processed more than a half million samples in the state of Arizona. Then more recently, we have been developing some serological assays for detection of disease and became part of the SeroNet, which is NIH's response to COVID-19 for serology. We're one of four capacity building centers in the country to develop a high throughput test for detecting response there.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Wonderful. Thank you. So, I mean, I think it's pretty clear your background and experience with proteomics is extensive. One of the themes here, obviously, given Nautilus's interest in building next gen proteomics systems and analysis, we're really interested in the pros and cons of the methods that are out there in the field. Can you talk to us about your experience with proteomics platforms today, maybe some of the benefits and some of the drawbacks?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Right. So typically, most proteomics are just focused on sort of measuring proteins and samples, falls into two general classes. One would be sort of antibody-based, and the other would be mass spectrometry-based. So the antibody-based technologies have some advantages. If you have good antibodies to specific proteins, you can readily detect the presence of those proteins in samples. It's a relatively fast assay if you have the reagents. The challenge there, of course, is that you pretty much are forced to make antibodies to specific protein species almost one by one, really, and there is a wide variation of quality in affinity reagents to specific proteins. A lot, a lot of antibodies out there are not very good.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I've been involved in a project to try to help develop better tools for making antibodies better because there is such a variation and because you never know when you get an antibody, when you buy one whether it's going to be good or not. It's very much a buyer beware situation. Of course, to have antibodies against proteins, you have to know what proteins you're looking for. You have to know it in advance. You have to sort of plan ahead as to what you're looking for.</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 mass spectrometry approach, a little bit different. The benefits of mass spectrometry is you don't necessarily need to know a priori what you're looking for. You can apply a mass spec broadly to samples. You can put a whole sample, and you kind of look at what's there. The problem with mass spec, of course, is that it's not a particularly sensitive technique. It really looks at abundant species. Anything that's rare or uncommon it's going to have a hard time detecting, and, of course, some of the most important biomarkers that we want to look for fall into that category of rare proteins.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other problem with mass spectrometry, of course, is that it's taking sort of bulk measurements of the sample. I mean, a metaphor one could use here, not perfect, of course, is if you had a room of 1,000 people and you knew that there was $1,000,000 distributed in that room, you wouldn't necessarily know whether there was $1,000 in the pocket of every person in that room or whether there was $500,000 in one person and several people with $100,000 and everybody else had $100 in their pockets. There's a big difference in terms of understanding what's going on in that room and the dynamic, depending on how that is distributed. Mass spec can't tell you that, and that's, I think, something we need to get at here.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Yeah, that's very helpful. Thank you. Maybe before I launch into my next question, I should mention just for the audience that the Dr. LaBaer is a longtime advisor of Nautilus and our chief scientist, Dr. Parag Mallick. He's also followed Nautilus since its inception back in 2016, so just to kind of set the stage for folks. So Josh, I think you've been tracking progress for a while. I wanted to just for a moment here, in your words, your understanding of how the technology works and maybe kind of some of the more recent reactions you've had to our data and the method.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Right, right. So what I think is really special about the approach that sort of Parag conceived of is this idea that you're going to take proteins from a sample and, using their technology, affix individual molecules of proteins on a kind of landing pad. So now what you've got is, on some surface, individual proteins separated from each other that you can then probe using affinity reagents to those proteins. The affinity reagents you use can either be very specific to a specific protein, or they can be general agents that bind a specific motif in proteins. That becomes important later, because what you're ultimately going to do is take a picture of which proteins are recognized, remove the reagents, and then come in with the next round of reagents. You can repeat that cycle over and over again using different affinity reagents and essentially measuring the frequency that a particular motif or a particular protein appears in your sample.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This allows you to do a couple of things. On one end of the spectrum, you can, by using ... and, again, this involves a lot of the sort of machine learning approaches that they're using, as well as some of the sort of informatics that they've cleverly worked out in terms of how to mix and match different affinity reagents. You can look at a whole proteome and ask what's there, basically identifying specific proteins by the content of the motifs they contain, or you can look at post-translational modification of proteins, if you have antibodies to those, and ask which proteins have which post-translational modifications, or you can look at just specific sets of proteins based on the interests that you have.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So kind of a wide spectrum of applications there, but the notion here fundamentally is that you are digitizing the proteome, right? So this gets at, in the context of genomics, it was a big deal when we could get single-cell genomics or when we could get single-cell measurements of the RNA in cells. That allowed us, for example, to look at a cancer and ask, "What's the distribution of specific mutations in individual cells in that cancer or gene expression?" Well, now we can do the same thing with proteins, and that kind of opens up ... It revolutionizes, really, how we think about proteomics.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When you think about that, and I know you track what's out there in the emerging technology space, I mean, there's some other companies and other methods that have been in development for some time, some starting to emerge with data, others still early. I mean, what are you aware of in the community for other methods that kind of compare to what Nautilus is building?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So let me first say I don't think anything really compares to what Nautilus is doing. There are some new technologies out there. There are some antibody technologies that use antibodies to specific motifs followed by mass spectrometry, right? So that's a quick way at assessing specific proteins and species. It's kind of a hybrid method between the antibody approach and the mass spec approach. Then there are other types of affinity reagent protein, things like SomaLogic or things like that, where they have various binding reagents that can look for specific proteins in samples.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problem with that particular approach, I think, is that the characterization of their different SOMAmers, as they call them, is not particularly great. Some of them are okay. A lot of them, they've sort of made them against a particular molecule in the hope that it buys with good affinity and good avidity and all that stuff, and, of course, they're looking at subsets that they've been able to make their reagents against. Everything else, they can't 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So I think those are okay technologies. All of them still have the bottom line limitation that you're looking in bulk. None of them are digitized technologies. None of them allow you to look at specific protein molecules and ask what's specific about that particular molecule?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That's really helpful. Thank you. I mean, the other question I have for you as a follow-on, I know we've been really trying to build some progress here in a few areas in the company. Then more recently, at the end of last year, we shared some data on proteoform detection. You got an early peek at that. So I wanted to kind of ask for the group here, what were your reactions to some of the data that you've seen coming out of Nautilus?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Yeah, right. So, obviously, I'm very excited. I'm excited on a couple levels. So first of all, I think, step-by-step, one of the things that Nautilus has done is sort of developed technologies at a lot of different levels for what they're trying to accomplish. I think each of those solutions is itself of great value. The ability to be able to lock down an individual protein on a surface apart from all other proteins is huge, and I think that in and of itself is an ability that will become useful in other platforms. The ability to get very strong signals in detecting an individual protein, again, huge, huge approach there.</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But, of course, I think the thing that's especially exciting now is that they are realizing that they don't necessarily have to look at whole proteomes. They can look at specific modifications, specific proteomes, specific proteoforms and ask questions about the abundance of those individual species in specific samples. Again, to use kind of a silly metaphor here, if the traditional approach to proteomics would be kind of like looking at a store full of shoppers and being able to say that there are many people in that store buying books and some of them are buying books on pregnancy and there are many people in that store buying vitamins, some of them buying folate, that's one thing. But when you can look individually and say, "In these individual shopping carts, there are both books on pregnancy and bottles of folate," now you can say, "Aha. That's a shopper that's probably pregnant," right? It's a different kind of way of thinking, and it gets down to the importance of digitization.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So for me, this is now a whole new chapter, right? It allows us to say, "In these individual samples, I can tell you that these are these very specific proteoforms that have a phosphate on this amino acid and a phosphate on that amino acid, as opposed to just some proteins that have phosphates on this amino acid and some proteins in here that probably have it on that one." Now we can say they're on the same molecule, and it's a game changer.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That's exciting. I'm interested to hear, now with this capability, what should we do with it? I mean, where do you point it? What are the disease areas or applications that make sense to use 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Right, right. So I'm obviously biased. I'm a cancer doctor by training. So for me, one of the most important next steps for this kind of approach would be to identify biomarkers that either help me with the early detection of cancer, in which case I can save lives, or help me understand the characterization of specific cancers so that I can both better prognosticate outcomes and maybe better target my therapy, because I can say, "This subtype of cancer that we're looking at here would best respond to this class of drugs or this type of therapy."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So that's where I would go. Of course, the same could be said for autoimmune diseases. The same could be said for a whole series of other clinical conditions or even for infectious diseases. So lots of different sort of diagnostic possibilities, and the ability to have a tool that can sort of broad look at specimens will help me identify those biomarkers. Of course, those will be opportunities for Nautilus to get intellectual property on those biomarkers so that they essentially could own their own diagnostic tests to look for specific diseases.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8"/>
          <w:szCs w:val="18"/>
          <w:color w:val="auto"/>
        </w:rPr>
        <w:t>That's an interesting thought, because in watching and observing the market evolve, particularly the genomics market, there's just a tremendous amount of clinical application now. Proteomics hasn't followed suit. What do you think the barriers have been that have held the proteomics technologies back from really entering the clinic in a meaningful 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Right, right. Well, I mean, I think a key issue here for sort of most of these technologies are technologies that work in laboratories, particularly things like mass spectrometry, which although it's a science is also an art, and it requires very careful practitioners. So it's not easy for clinicians to imagine ordering tests to kind of getting mass spectrometry reads. I think that's, in my view, one of the things I think Nautilus ought to be thinking about in the future, is Nautilus has developed a technology that can measure individual modifications on specific proteins. That's going to lead them to develop unique diagnostic tests for specific conditions, but they are the ones who have the technology that could be used to actually read those diagnostics, right?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So I think that they should be building boxes that they can place in clinics, that they can place in CVSes, that they can place in doctors' offices or hospitals that can actually read the very biomarkers, the very diagnostic tests that they will have discovered, because they've got the tool to read those quickly. I think there's a whole market there in the clinics that I think could be very important for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 mean, when you think about it, there's been certainly a rush in terms of new diagnostic applications, particularly in liquid biopsy. So this is an area that a lot of us follow closely, and you look at the application of things like cell-free DNA for cancer as a biomarker.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do you think the pros and cons are in looking at nucleic acids versus proteins in a liquid biopsy setting?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Right. Well, cell-free DNA is certainly interesting. In the context of cancer, it is really not readily detectable until it's already too late, until the cancer is really advanced. By and large, DNA tells you what could happen, whereas proteins tell you what is happening, right? Proteins get modified in the course of disease. They are, in fact, the drivers that make disease disease. I would argue that all disease is a result of protein malfunction, and virtually almost every therapeutic either alters proteins or is itself a protein. So to me, I'm very much a protein chauvinist, and I think that's where we really need to go for active diagnostics and prognostics. So that's where I think we should be focusing right now, is what's happening at the protein level and what's happening at the modification of the protein level? What's happening in the post-translational protein level?</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I've got another question kind of on that same thread. Then we're starting to get a feel now for the diagnostic potential and the biomarker discovery potential, PTMs and proteoforms. That's taking shape. Another area is clearly there's a need to just unlock more data in the protein, right?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I mean, there's just a tremendous appetite for that in the market today. So we've built this roadmap within Nautilus, and I think you've seen it, where we're starting to make headway over the course of the year. The first major milestone is we want to unlock, say, 2,500 proteins per run, and then we want to move into 10,000 proteins per run and then ultimately the whole proteome.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as you think about that, I want to hear, in your view, does 2,500 proteins in a run unlock something new for you? What would you do with 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Well, I mean, first of all, I think the ability to look at five proteins, maybe, [inaudible 00:21:01] species is already a big deal to me. 2,500 is fantastic. Obviously, as Nautilus has the ability to look at larger and larger protein species and then, in parallel, invoke machine learning or deep learning techniques so they can actually understand what those patterns mean, that becomes sort of the facial recognition of disease, right? I mean, this is all of a sudden now, they can start looking at both biology and medicine in a way that we've never been able to look at before, right? Because now they're coupling this ability to do deep learning with all of these potential data points in a much broader way. So I think it's huge, and I think the beauty of what they've got is that they can, in the short term, do specific diagnostics on specific proteins and specific proteoforms, use that to help bootstrap the development of better reagents to keep looking at more and more proteins, and broaden their capacity to look at the entire proteome.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great. Thank you for the feedback. I think I actually covered most of the questions I had.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there any other topics that you wanted to bring up or [crosstalk 00:22:21]?</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No, I think this is a really exciting opportunity. I mean, I think it really is the evolution of proteomics, right? The next step beyond looking at bulk, starting to look much more broadly by digitizing the information and then coupling that with sort of deep learning approaches to really imagine what you're looking at.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Well, thank you again for your time. We so appreciate it. Then, of course, we'll keep you posted on progress.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Can't wait to see what happens next.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Very good. Take care.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Thanks.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Bye-bye.</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7157085" cy="139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0" w:name="page411"/>
    <w:bookmarkEnd w:id="410"/>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Nautilus Employees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Sujal Patel</w:t>
      </w:r>
    </w:p>
    <w:p>
      <w:pPr>
        <w:spacing w:after="0"/>
        <w:rPr>
          <w:sz w:val="20"/>
          <w:szCs w:val="20"/>
          <w:color w:val="auto"/>
        </w:rPr>
      </w:pPr>
      <w:r>
        <w:rPr>
          <w:rFonts w:ascii="Times New Roman" w:cs="Times New Roman" w:eastAsia="Times New Roman" w:hAnsi="Times New Roman"/>
          <w:sz w:val="18"/>
          <w:szCs w:val="18"/>
          <w:color w:val="auto"/>
        </w:rPr>
        <w:t>SUBJECT: Some Exciting News!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NAUTILUS CONFIDENTIAL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Nautilus Team!</w:t>
      </w:r>
    </w:p>
    <w:p>
      <w:pPr>
        <w:spacing w:after="0" w:line="192"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This is a very special day. We just announced that we’ve signed a definitive agreement for a transaction that will – upon completion - result in Nautilus becoming a public company.</w:t>
      </w:r>
    </w:p>
    <w:p>
      <w:pPr>
        <w:spacing w:after="0" w:line="151"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We will be doing so through a merger with Arya Sciences Acquisition Corp III, a Special Purpose Acquisition Company (SPAC) that is already listed on Nasdaq. SPACs are also known as “blank check” companies and they are formed for the sole purpose of combining with an operating business like ours to help accelerate its growth. It’s essentially a different, and potentially more efficient path to going public and raising capital than through a traditional IPO.</w:t>
      </w:r>
    </w:p>
    <w:p>
      <w:pPr>
        <w:spacing w:after="0" w:line="1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 want to be clear that this exciting development does not change our focus now or into the future. Parag and I will continue to lead Nautilus, alongside our existing executive team, and we will remain focused on our mission and vision.</w:t>
      </w:r>
    </w:p>
    <w:p>
      <w:pPr>
        <w:spacing w:after="0" w:line="15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are thrilled to partner with this particular SPAC, which is sponsored by Perceptive Advisors, who share our goal to transform the field of proteomics, unlocking access to the proteome and enabling fundamental advancements in biology, human health, and medicine. Perceptive Advisors became an investor in Nautilus through our Series B funding round and has a deep understanding and appreciation of our business, our science, and our mission. Given their impressive track record and experience, we are confident that they are the right partner for us. We expect that combining with Arya III will result in proceeds of $150 million. We are also welcoming other long-term, high-performing investors, including RA Capital Management, Ally Bridge Group, Bain Capital Life Sciences, Franklin Templeton Investments, OrbiMed, Alyeska Investment Group, L.P., Casdin Capital and existing Nautilus Biotechnology shareholders including Andreessen Horowitz, Madrona Venture Group, and Vulcan Capital who have committed an additional $200 million in PIPE financing. This PIPE is led by a $55 million commitment from Perceptive Advisors, in addition to their ownership in ARYA III. The combined company is expected to receive proceeds of approximately $350 million at the closing of the transaction. We expect the proceeds to accelerate development and commercialization of our platform. We expect that approximately 70% of the shares in the combined company will be owned by existing Nautilus shareholders, excluding Perceptive, and that our pro forma market capitalization will be approximately $1.3 billion.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What’s Next</w:t>
      </w:r>
    </w:p>
    <w:p>
      <w:pPr>
        <w:spacing w:after="0" w:line="15"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7"/>
          <w:szCs w:val="17"/>
          <w:color w:val="auto"/>
        </w:rPr>
        <w:t>Please keep in mind that today’s announcement is just the first step in the process. There are several things that need to be completed before the transaction closes and we become a public company. During this time, we will continue to operate as an independent company and there will be no changes to your role or responsibilities due to the transaction. We encourage everyone to remain focused on their day-to-day work and reaching our important milestones.</w:t>
      </w:r>
    </w:p>
    <w:p>
      <w:pPr>
        <w:spacing w:after="0" w:line="15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As you all know, we value our transparent culture and intend to maintain that to the degree possible, but we are likely not going to be able to share some information as freely as we have previously because of additional legal requirements placed on all public companies. We will also need everyone to exercise a greater degree of discretion and confidentiality. This announcement may generate interest from the media or other third parties who may contact you in search of more information. If you receive any inquiries, please do not share ANY information. If asked about the announcement by friends and family, please only share public information that is included in the press release we issued this morning (link included below). In the meantime, if you have any questions, please contact our Vice President of Corporate Marketing and Communications, Chris Blessington.</w:t>
      </w:r>
    </w:p>
    <w:p>
      <w:pPr>
        <w:spacing w:after="0" w:line="1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This last part of this email contains legal language but is a very important point. We will continue to hold regular all-team meetings and will aim to answer questions during these meetings. However, until the merger is complete, there are strict securities laws that limit what details can be shared about the transaction. Our goal is to provide you with the information you need about the deal, while at the same time complying with securities laws. Written communication about the transaction may be required to be filed publicly so please avoid discussing the transaction over email or Slack. We are committed to keeping you updated throughout this process, so please bear with us as we work through it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411" w:name="page412"/>
    <w:bookmarkEnd w:id="411"/>
    <w:p>
      <w:pPr>
        <w:ind w:right="200"/>
        <w:spacing w:after="0" w:line="245" w:lineRule="auto"/>
        <w:rPr>
          <w:sz w:val="20"/>
          <w:szCs w:val="20"/>
          <w:color w:val="auto"/>
        </w:rPr>
      </w:pPr>
      <w:r>
        <w:rPr>
          <w:rFonts w:ascii="Times New Roman" w:cs="Times New Roman" w:eastAsia="Times New Roman" w:hAnsi="Times New Roman"/>
          <w:sz w:val="18"/>
          <w:szCs w:val="18"/>
          <w:color w:val="auto"/>
        </w:rPr>
        <w:t>I know this is a lot of information. Later today, we’ll be hosting a team All-hands, where we’ll discuss today’s announcement in more detail and you’ll have the opportunity to ask questions. In the meantime, I encourage you to read our press release [LINK], and watch the recording of our investor presentation, which will be available later this morning at [LINK].</w:t>
      </w:r>
    </w:p>
    <w:p>
      <w:pPr>
        <w:spacing w:after="0" w:line="16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I know I speak for Parag and the entire senior team when I say that we are incredibly excited for what the future holds. Thank you all for being part of this journey!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Sujal</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9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Section 27A of the Securities Act and Section 21E of the Securities Exchange Act of 1934, as amended, including statements regarding the anticipated timing and benefits of the merger (the “Transaction”) with ARYA Sciences Acquisition Corp III (“Arya III”). The words “anticipate,” “believe,” “continue,” “could,” “estimate,” “expect”, “intends,” “may,” “might,” “plan,” “possible,” “potential,” “predict,” “project,” “should,” “would” and similar expressions may identify forward looking statements, but the absence of these words does not mean that a statement is not forward looking. The forward-looking statements contained herein are based on Nautilus’ current expectations and beliefs concerning future developments and their potential effects, but there can be no assurance that these will be as anticipated. These forward-looking statements involve a number of risks, uncertainties (some of which are beyond the control of Nautilus) or other assumptions that may cause actual results or performance to be materially different from those expressed or implied by these forward-looking statements. These factors include, among others: the inability to complete the Transaction on the expected timeline or at all; the inability to recognize the anticipated benefits of the proposed Transaction, including due to the failure to receive required security holder approvals, or the failure of other closing conditions; and costs related to the proposed Transaction. Except as required by law, Arya III and Nautilus do not undertake any obligation to update or revise any forward-looking statements whether as a result of new information, future events or otherwise</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 xml:space="preserve">A full description of the terms of the transaction will be provided in a registration statement on Form S-4 to be filed with the SEC by Arya III that will include a prospectus with respect to the combined company’s securities to be issued in connection with the business combination and a proxy statement with respect to the shareholder meeting of Arya III to vote on the business combination. </w:t>
      </w:r>
      <w:r>
        <w:rPr>
          <w:rFonts w:ascii="Times New Roman" w:cs="Times New Roman" w:eastAsia="Times New Roman" w:hAnsi="Times New Roman"/>
          <w:sz w:val="18"/>
          <w:szCs w:val="18"/>
          <w:b w:val="1"/>
          <w:bCs w:val="1"/>
          <w:color w:val="auto"/>
        </w:rPr>
        <w:t>Arya III and Nautilus urge their investors, shareholders and other interested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to read, when available, the preliminary proxy statement/ prospectus as well as other documents filed with the SEC because these documents will contain important information about Arya III, Nautilus and the transaction. </w:t>
      </w:r>
      <w:r>
        <w:rPr>
          <w:rFonts w:ascii="Times New Roman" w:cs="Times New Roman" w:eastAsia="Times New Roman" w:hAnsi="Times New Roman"/>
          <w:sz w:val="18"/>
          <w:szCs w:val="18"/>
          <w:color w:val="auto"/>
        </w:rPr>
        <w:t>After the registration statement is declared effective, the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statement/prospectus to be included in the registration statement will be mailed to shareholders of Arya III as of a record date to be established for voting on the proposed business combination. Once available, shareholders of ARYA III will also be able to obtain a copy of the S-4, including the proxy statement/prospectus, and other documents filed with the SEC without charge, by directing a request to: ARYA Sciences Acquisition Corp III, 51 Astor Place, 10th Floor, New York, New York 10003, Attn: Secretary. The preliminary and definitive proxy statement/prospectus to be included in the registration statement, once available, can also be obtained, without charge, at the SEC’s website (www.sec.gov).</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9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Arya III and Nautilus Biotechnology and their respective directors and executive officers may be considered participants in the solicitation of proxies with respect to the potential transaction described in this communication under the rules of the SEC. Information about the directors and executive officers of Arya</w:t>
      </w:r>
    </w:p>
    <w:p>
      <w:pPr>
        <w:spacing w:after="0" w:line="1" w:lineRule="exact"/>
        <w:rPr>
          <w:sz w:val="20"/>
          <w:szCs w:val="20"/>
          <w:color w:val="auto"/>
        </w:rPr>
      </w:pPr>
    </w:p>
    <w:p>
      <w:pPr>
        <w:ind w:right="60" w:firstLine="9"/>
        <w:spacing w:after="0" w:line="250" w:lineRule="auto"/>
        <w:tabs>
          <w:tab w:leader="none" w:pos="222"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transaction will be set forth in the registration statement containing the preliminary proxy statement/prospectus when it is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207645</wp:posOffset>
            </wp:positionV>
            <wp:extent cx="7157085" cy="139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57085" cy="10140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085" cy="1014095"/>
                    </a:xfrm>
                    <a:prstGeom prst="rect">
                      <a:avLst/>
                    </a:prstGeom>
                    <a:noFill/>
                  </pic:spPr>
                </pic:pic>
              </a:graphicData>
            </a:graphic>
          </wp:anchor>
        </w:drawing>
      </w:r>
    </w:p>
    <w:p>
      <w:pPr>
        <w:spacing w:after="0" w:line="1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7157085" cy="139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4" w:right="359" w:bottom="1440" w:gutter="0" w:footer="0" w:header="0"/>
        </w:sectPr>
      </w:pPr>
    </w:p>
    <w:bookmarkStart w:id="413" w:name="page414"/>
    <w:bookmarkEnd w:id="413"/>
    <w:p>
      <w:pPr>
        <w:ind w:left="9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145415</wp:posOffset>
            </wp:positionV>
            <wp:extent cx="7207885" cy="42970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47" w:right="319" w:bottom="1440"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11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788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884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7885" cy="4388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1)"/>
      <w:numFmt w:val="lowerRoman"/>
      <w:start w:val="1"/>
    </w:lvl>
  </w:abstractNum>
  <w:abstractNum w:abstractNumId="2">
    <w:nsid w:val="5CB44A05"/>
    <w:multiLevelType w:val="hybridMultilevel"/>
    <w:lvl w:ilvl="0">
      <w:lvlJc w:val="left"/>
      <w:lvlText w:val="†"/>
      <w:numFmt w:val="bullet"/>
      <w:start w:val="1"/>
    </w:lvl>
  </w:abstractNum>
  <w:abstractNum w:abstractNumId="3">
    <w:nsid w:val="16CF80F1"/>
    <w:multiLevelType w:val="hybridMultilevel"/>
    <w:lvl w:ilvl="0">
      <w:lvlJc w:val="left"/>
      <w:lvlText w:val="(%1)"/>
      <w:numFmt w:val="lowerLetter"/>
      <w:start w:val="1"/>
    </w:lvl>
  </w:abstractNum>
  <w:abstractNum w:abstractNumId="4">
    <w:nsid w:val="1C695DEC"/>
    <w:multiLevelType w:val="hybridMultilevel"/>
    <w:lvl w:ilvl="0">
      <w:lvlJc w:val="left"/>
      <w:lvlText w:val="(%1)"/>
      <w:numFmt w:val="lowerLetter"/>
      <w:start w:val="2"/>
    </w:lvl>
  </w:abstractNum>
  <w:abstractNum w:abstractNumId="5">
    <w:nsid w:val="3FCFAED9"/>
    <w:multiLevelType w:val="hybridMultilevel"/>
    <w:lvl w:ilvl="0">
      <w:lvlJc w:val="left"/>
      <w:lvlText w:val="(%1)"/>
      <w:numFmt w:val="lowerRoman"/>
      <w:start w:val="1"/>
    </w:lvl>
  </w:abstractNum>
  <w:abstractNum w:abstractNumId="6">
    <w:nsid w:val="F856867"/>
    <w:multiLevelType w:val="hybridMultilevel"/>
    <w:lvl w:ilvl="0">
      <w:lvlJc w:val="left"/>
      <w:lvlText w:val="(%1)"/>
      <w:numFmt w:val="lowerLetter"/>
      <w:start w:val="1"/>
    </w:lvl>
  </w:abstractNum>
  <w:abstractNum w:abstractNumId="7">
    <w:nsid w:val="11B1CC33"/>
    <w:multiLevelType w:val="hybridMultilevel"/>
    <w:lvl w:ilvl="0">
      <w:lvlJc w:val="left"/>
      <w:lvlText w:val="(%1)"/>
      <w:numFmt w:val="lowerLetter"/>
      <w:start w:val="2"/>
    </w:lvl>
    <w:lvl w:ilvl="1">
      <w:lvlJc w:val="left"/>
      <w:lvlText w:val="(%2)"/>
      <w:numFmt w:val="lowerRoman"/>
      <w:start w:val="1"/>
    </w:lvl>
  </w:abstractNum>
  <w:abstractNum w:abstractNumId="8">
    <w:nsid w:val="2E22FBB7"/>
    <w:multiLevelType w:val="hybridMultilevel"/>
    <w:lvl w:ilvl="0">
      <w:lvlJc w:val="left"/>
      <w:lvlText w:val="(%1)"/>
      <w:numFmt w:val="lowerRoman"/>
      <w:start w:val="7"/>
    </w:lvl>
  </w:abstractNum>
  <w:abstractNum w:abstractNumId="9">
    <w:nsid w:val="29934699"/>
    <w:multiLevelType w:val="hybridMultilevel"/>
    <w:lvl w:ilvl="0">
      <w:lvlJc w:val="left"/>
      <w:lvlText w:val="(%1)"/>
      <w:numFmt w:val="lowerLetter"/>
      <w:start w:val="1"/>
    </w:lvl>
  </w:abstractNum>
  <w:abstractNum w:abstractNumId="10">
    <w:nsid w:val="77485850"/>
    <w:multiLevelType w:val="hybridMultilevel"/>
    <w:lvl w:ilvl="0">
      <w:lvlJc w:val="left"/>
      <w:lvlText w:val="%1"/>
      <w:numFmt w:val="lowerLetter"/>
      <w:start w:val="1"/>
    </w:lvl>
    <w:lvl w:ilvl="1">
      <w:lvlJc w:val="left"/>
      <w:lvlText w:val="(%2)"/>
      <w:numFmt w:val="lowerLetter"/>
      <w:start w:val="2"/>
    </w:lvl>
  </w:abstractNum>
  <w:abstractNum w:abstractNumId="11">
    <w:nsid w:val="744939A3"/>
    <w:multiLevelType w:val="hybridMultilevel"/>
    <w:lvl w:ilvl="0">
      <w:lvlJc w:val="left"/>
      <w:lvlText w:val="(%1)"/>
      <w:numFmt w:val="lowerLetter"/>
      <w:start w:val="35"/>
    </w:lvl>
    <w:lvl w:ilvl="1">
      <w:lvlJc w:val="left"/>
      <w:lvlText w:val="%2"/>
      <w:numFmt w:val="lowerLetter"/>
      <w:start w:val="1"/>
    </w:lvl>
  </w:abstractNum>
  <w:abstractNum w:abstractNumId="12">
    <w:nsid w:val="4FA0D2E3"/>
    <w:multiLevelType w:val="hybridMultilevel"/>
    <w:lvl w:ilvl="0">
      <w:lvlJc w:val="left"/>
      <w:lvlText w:val="%1"/>
      <w:numFmt w:val="lowerLetter"/>
      <w:start w:val="1"/>
    </w:lvl>
    <w:lvl w:ilvl="1">
      <w:lvlJc w:val="left"/>
      <w:lvlText w:val="(%2)"/>
      <w:numFmt w:val="lowerLetter"/>
      <w:start w:val="1"/>
    </w:lvl>
  </w:abstractNum>
  <w:abstractNum w:abstractNumId="13">
    <w:nsid w:val="6B1D2C14"/>
    <w:multiLevelType w:val="hybridMultilevel"/>
    <w:lvl w:ilvl="0">
      <w:lvlJc w:val="left"/>
      <w:lvlText w:val="(%1)"/>
      <w:numFmt w:val="lowerLetter"/>
      <w:start w:val="35"/>
    </w:lvl>
    <w:lvl w:ilvl="1">
      <w:lvlJc w:val="left"/>
      <w:lvlText w:val="(%2)"/>
      <w:numFmt w:val="lowerLetter"/>
      <w:start w:val="2"/>
    </w:lvl>
  </w:abstractNum>
  <w:abstractNum w:abstractNumId="14">
    <w:nsid w:val="68B867D3"/>
    <w:multiLevelType w:val="hybridMultilevel"/>
    <w:lvl w:ilvl="0">
      <w:lvlJc w:val="left"/>
      <w:lvlText w:val="(%1)"/>
      <w:numFmt w:val="lowerLetter"/>
      <w:start w:val="3"/>
    </w:lvl>
  </w:abstractNum>
  <w:abstractNum w:abstractNumId="15">
    <w:nsid w:val="3F7F5DD9"/>
    <w:multiLevelType w:val="hybridMultilevel"/>
    <w:lvl w:ilvl="0">
      <w:lvlJc w:val="left"/>
      <w:lvlText w:val="(%1)"/>
      <w:numFmt w:val="lowerLetter"/>
      <w:start w:val="1"/>
    </w:lvl>
  </w:abstractNum>
  <w:abstractNum w:abstractNumId="16">
    <w:nsid w:val="2AE05A34"/>
    <w:multiLevelType w:val="hybridMultilevel"/>
    <w:lvl w:ilvl="0">
      <w:lvlJc w:val="left"/>
      <w:lvlText w:val="(%1)"/>
      <w:numFmt w:val="lowerLetter"/>
      <w:start w:val="4"/>
    </w:lvl>
  </w:abstractNum>
  <w:abstractNum w:abstractNumId="17">
    <w:nsid w:val="32794FF7"/>
    <w:multiLevelType w:val="hybridMultilevel"/>
    <w:lvl w:ilvl="0">
      <w:lvlJc w:val="left"/>
      <w:lvlText w:val="(%1)"/>
      <w:numFmt w:val="lowerLetter"/>
      <w:start w:val="8"/>
    </w:lvl>
  </w:abstractNum>
  <w:abstractNum w:abstractNumId="18">
    <w:nsid w:val="5454945E"/>
    <w:multiLevelType w:val="hybridMultilevel"/>
    <w:lvl w:ilvl="0">
      <w:lvlJc w:val="left"/>
      <w:lvlText w:val="(%1)"/>
      <w:numFmt w:val="lowerLetter"/>
      <w:start w:val="1"/>
    </w:lvl>
  </w:abstractNum>
  <w:abstractNum w:abstractNumId="19">
    <w:nsid w:val="4DEFDFA0"/>
    <w:multiLevelType w:val="hybridMultilevel"/>
    <w:lvl w:ilvl="0">
      <w:lvlJc w:val="left"/>
      <w:lvlText w:val="(%1)"/>
      <w:numFmt w:val="lowerLetter"/>
      <w:start w:val="1"/>
    </w:lvl>
  </w:abstractNum>
  <w:abstractNum w:abstractNumId="20">
    <w:nsid w:val="2123D5F2"/>
    <w:multiLevelType w:val="hybridMultilevel"/>
    <w:lvl w:ilvl="0">
      <w:lvlJc w:val="left"/>
      <w:lvlText w:val="(%1)"/>
      <w:numFmt w:val="lowerLetter"/>
      <w:start w:val="4"/>
    </w:lvl>
  </w:abstractNum>
  <w:abstractNum w:abstractNumId="21">
    <w:nsid w:val="135B8110"/>
    <w:multiLevelType w:val="hybridMultilevel"/>
    <w:lvl w:ilvl="0">
      <w:lvlJc w:val="left"/>
      <w:lvlText w:val="(%1)"/>
      <w:numFmt w:val="lowerLetter"/>
      <w:start w:val="1"/>
    </w:lvl>
  </w:abstractNum>
  <w:abstractNum w:abstractNumId="22">
    <w:nsid w:val="94927A8"/>
    <w:multiLevelType w:val="hybridMultilevel"/>
    <w:lvl w:ilvl="0">
      <w:lvlJc w:val="left"/>
      <w:lvlText w:val="(%1)"/>
      <w:numFmt w:val="lowerLetter"/>
      <w:start w:val="3"/>
    </w:lvl>
  </w:abstractNum>
  <w:abstractNum w:abstractNumId="23">
    <w:nsid w:val="DCDF8F6"/>
    <w:multiLevelType w:val="hybridMultilevel"/>
    <w:lvl w:ilvl="0">
      <w:lvlJc w:val="left"/>
      <w:lvlText w:val="%1"/>
      <w:numFmt w:val="lowerLetter"/>
      <w:start w:val="1"/>
    </w:lvl>
    <w:lvl w:ilvl="1">
      <w:lvlJc w:val="left"/>
      <w:lvlText w:val="(%2)"/>
      <w:numFmt w:val="lowerLetter"/>
      <w:start w:val="1"/>
    </w:lvl>
  </w:abstractNum>
  <w:abstractNum w:abstractNumId="24">
    <w:nsid w:val="52D7B105"/>
    <w:multiLevelType w:val="hybridMultilevel"/>
    <w:lvl w:ilvl="0">
      <w:lvlJc w:val="left"/>
      <w:lvlText w:val="(%1)"/>
      <w:numFmt w:val="lowerLetter"/>
      <w:start w:val="35"/>
    </w:lvl>
    <w:lvl w:ilvl="1">
      <w:lvlJc w:val="left"/>
      <w:lvlText w:val="%2"/>
      <w:numFmt w:val="lowerLetter"/>
      <w:start w:val="1"/>
    </w:lvl>
  </w:abstractNum>
  <w:abstractNum w:abstractNumId="25">
    <w:nsid w:val="2E8A6394"/>
    <w:multiLevelType w:val="hybridMultilevel"/>
    <w:lvl w:ilvl="0">
      <w:lvlJc w:val="left"/>
      <w:lvlText w:val="(%1)"/>
      <w:numFmt w:val="lowerLetter"/>
      <w:start w:val="1"/>
    </w:lvl>
    <w:lvl w:ilvl="1">
      <w:lvlJc w:val="left"/>
      <w:lvlText w:val="(%2)"/>
      <w:numFmt w:val="lowerRoman"/>
      <w:start w:val="1"/>
    </w:lvl>
  </w:abstractNum>
  <w:abstractNum w:abstractNumId="26">
    <w:nsid w:val="24E60401"/>
    <w:multiLevelType w:val="hybridMultilevel"/>
    <w:lvl w:ilvl="0">
      <w:lvlJc w:val="left"/>
      <w:lvlText w:val="(%1)"/>
      <w:numFmt w:val="lowerRoman"/>
      <w:start w:val="6"/>
    </w:lvl>
  </w:abstractNum>
  <w:abstractNum w:abstractNumId="27">
    <w:nsid w:val="2A6AD9BE"/>
    <w:multiLevelType w:val="hybridMultilevel"/>
    <w:lvl w:ilvl="0">
      <w:lvlJc w:val="left"/>
      <w:lvlText w:val="%1"/>
      <w:numFmt w:val="lowerLetter"/>
      <w:start w:val="1"/>
    </w:lvl>
    <w:lvl w:ilvl="1">
      <w:lvlJc w:val="left"/>
      <w:lvlText w:val="(%2)"/>
      <w:numFmt w:val="lowerRoman"/>
      <w:start w:val="14"/>
    </w:lvl>
  </w:abstractNum>
  <w:abstractNum w:abstractNumId="28">
    <w:nsid w:val="BAAC1B4"/>
    <w:multiLevelType w:val="hybridMultilevel"/>
    <w:lvl w:ilvl="0">
      <w:lvlJc w:val="left"/>
      <w:lvlText w:val="(%1)"/>
      <w:numFmt w:val="lowerLetter"/>
      <w:start w:val="2"/>
    </w:lvl>
    <w:lvl w:ilvl="1">
      <w:lvlJc w:val="left"/>
      <w:lvlText w:val="%2"/>
      <w:numFmt w:val="lowerRoman"/>
      <w:start w:val="1"/>
    </w:lvl>
  </w:abstractNum>
  <w:abstractNum w:abstractNumId="29">
    <w:nsid w:val="36B2ACBC"/>
    <w:multiLevelType w:val="hybridMultilevel"/>
    <w:lvl w:ilvl="0">
      <w:lvlJc w:val="left"/>
      <w:lvlText w:val="(%1)"/>
      <w:numFmt w:val="lowerLetter"/>
      <w:start w:val="1"/>
    </w:lvl>
  </w:abstractNum>
  <w:abstractNum w:abstractNumId="30">
    <w:nsid w:val="779D8544"/>
    <w:multiLevelType w:val="hybridMultilevel"/>
    <w:lvl w:ilvl="0">
      <w:lvlJc w:val="left"/>
      <w:lvlText w:val="(%1)"/>
      <w:numFmt w:val="lowerLetter"/>
      <w:start w:val="6"/>
    </w:lvl>
  </w:abstractNum>
  <w:abstractNum w:abstractNumId="31">
    <w:nsid w:val="4AB26E78"/>
    <w:multiLevelType w:val="hybridMultilevel"/>
    <w:lvl w:ilvl="0">
      <w:lvlJc w:val="left"/>
      <w:lvlText w:val="(%1)"/>
      <w:numFmt w:val="lowerLetter"/>
      <w:start w:val="1"/>
    </w:lvl>
  </w:abstractNum>
  <w:abstractNum w:abstractNumId="32">
    <w:nsid w:val="21FAA2FA"/>
    <w:multiLevelType w:val="hybridMultilevel"/>
    <w:lvl w:ilvl="0">
      <w:lvlJc w:val="left"/>
      <w:lvlText w:val="(%1)"/>
      <w:numFmt w:val="lowerLetter"/>
      <w:start w:val="2"/>
    </w:lvl>
  </w:abstractNum>
  <w:abstractNum w:abstractNumId="33">
    <w:nsid w:val="5451CF49"/>
    <w:multiLevelType w:val="hybridMultilevel"/>
    <w:lvl w:ilvl="0">
      <w:lvlJc w:val="left"/>
      <w:lvlText w:val="(%1)"/>
      <w:numFmt w:val="lowerLetter"/>
      <w:start w:val="1"/>
    </w:lvl>
  </w:abstractNum>
  <w:abstractNum w:abstractNumId="34">
    <w:nsid w:val="6181EF69"/>
    <w:multiLevelType w:val="hybridMultilevel"/>
    <w:lvl w:ilvl="0">
      <w:lvlJc w:val="left"/>
      <w:lvlText w:val="(%1)"/>
      <w:numFmt w:val="lowerLetter"/>
      <w:start w:val="3"/>
    </w:lvl>
  </w:abstractNum>
  <w:abstractNum w:abstractNumId="35">
    <w:nsid w:val="3E6400E6"/>
    <w:multiLevelType w:val="hybridMultilevel"/>
    <w:lvl w:ilvl="0">
      <w:lvlJc w:val="left"/>
      <w:lvlText w:val="(%1)"/>
      <w:numFmt w:val="lowerLetter"/>
      <w:start w:val="6"/>
    </w:lvl>
  </w:abstractNum>
  <w:abstractNum w:abstractNumId="36">
    <w:nsid w:val="14217E23"/>
    <w:multiLevelType w:val="hybridMultilevel"/>
    <w:lvl w:ilvl="0">
      <w:lvlJc w:val="left"/>
      <w:lvlText w:val="(%1)"/>
      <w:numFmt w:val="lowerLetter"/>
      <w:start w:val="11"/>
    </w:lvl>
  </w:abstractNum>
  <w:abstractNum w:abstractNumId="37">
    <w:nsid w:val="710757D0"/>
    <w:multiLevelType w:val="hybridMultilevel"/>
    <w:lvl w:ilvl="0">
      <w:lvlJc w:val="left"/>
      <w:lvlText w:val="(%1)"/>
      <w:numFmt w:val="lowerLetter"/>
      <w:start w:val="1"/>
    </w:lvl>
  </w:abstractNum>
  <w:abstractNum w:abstractNumId="38">
    <w:nsid w:val="5015CD1A"/>
    <w:multiLevelType w:val="hybridMultilevel"/>
    <w:lvl w:ilvl="0">
      <w:lvlJc w:val="left"/>
      <w:lvlText w:val="(%1)"/>
      <w:numFmt w:val="lowerLetter"/>
      <w:start w:val="3"/>
    </w:lvl>
  </w:abstractNum>
  <w:abstractNum w:abstractNumId="39">
    <w:nsid w:val="424479DA"/>
    <w:multiLevelType w:val="hybridMultilevel"/>
    <w:lvl w:ilvl="0">
      <w:lvlJc w:val="left"/>
      <w:lvlText w:val="(%1)"/>
      <w:numFmt w:val="lowerLetter"/>
      <w:start w:val="1"/>
    </w:lvl>
  </w:abstractNum>
  <w:abstractNum w:abstractNumId="40">
    <w:nsid w:val="1A9A9E69"/>
    <w:multiLevelType w:val="hybridMultilevel"/>
    <w:lvl w:ilvl="0">
      <w:lvlJc w:val="left"/>
      <w:lvlText w:val="(%1)"/>
      <w:numFmt w:val="lowerLetter"/>
      <w:start w:val="3"/>
    </w:lvl>
  </w:abstractNum>
  <w:abstractNum w:abstractNumId="41">
    <w:nsid w:val="475E256A"/>
    <w:multiLevelType w:val="hybridMultilevel"/>
    <w:lvl w:ilvl="0">
      <w:lvlJc w:val="left"/>
      <w:lvlText w:val="(%1)"/>
      <w:numFmt w:val="lowerLetter"/>
      <w:start w:val="13"/>
    </w:lvl>
  </w:abstractNum>
  <w:abstractNum w:abstractNumId="42">
    <w:nsid w:val="368DB37E"/>
    <w:multiLevelType w:val="hybridMultilevel"/>
    <w:lvl w:ilvl="0">
      <w:lvlJc w:val="left"/>
      <w:lvlText w:val="(%1)"/>
      <w:numFmt w:val="lowerLetter"/>
      <w:start w:val="1"/>
    </w:lvl>
  </w:abstractNum>
  <w:abstractNum w:abstractNumId="43">
    <w:nsid w:val="6A3B714C"/>
    <w:multiLevelType w:val="hybridMultilevel"/>
    <w:lvl w:ilvl="0">
      <w:lvlJc w:val="left"/>
      <w:lvlText w:val="(%1)"/>
      <w:numFmt w:val="lowerLetter"/>
      <w:start w:val="4"/>
    </w:lvl>
  </w:abstractNum>
  <w:abstractNum w:abstractNumId="44">
    <w:nsid w:val="327B517E"/>
    <w:multiLevelType w:val="hybridMultilevel"/>
    <w:lvl w:ilvl="0">
      <w:lvlJc w:val="left"/>
      <w:lvlText w:val="%1"/>
      <w:numFmt w:val="lowerLetter"/>
      <w:start w:val="1"/>
    </w:lvl>
    <w:lvl w:ilvl="1">
      <w:lvlJc w:val="left"/>
      <w:lvlText w:val="(%2)"/>
      <w:numFmt w:val="lowerLetter"/>
      <w:start w:val="1"/>
    </w:lvl>
  </w:abstractNum>
  <w:abstractNum w:abstractNumId="45">
    <w:nsid w:val="1F461B51"/>
    <w:multiLevelType w:val="hybridMultilevel"/>
    <w:lvl w:ilvl="0">
      <w:lvlJc w:val="left"/>
      <w:lvlText w:val="(%1)"/>
      <w:numFmt w:val="lowerLetter"/>
      <w:start w:val="35"/>
    </w:lvl>
    <w:lvl w:ilvl="1">
      <w:lvlJc w:val="left"/>
      <w:lvlText w:val="%2"/>
      <w:numFmt w:val="lowerLetter"/>
      <w:start w:val="1"/>
    </w:lvl>
  </w:abstractNum>
  <w:abstractNum w:abstractNumId="46">
    <w:nsid w:val="29BACF25"/>
    <w:multiLevelType w:val="hybridMultilevel"/>
    <w:lvl w:ilvl="0">
      <w:lvlJc w:val="left"/>
      <w:lvlText w:val="(%1)"/>
      <w:numFmt w:val="lowerLetter"/>
      <w:start w:val="3"/>
    </w:lvl>
  </w:abstractNum>
  <w:abstractNum w:abstractNumId="47">
    <w:nsid w:val="5D5BABB3"/>
    <w:multiLevelType w:val="hybridMultilevel"/>
    <w:lvl w:ilvl="0">
      <w:lvlJc w:val="left"/>
      <w:lvlText w:val="(%1)"/>
      <w:numFmt w:val="lowerLetter"/>
      <w:start w:val="1"/>
    </w:lvl>
  </w:abstractNum>
  <w:abstractNum w:abstractNumId="48">
    <w:nsid w:val="51BF6B48"/>
    <w:multiLevelType w:val="hybridMultilevel"/>
    <w:lvl w:ilvl="0">
      <w:lvlJc w:val="left"/>
      <w:lvlText w:val="(%1)"/>
      <w:numFmt w:val="lowerLetter"/>
      <w:start w:val="1"/>
    </w:lvl>
  </w:abstractNum>
  <w:abstractNum w:abstractNumId="49">
    <w:nsid w:val="7E0F6384"/>
    <w:multiLevelType w:val="hybridMultilevel"/>
    <w:lvl w:ilvl="0">
      <w:lvlJc w:val="left"/>
      <w:lvlText w:val="(%1)"/>
      <w:numFmt w:val="lowerLetter"/>
      <w:start w:val="1"/>
    </w:lvl>
  </w:abstractNum>
  <w:abstractNum w:abstractNumId="50">
    <w:nsid w:val="2B4B8B53"/>
    <w:multiLevelType w:val="hybridMultilevel"/>
    <w:lvl w:ilvl="0">
      <w:lvlJc w:val="left"/>
      <w:lvlText w:val="%1"/>
      <w:numFmt w:val="lowerLetter"/>
      <w:start w:val="1"/>
    </w:lvl>
    <w:lvl w:ilvl="1">
      <w:lvlJc w:val="left"/>
      <w:lvlText w:val="(%2)"/>
      <w:numFmt w:val="lowerLetter"/>
      <w:start w:val="1"/>
    </w:lvl>
  </w:abstractNum>
  <w:abstractNum w:abstractNumId="51">
    <w:nsid w:val="72E3413A"/>
    <w:multiLevelType w:val="hybridMultilevel"/>
    <w:lvl w:ilvl="0">
      <w:lvlJc w:val="left"/>
      <w:lvlText w:val="(%1)"/>
      <w:numFmt w:val="lowerLetter"/>
      <w:start w:val="22"/>
    </w:lvl>
    <w:lvl w:ilvl="1">
      <w:lvlJc w:val="left"/>
      <w:lvlText w:val="(%2)"/>
      <w:numFmt w:val="lowerLetter"/>
      <w:start w:val="2"/>
    </w:lvl>
  </w:abstractNum>
  <w:abstractNum w:abstractNumId="52">
    <w:nsid w:val="116AE494"/>
    <w:multiLevelType w:val="hybridMultilevel"/>
    <w:lvl w:ilvl="0">
      <w:lvlJc w:val="left"/>
      <w:lvlText w:val="(%1)"/>
      <w:numFmt w:val="lowerLetter"/>
      <w:start w:val="1"/>
    </w:lvl>
  </w:abstractNum>
  <w:abstractNum w:abstractNumId="53">
    <w:nsid w:val="3494B2FB"/>
    <w:multiLevelType w:val="hybridMultilevel"/>
    <w:lvl w:ilvl="0">
      <w:lvlJc w:val="left"/>
      <w:lvlText w:val="(%1)"/>
      <w:numFmt w:val="lowerLetter"/>
      <w:start w:val="3"/>
    </w:lvl>
  </w:abstractNum>
  <w:abstractNum w:abstractNumId="54">
    <w:nsid w:val="B13A31"/>
    <w:multiLevelType w:val="hybridMultilevel"/>
    <w:lvl w:ilvl="0">
      <w:lvlJc w:val="left"/>
      <w:lvlText w:val="(%1)"/>
      <w:numFmt w:val="lowerLetter"/>
      <w:start w:val="5"/>
    </w:lvl>
  </w:abstractNum>
  <w:abstractNum w:abstractNumId="55">
    <w:nsid w:val="64429599"/>
    <w:multiLevelType w:val="hybridMultilevel"/>
    <w:lvl w:ilvl="0">
      <w:lvlJc w:val="left"/>
      <w:lvlText w:val="%1"/>
      <w:numFmt w:val="lowerLetter"/>
      <w:start w:val="1"/>
    </w:lvl>
    <w:lvl w:ilvl="1">
      <w:lvlJc w:val="left"/>
      <w:lvlText w:val="(%2)"/>
      <w:numFmt w:val="lowerLetter"/>
      <w:start w:val="1"/>
    </w:lvl>
  </w:abstractNum>
  <w:abstractNum w:abstractNumId="56">
    <w:nsid w:val="631F1690"/>
    <w:multiLevelType w:val="hybridMultilevel"/>
    <w:lvl w:ilvl="0">
      <w:lvlJc w:val="left"/>
      <w:lvlText w:val="(%1)"/>
      <w:numFmt w:val="lowerLetter"/>
      <w:start w:val="9"/>
    </w:lvl>
    <w:lvl w:ilvl="1">
      <w:lvlJc w:val="left"/>
      <w:lvlText w:val="%2"/>
      <w:numFmt w:val="lowerLetter"/>
      <w:start w:val="1"/>
    </w:lvl>
  </w:abstractNum>
  <w:abstractNum w:abstractNumId="57">
    <w:nsid w:val="25973E32"/>
    <w:multiLevelType w:val="hybridMultilevel"/>
    <w:lvl w:ilvl="0">
      <w:lvlJc w:val="left"/>
      <w:lvlText w:val="(%1)"/>
      <w:numFmt w:val="lowerRoman"/>
      <w:start w:val="4"/>
    </w:lvl>
  </w:abstractNum>
  <w:abstractNum w:abstractNumId="58">
    <w:nsid w:val="EAD6F57"/>
    <w:multiLevelType w:val="hybridMultilevel"/>
    <w:lvl w:ilvl="0">
      <w:lvlJc w:val="left"/>
      <w:lvlText w:val="(%1)"/>
      <w:numFmt w:val="lowerLetter"/>
      <w:start w:val="1"/>
    </w:lvl>
  </w:abstractNum>
  <w:abstractNum w:abstractNumId="59">
    <w:nsid w:val="6EC9D844"/>
    <w:multiLevelType w:val="hybridMultilevel"/>
    <w:lvl w:ilvl="0">
      <w:lvlJc w:val="left"/>
      <w:lvlText w:val="(%1)"/>
      <w:numFmt w:val="lowerLetter"/>
      <w:start w:val="1"/>
    </w:lvl>
  </w:abstractNum>
  <w:abstractNum w:abstractNumId="60">
    <w:nsid w:val="5C49EAEE"/>
    <w:multiLevelType w:val="hybridMultilevel"/>
    <w:lvl w:ilvl="0">
      <w:lvlJc w:val="left"/>
      <w:lvlText w:val="%1"/>
      <w:numFmt w:val="lowerLetter"/>
      <w:start w:val="1"/>
    </w:lvl>
    <w:lvl w:ilvl="1">
      <w:lvlJc w:val="left"/>
      <w:lvlText w:val="(%2)"/>
      <w:numFmt w:val="lowerLetter"/>
      <w:start w:val="2"/>
    </w:lvl>
  </w:abstractNum>
  <w:abstractNum w:abstractNumId="61">
    <w:nsid w:val="64AF49B"/>
    <w:multiLevelType w:val="hybridMultilevel"/>
    <w:lvl w:ilvl="0">
      <w:lvlJc w:val="left"/>
      <w:lvlText w:val="(%1)"/>
      <w:numFmt w:val="lowerLetter"/>
      <w:start w:val="61"/>
    </w:lvl>
    <w:lvl w:ilvl="1">
      <w:lvlJc w:val="left"/>
      <w:lvlText w:val="%2"/>
      <w:numFmt w:val="lowerLetter"/>
      <w:start w:val="1"/>
    </w:lvl>
  </w:abstractNum>
  <w:abstractNum w:abstractNumId="62">
    <w:nsid w:val="397C46BC"/>
    <w:multiLevelType w:val="hybridMultilevel"/>
    <w:lvl w:ilvl="0">
      <w:lvlJc w:val="left"/>
      <w:lvlText w:val="(%1)"/>
      <w:numFmt w:val="lowerLetter"/>
      <w:start w:val="1"/>
    </w:lvl>
  </w:abstractNum>
  <w:abstractNum w:abstractNumId="63">
    <w:nsid w:val="7E448DE9"/>
    <w:multiLevelType w:val="hybridMultilevel"/>
    <w:lvl w:ilvl="0">
      <w:lvlJc w:val="left"/>
      <w:lvlText w:val="(%1)"/>
      <w:numFmt w:val="lowerLetter"/>
      <w:start w:val="2"/>
    </w:lvl>
  </w:abstractNum>
  <w:abstractNum w:abstractNumId="64">
    <w:nsid w:val="5A9CC3E5"/>
    <w:multiLevelType w:val="hybridMultilevel"/>
    <w:lvl w:ilvl="0">
      <w:lvlJc w:val="left"/>
      <w:lvlText w:val="(%1)"/>
      <w:numFmt w:val="lowerRoman"/>
      <w:start w:val="2"/>
    </w:lvl>
  </w:abstractNum>
  <w:abstractNum w:abstractNumId="65">
    <w:nsid w:val="1AFE3625"/>
    <w:multiLevelType w:val="hybridMultilevel"/>
    <w:lvl w:ilvl="0">
      <w:lvlJc w:val="left"/>
      <w:lvlText w:val="(%1)"/>
      <w:numFmt w:val="lowerLetter"/>
      <w:start w:val="1"/>
    </w:lvl>
  </w:abstractNum>
  <w:abstractNum w:abstractNumId="66">
    <w:nsid w:val="3CA88ECF"/>
    <w:multiLevelType w:val="hybridMultilevel"/>
    <w:lvl w:ilvl="0">
      <w:lvlJc w:val="left"/>
      <w:lvlText w:val="(%1)"/>
      <w:numFmt w:val="lowerLetter"/>
      <w:start w:val="1"/>
    </w:lvl>
  </w:abstractNum>
  <w:abstractNum w:abstractNumId="67">
    <w:nsid w:val="6EBE4208"/>
    <w:multiLevelType w:val="hybridMultilevel"/>
    <w:lvl w:ilvl="0">
      <w:lvlJc w:val="left"/>
      <w:lvlText w:val="(%1)"/>
      <w:numFmt w:val="lowerLetter"/>
      <w:start w:val="2"/>
    </w:lvl>
  </w:abstractNum>
  <w:abstractNum w:abstractNumId="68">
    <w:nsid w:val="C058DF5"/>
    <w:multiLevelType w:val="hybridMultilevel"/>
    <w:lvl w:ilvl="0">
      <w:lvlJc w:val="left"/>
      <w:lvlText w:val="(%1)"/>
      <w:numFmt w:val="lowerLetter"/>
      <w:start w:val="1"/>
    </w:lvl>
    <w:lvl w:ilvl="1">
      <w:lvlJc w:val="left"/>
      <w:lvlText w:val="(%2)"/>
      <w:numFmt w:val="lowerRoman"/>
      <w:start w:val="1"/>
    </w:lvl>
  </w:abstractNum>
  <w:abstractNum w:abstractNumId="69">
    <w:nsid w:val="CBE5BE9"/>
    <w:multiLevelType w:val="hybridMultilevel"/>
    <w:lvl w:ilvl="0">
      <w:lvlJc w:val="left"/>
      <w:lvlText w:val="(%1)"/>
      <w:numFmt w:val="lowerRoman"/>
      <w:start w:val="5"/>
    </w:lvl>
  </w:abstractNum>
  <w:abstractNum w:abstractNumId="70">
    <w:nsid w:val="3102BBE2"/>
    <w:multiLevelType w:val="hybridMultilevel"/>
    <w:lvl w:ilvl="0">
      <w:lvlJc w:val="left"/>
      <w:lvlText w:val="(%1)"/>
      <w:numFmt w:val="lowerRoman"/>
      <w:start w:val="10"/>
    </w:lvl>
  </w:abstractNum>
  <w:abstractNum w:abstractNumId="71">
    <w:nsid w:val="26A02C5E"/>
    <w:multiLevelType w:val="hybridMultilevel"/>
    <w:lvl w:ilvl="0">
      <w:lvlJc w:val="left"/>
      <w:lvlText w:val="(%1)"/>
      <w:numFmt w:val="lowerLetter"/>
      <w:start w:val="1"/>
    </w:lvl>
  </w:abstractNum>
  <w:abstractNum w:abstractNumId="72">
    <w:nsid w:val="541C8153"/>
    <w:multiLevelType w:val="hybridMultilevel"/>
    <w:lvl w:ilvl="0">
      <w:lvlJc w:val="left"/>
      <w:lvlText w:val="(%1)"/>
      <w:numFmt w:val="lowerLetter"/>
      <w:start w:val="2"/>
    </w:lvl>
  </w:abstractNum>
  <w:abstractNum w:abstractNumId="73">
    <w:nsid w:val="67906F60"/>
    <w:multiLevelType w:val="hybridMultilevel"/>
    <w:lvl w:ilvl="0">
      <w:lvlJc w:val="left"/>
      <w:lvlText w:val="(%1)"/>
      <w:numFmt w:val="lowerLetter"/>
      <w:start w:val="4"/>
    </w:lvl>
  </w:abstractNum>
  <w:abstractNum w:abstractNumId="74">
    <w:nsid w:val="10DB9DAA"/>
    <w:multiLevelType w:val="hybridMultilevel"/>
    <w:lvl w:ilvl="0">
      <w:lvlJc w:val="left"/>
      <w:lvlText w:val="(%1)"/>
      <w:numFmt w:val="lowerLetter"/>
      <w:start w:val="1"/>
    </w:lvl>
  </w:abstractNum>
  <w:abstractNum w:abstractNumId="75">
    <w:nsid w:val="697D2D2"/>
    <w:multiLevelType w:val="hybridMultilevel"/>
    <w:lvl w:ilvl="0">
      <w:lvlJc w:val="left"/>
      <w:lvlText w:val="(%1)"/>
      <w:numFmt w:val="lowerLetter"/>
      <w:start w:val="3"/>
    </w:lvl>
  </w:abstractNum>
  <w:abstractNum w:abstractNumId="76">
    <w:nsid w:val="6D68AB2"/>
    <w:multiLevelType w:val="hybridMultilevel"/>
    <w:lvl w:ilvl="0">
      <w:lvlJc w:val="left"/>
      <w:lvlText w:val="(%1)"/>
      <w:numFmt w:val="lowerLetter"/>
      <w:start w:val="1"/>
    </w:lvl>
  </w:abstractNum>
  <w:abstractNum w:abstractNumId="77">
    <w:nsid w:val="3A966CD0"/>
    <w:multiLevelType w:val="hybridMultilevel"/>
    <w:lvl w:ilvl="0">
      <w:lvlJc w:val="left"/>
      <w:lvlText w:val="(%1)"/>
      <w:numFmt w:val="lowerLetter"/>
      <w:start w:val="2"/>
    </w:lvl>
  </w:abstractNum>
  <w:abstractNum w:abstractNumId="78">
    <w:nsid w:val="63F37E85"/>
    <w:multiLevelType w:val="hybridMultilevel"/>
    <w:lvl w:ilvl="0">
      <w:lvlJc w:val="left"/>
      <w:lvlText w:val="(%1)"/>
      <w:numFmt w:val="lowerLetter"/>
      <w:start w:val="1"/>
    </w:lvl>
    <w:lvl w:ilvl="1">
      <w:lvlJc w:val="left"/>
      <w:lvlText w:val="(%2)"/>
      <w:numFmt w:val="lowerRoman"/>
      <w:start w:val="1"/>
    </w:lvl>
  </w:abstractNum>
  <w:abstractNum w:abstractNumId="79">
    <w:nsid w:val="5895F5FA"/>
    <w:multiLevelType w:val="hybridMultilevel"/>
    <w:lvl w:ilvl="0">
      <w:lvlJc w:val="left"/>
      <w:lvlText w:val="(%1)"/>
      <w:numFmt w:val="lowerLetter"/>
      <w:start w:val="2"/>
    </w:lvl>
  </w:abstractNum>
  <w:abstractNum w:abstractNumId="80">
    <w:nsid w:val="38A5D054"/>
    <w:multiLevelType w:val="hybridMultilevel"/>
    <w:lvl w:ilvl="0">
      <w:lvlJc w:val="left"/>
      <w:lvlText w:val="(%1)"/>
      <w:numFmt w:val="lowerLetter"/>
      <w:start w:val="1"/>
    </w:lvl>
  </w:abstractNum>
  <w:abstractNum w:abstractNumId="81">
    <w:nsid w:val="F3F09D8"/>
    <w:multiLevelType w:val="hybridMultilevel"/>
    <w:lvl w:ilvl="0">
      <w:lvlJc w:val="left"/>
      <w:lvlText w:val="(%1)"/>
      <w:numFmt w:val="lowerLetter"/>
      <w:start w:val="1"/>
    </w:lvl>
  </w:abstractNum>
  <w:abstractNum w:abstractNumId="82">
    <w:nsid w:val="4B793735"/>
    <w:multiLevelType w:val="hybridMultilevel"/>
    <w:lvl w:ilvl="0">
      <w:lvlJc w:val="left"/>
      <w:lvlText w:val="(%1)"/>
      <w:numFmt w:val="upperLetter"/>
      <w:start w:val="2"/>
    </w:lvl>
  </w:abstractNum>
  <w:abstractNum w:abstractNumId="83">
    <w:nsid w:val="4A10B4E8"/>
    <w:multiLevelType w:val="hybridMultilevel"/>
    <w:lvl w:ilvl="0">
      <w:lvlJc w:val="left"/>
      <w:lvlText w:val="(%1)"/>
      <w:numFmt w:val="lowerLetter"/>
      <w:start w:val="1"/>
    </w:lvl>
  </w:abstractNum>
  <w:abstractNum w:abstractNumId="84">
    <w:nsid w:val="43D3BCD4"/>
    <w:multiLevelType w:val="hybridMultilevel"/>
    <w:lvl w:ilvl="0">
      <w:lvlJc w:val="left"/>
      <w:lvlText w:val="(%1)"/>
      <w:numFmt w:val="lowerLetter"/>
      <w:start w:val="2"/>
    </w:lvl>
  </w:abstractNum>
  <w:abstractNum w:abstractNumId="85">
    <w:nsid w:val="4C2A7166"/>
    <w:multiLevelType w:val="hybridMultilevel"/>
    <w:lvl w:ilvl="0">
      <w:lvlJc w:val="left"/>
      <w:lvlText w:val="(%1)"/>
      <w:numFmt w:val="lowerLetter"/>
      <w:start w:val="9"/>
    </w:lvl>
  </w:abstractNum>
  <w:abstractNum w:abstractNumId="86">
    <w:nsid w:val="2E534A82"/>
    <w:multiLevelType w:val="hybridMultilevel"/>
    <w:lvl w:ilvl="0">
      <w:lvlJc w:val="left"/>
      <w:lvlText w:val="(%1)"/>
      <w:numFmt w:val="lowerLetter"/>
      <w:start w:val="1"/>
    </w:lvl>
  </w:abstractNum>
  <w:abstractNum w:abstractNumId="87">
    <w:nsid w:val="26F2D364"/>
    <w:multiLevelType w:val="hybridMultilevel"/>
    <w:lvl w:ilvl="0">
      <w:lvlJc w:val="left"/>
      <w:lvlText w:val="(%1)"/>
      <w:numFmt w:val="lowerLetter"/>
      <w:start w:val="1"/>
    </w:lvl>
  </w:abstractNum>
  <w:abstractNum w:abstractNumId="88">
    <w:nsid w:val="71C1AF98"/>
    <w:multiLevelType w:val="hybridMultilevel"/>
    <w:lvl w:ilvl="0">
      <w:lvlJc w:val="left"/>
      <w:lvlText w:val="(%1)"/>
      <w:numFmt w:val="lowerLetter"/>
      <w:start w:val="2"/>
    </w:lvl>
  </w:abstractNum>
  <w:abstractNum w:abstractNumId="89">
    <w:nsid w:val="3D00B9D9"/>
    <w:multiLevelType w:val="hybridMultilevel"/>
    <w:lvl w:ilvl="0">
      <w:lvlJc w:val="left"/>
      <w:lvlText w:val="(%1)"/>
      <w:numFmt w:val="lowerLetter"/>
      <w:start w:val="1"/>
    </w:lvl>
  </w:abstractNum>
  <w:abstractNum w:abstractNumId="90">
    <w:nsid w:val="15BCABA8"/>
    <w:multiLevelType w:val="hybridMultilevel"/>
    <w:lvl w:ilvl="0">
      <w:lvlJc w:val="left"/>
      <w:lvlText w:val="(%1)"/>
      <w:numFmt w:val="lowerLetter"/>
      <w:start w:val="3"/>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lowerLetter"/>
      <w:start w:val="3"/>
    </w:lvl>
  </w:abstractNum>
  <w:abstractNum w:abstractNumId="93">
    <w:nsid w:val="4F38F265"/>
    <w:multiLevelType w:val="hybridMultilevel"/>
    <w:lvl w:ilvl="0">
      <w:lvlJc w:val="left"/>
      <w:lvlText w:val="(%1)"/>
      <w:numFmt w:val="lowerLetter"/>
      <w:start w:val="1"/>
    </w:lvl>
  </w:abstractNum>
  <w:abstractNum w:abstractNumId="94">
    <w:nsid w:val="4C502870"/>
    <w:multiLevelType w:val="hybridMultilevel"/>
    <w:lvl w:ilvl="0">
      <w:lvlJc w:val="left"/>
      <w:lvlText w:val="(%1)"/>
      <w:numFmt w:val="lowerLetter"/>
      <w:start w:val="4"/>
    </w:lvl>
  </w:abstractNum>
  <w:abstractNum w:abstractNumId="95">
    <w:nsid w:val="1DE8725A"/>
    <w:multiLevelType w:val="hybridMultilevel"/>
    <w:lvl w:ilvl="0">
      <w:lvlJc w:val="left"/>
      <w:lvlText w:val="(%1)"/>
      <w:numFmt w:val="lowerLetter"/>
      <w:start w:val="1"/>
    </w:lvl>
  </w:abstractNum>
  <w:abstractNum w:abstractNumId="96">
    <w:nsid w:val="6A37288A"/>
    <w:multiLevelType w:val="hybridMultilevel"/>
    <w:lvl w:ilvl="0">
      <w:lvlJc w:val="left"/>
      <w:lvlText w:val="(%1)"/>
      <w:numFmt w:val="lowerLetter"/>
      <w:start w:val="4"/>
    </w:lvl>
  </w:abstractNum>
  <w:abstractNum w:abstractNumId="97">
    <w:nsid w:val="8F8B73F"/>
    <w:multiLevelType w:val="hybridMultilevel"/>
    <w:lvl w:ilvl="0">
      <w:lvlJc w:val="left"/>
      <w:lvlText w:val="(%1)"/>
      <w:numFmt w:val="lowerLetter"/>
      <w:start w:val="1"/>
    </w:lvl>
  </w:abstractNum>
  <w:abstractNum w:abstractNumId="98">
    <w:nsid w:val="CA6B462"/>
    <w:multiLevelType w:val="hybridMultilevel"/>
    <w:lvl w:ilvl="0">
      <w:lvlJc w:val="left"/>
      <w:lvlText w:val="(%1)"/>
      <w:numFmt w:val="lowerLetter"/>
      <w:start w:val="1"/>
    </w:lvl>
  </w:abstractNum>
  <w:abstractNum w:abstractNumId="99">
    <w:nsid w:val="763CB680"/>
    <w:multiLevelType w:val="hybridMultilevel"/>
    <w:lvl w:ilvl="0">
      <w:lvlJc w:val="left"/>
      <w:lvlText w:val="(%1)"/>
      <w:numFmt w:val="lowerLetter"/>
      <w:start w:val="1"/>
    </w:lvl>
  </w:abstractNum>
  <w:abstractNum w:abstractNumId="100">
    <w:nsid w:val="15B71329"/>
    <w:multiLevelType w:val="hybridMultilevel"/>
    <w:lvl w:ilvl="0">
      <w:lvlJc w:val="left"/>
      <w:lvlText w:val="(%1)"/>
      <w:numFmt w:val="lowerLetter"/>
      <w:start w:val="7"/>
    </w:lvl>
  </w:abstractNum>
  <w:abstractNum w:abstractNumId="101">
    <w:nsid w:val="3DA97044"/>
    <w:multiLevelType w:val="hybridMultilevel"/>
    <w:lvl w:ilvl="0">
      <w:lvlJc w:val="left"/>
      <w:lvlText w:val="(%1)"/>
      <w:numFmt w:val="lowerLetter"/>
      <w:start w:val="1"/>
    </w:lvl>
  </w:abstractNum>
  <w:abstractNum w:abstractNumId="102">
    <w:nsid w:val="1CDCE2DE"/>
    <w:multiLevelType w:val="hybridMultilevel"/>
    <w:lvl w:ilvl="0">
      <w:lvlJc w:val="left"/>
      <w:lvlText w:val="(%1)"/>
      <w:numFmt w:val="lowerRoman"/>
      <w:start w:val="1"/>
    </w:lvl>
  </w:abstractNum>
  <w:abstractNum w:abstractNumId="103">
    <w:nsid w:val="69D3947C"/>
    <w:multiLevelType w:val="hybridMultilevel"/>
    <w:lvl w:ilvl="0">
      <w:lvlJc w:val="left"/>
      <w:lvlText w:val="(%1)"/>
      <w:numFmt w:val="lowerLetter"/>
      <w:start w:val="1"/>
    </w:lvl>
  </w:abstractNum>
  <w:abstractNum w:abstractNumId="104">
    <w:nsid w:val="2539DFA5"/>
    <w:multiLevelType w:val="hybridMultilevel"/>
    <w:lvl w:ilvl="0">
      <w:lvlJc w:val="left"/>
      <w:lvlText w:val="(%1)"/>
      <w:numFmt w:val="lowerLetter"/>
      <w:start w:val="6"/>
    </w:lvl>
    <w:lvl w:ilvl="1">
      <w:lvlJc w:val="left"/>
      <w:lvlText w:val="(%2)"/>
      <w:numFmt w:val="lowerRoman"/>
      <w:start w:val="1"/>
    </w:lvl>
  </w:abstractNum>
  <w:abstractNum w:abstractNumId="105">
    <w:nsid w:val="2DB88089"/>
    <w:multiLevelType w:val="hybridMultilevel"/>
    <w:lvl w:ilvl="0">
      <w:lvlJc w:val="left"/>
      <w:lvlText w:val="(%1)"/>
      <w:numFmt w:val="lowerLetter"/>
      <w:start w:val="1"/>
    </w:lvl>
  </w:abstractNum>
  <w:abstractNum w:abstractNumId="106">
    <w:nsid w:val="706B674E"/>
    <w:multiLevelType w:val="hybridMultilevel"/>
    <w:lvl w:ilvl="0">
      <w:lvlJc w:val="left"/>
      <w:lvlText w:val="(%1)"/>
      <w:numFmt w:val="lowerLetter"/>
      <w:start w:val="3"/>
    </w:lvl>
  </w:abstractNum>
  <w:abstractNum w:abstractNumId="107">
    <w:nsid w:val="2C106A57"/>
    <w:multiLevelType w:val="hybridMultilevel"/>
    <w:lvl w:ilvl="0">
      <w:lvlJc w:val="left"/>
      <w:lvlText w:val="(%1)"/>
      <w:numFmt w:val="lowerLetter"/>
      <w:start w:val="5"/>
    </w:lvl>
  </w:abstractNum>
  <w:abstractNum w:abstractNumId="108">
    <w:nsid w:val="684EED59"/>
    <w:multiLevelType w:val="hybridMultilevel"/>
    <w:lvl w:ilvl="0">
      <w:lvlJc w:val="left"/>
      <w:lvlText w:val="(%1)"/>
      <w:numFmt w:val="lowerLetter"/>
      <w:start w:val="1"/>
    </w:lvl>
  </w:abstractNum>
  <w:abstractNum w:abstractNumId="109">
    <w:nsid w:val="545EE5D3"/>
    <w:multiLevelType w:val="hybridMultilevel"/>
    <w:lvl w:ilvl="0">
      <w:lvlJc w:val="left"/>
      <w:lvlText w:val="(%1)"/>
      <w:numFmt w:val="lowerLetter"/>
      <w:start w:val="2"/>
    </w:lvl>
  </w:abstractNum>
  <w:abstractNum w:abstractNumId="110">
    <w:nsid w:val="4A66051"/>
    <w:multiLevelType w:val="hybridMultilevel"/>
    <w:lvl w:ilvl="0">
      <w:lvlJc w:val="left"/>
      <w:lvlText w:val="(%1)"/>
      <w:numFmt w:val="lowerLetter"/>
      <w:start w:val="1"/>
    </w:lvl>
  </w:abstractNum>
  <w:abstractNum w:abstractNumId="111">
    <w:nsid w:val="20F4BDAD"/>
    <w:multiLevelType w:val="hybridMultilevel"/>
    <w:lvl w:ilvl="0">
      <w:lvlJc w:val="left"/>
      <w:lvlText w:val="(%1)"/>
      <w:numFmt w:val="lowerLetter"/>
      <w:start w:val="2"/>
    </w:lvl>
  </w:abstractNum>
  <w:abstractNum w:abstractNumId="112">
    <w:nsid w:val="639DEFAC"/>
    <w:multiLevelType w:val="hybridMultilevel"/>
    <w:lvl w:ilvl="0">
      <w:lvlJc w:val="left"/>
      <w:lvlText w:val="%1."/>
      <w:numFmt w:val="decimal"/>
      <w:start w:val="1"/>
    </w:lvl>
  </w:abstractNum>
  <w:abstractNum w:abstractNumId="113">
    <w:nsid w:val="501F9786"/>
    <w:multiLevelType w:val="hybridMultilevel"/>
    <w:lvl w:ilvl="0">
      <w:lvlJc w:val="left"/>
      <w:lvlText w:val="%1."/>
      <w:numFmt w:val="decimal"/>
      <w:start w:val="1"/>
    </w:lvl>
  </w:abstractNum>
  <w:abstractNum w:abstractNumId="114">
    <w:nsid w:val="6B057295"/>
    <w:multiLevelType w:val="hybridMultilevel"/>
    <w:lvl w:ilvl="0">
      <w:lvlJc w:val="left"/>
      <w:lvlText w:val="%1."/>
      <w:numFmt w:val="decimal"/>
      <w:start w:val="1"/>
    </w:lvl>
  </w:abstractNum>
  <w:abstractNum w:abstractNumId="115">
    <w:nsid w:val="2771AC8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1C4A08EC"/>
    <w:multiLevelType w:val="hybridMultilevel"/>
    <w:lvl w:ilvl="0">
      <w:lvlJc w:val="left"/>
      <w:lvlText w:val="%1."/>
      <w:numFmt w:val="decimal"/>
      <w:start w:val="4"/>
    </w:lvl>
    <w:lvl w:ilvl="1">
      <w:lvlJc w:val="left"/>
      <w:lvlText w:val="%2."/>
      <w:numFmt w:val="lowerLetter"/>
      <w:start w:val="1"/>
    </w:lvl>
  </w:abstractNum>
  <w:abstractNum w:abstractNumId="117">
    <w:nsid w:val="1958BD17"/>
    <w:multiLevelType w:val="hybridMultilevel"/>
    <w:lvl w:ilvl="0">
      <w:lvlJc w:val="left"/>
      <w:lvlText w:val="%1."/>
      <w:numFmt w:val="lowerLetter"/>
      <w:start w:val="6"/>
    </w:lvl>
  </w:abstractNum>
  <w:abstractNum w:abstractNumId="118">
    <w:nsid w:val="4E647FE4"/>
    <w:multiLevelType w:val="hybridMultilevel"/>
    <w:lvl w:ilvl="0">
      <w:lvlJc w:val="left"/>
      <w:lvlText w:val="%1"/>
      <w:numFmt w:val="decimal"/>
      <w:start w:val="1"/>
    </w:lvl>
    <w:lvl w:ilvl="1">
      <w:lvlJc w:val="left"/>
      <w:lvlText w:val="%2."/>
      <w:numFmt w:val="lowerLetter"/>
      <w:start w:val="12"/>
    </w:lvl>
  </w:abstractNum>
  <w:abstractNum w:abstractNumId="119">
    <w:nsid w:val="E0BB885"/>
    <w:multiLevelType w:val="hybridMultilevel"/>
    <w:lvl w:ilvl="0">
      <w:lvlJc w:val="left"/>
      <w:lvlText w:val="%1."/>
      <w:numFmt w:val="decimal"/>
      <w:start w:val="6"/>
    </w:lvl>
    <w:lvl w:ilvl="1">
      <w:lvlJc w:val="left"/>
      <w:lvlText w:val="%2."/>
      <w:numFmt w:val="lowerLetter"/>
      <w:start w:val="1"/>
    </w:lvl>
  </w:abstractNum>
  <w:abstractNum w:abstractNumId="120">
    <w:nsid w:val="565976F1"/>
    <w:multiLevelType w:val="hybridMultilevel"/>
    <w:lvl w:ilvl="0">
      <w:lvlJc w:val="left"/>
      <w:lvlText w:val="%1"/>
      <w:numFmt w:val="lowerRoman"/>
      <w:start w:val="1"/>
    </w:lvl>
    <w:lvl w:ilvl="1">
      <w:lvlJc w:val="left"/>
      <w:lvlText w:val="%2."/>
      <w:numFmt w:val="lowerLetter"/>
      <w:start w:val="5"/>
    </w:lvl>
  </w:abstractNum>
  <w:abstractNum w:abstractNumId="121">
    <w:nsid w:val="64212B8C"/>
    <w:multiLevelType w:val="hybridMultilevel"/>
    <w:lvl w:ilvl="0">
      <w:lvlJc w:val="left"/>
      <w:lvlText w:val="(%1)"/>
      <w:numFmt w:val="lowerRoman"/>
      <w:start w:val="2"/>
    </w:lvl>
    <w:lvl w:ilvl="1">
      <w:lvlJc w:val="left"/>
      <w:lvlText w:val="%2."/>
      <w:numFmt w:val="lowerLetter"/>
      <w:start w:val="7"/>
    </w:lvl>
  </w:abstractNum>
  <w:abstractNum w:abstractNumId="122">
    <w:nsid w:val="5C17530C"/>
    <w:multiLevelType w:val="hybridMultilevel"/>
    <w:lvl w:ilvl="0">
      <w:lvlJc w:val="left"/>
      <w:lvlText w:val="%1."/>
      <w:numFmt w:val="lowerLetter"/>
      <w:start w:val="13"/>
    </w:lvl>
  </w:abstractNum>
  <w:abstractNum w:abstractNumId="123">
    <w:nsid w:val="19A52566"/>
    <w:multiLevelType w:val="hybridMultilevel"/>
    <w:lvl w:ilvl="0">
      <w:lvlJc w:val="left"/>
      <w:lvlText w:val="%1."/>
      <w:numFmt w:val="decimal"/>
      <w:start w:val="7"/>
    </w:lvl>
  </w:abstractNum>
  <w:abstractNum w:abstractNumId="124">
    <w:nsid w:val="335A1DF1"/>
    <w:multiLevelType w:val="hybridMultilevel"/>
    <w:lvl w:ilvl="0">
      <w:lvlJc w:val="left"/>
      <w:lvlText w:val="%1."/>
      <w:numFmt w:val="decimal"/>
      <w:start w:val="10"/>
    </w:lvl>
    <w:lvl w:ilvl="1">
      <w:lvlJc w:val="left"/>
      <w:lvlText w:val="%2."/>
      <w:numFmt w:val="lowerLetter"/>
      <w:start w:val="1"/>
    </w:lvl>
  </w:abstractNum>
  <w:abstractNum w:abstractNumId="125">
    <w:nsid w:val="28677B7C"/>
    <w:multiLevelType w:val="hybridMultilevel"/>
    <w:lvl w:ilvl="0">
      <w:lvlJc w:val="left"/>
      <w:lvlText w:val="%1."/>
      <w:numFmt w:val="lowerLetter"/>
      <w:start w:val="8"/>
    </w:lvl>
  </w:abstractNum>
  <w:abstractNum w:abstractNumId="126">
    <w:nsid w:val="378D97C0"/>
    <w:multiLevelType w:val="hybridMultilevel"/>
    <w:lvl w:ilvl="0">
      <w:lvlJc w:val="left"/>
      <w:lvlText w:val="%1."/>
      <w:numFmt w:val="lowerLetter"/>
      <w:start w:val="14"/>
    </w:lvl>
  </w:abstractNum>
  <w:abstractNum w:abstractNumId="127">
    <w:nsid w:val="1D91467C"/>
    <w:multiLevelType w:val="hybridMultilevel"/>
    <w:lvl w:ilvl="0">
      <w:lvlJc w:val="left"/>
      <w:lvlText w:val="%1."/>
      <w:numFmt w:val="decimal"/>
      <w:start w:val="11"/>
    </w:lvl>
  </w:abstractNum>
  <w:abstractNum w:abstractNumId="128">
    <w:nsid w:val="316032BB"/>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29">
    <w:nsid w:val="44344C22"/>
    <w:multiLevelType w:val="hybridMultilevel"/>
    <w:lvl w:ilvl="0">
      <w:lvlJc w:val="left"/>
      <w:lvlText w:val="☐"/>
      <w:numFmt w:val="bullet"/>
      <w:start w:val="1"/>
    </w:lvl>
  </w:abstractNum>
  <w:abstractNum w:abstractNumId="130">
    <w:nsid w:val="13CDFCFC"/>
    <w:multiLevelType w:val="hybridMultilevel"/>
    <w:lvl w:ilvl="0">
      <w:lvlJc w:val="left"/>
      <w:lvlText w:val="%1."/>
      <w:numFmt w:val="decimal"/>
      <w:start w:val="1"/>
    </w:lvl>
  </w:abstractNum>
  <w:abstractNum w:abstractNumId="131">
    <w:nsid w:val="471745E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2">
    <w:nsid w:val="1DDBC66"/>
    <w:multiLevelType w:val="hybridMultilevel"/>
    <w:lvl w:ilvl="0">
      <w:lvlJc w:val="left"/>
      <w:lvlText w:val="%1."/>
      <w:numFmt w:val="decimal"/>
      <w:start w:val="4"/>
    </w:lvl>
    <w:lvl w:ilvl="1">
      <w:lvlJc w:val="left"/>
      <w:lvlText w:val="%2."/>
      <w:numFmt w:val="lowerLetter"/>
      <w:start w:val="1"/>
    </w:lvl>
  </w:abstractNum>
  <w:abstractNum w:abstractNumId="133">
    <w:nsid w:val="30AADFDA"/>
    <w:multiLevelType w:val="hybridMultilevel"/>
    <w:lvl w:ilvl="0">
      <w:lvlJc w:val="left"/>
      <w:lvlText w:val="%1."/>
      <w:numFmt w:val="lowerLetter"/>
      <w:start w:val="6"/>
    </w:lvl>
  </w:abstractNum>
  <w:abstractNum w:abstractNumId="134">
    <w:nsid w:val="30EADA61"/>
    <w:multiLevelType w:val="hybridMultilevel"/>
    <w:lvl w:ilvl="0">
      <w:lvlJc w:val="left"/>
      <w:lvlText w:val="%1"/>
      <w:numFmt w:val="decimal"/>
      <w:start w:val="1"/>
    </w:lvl>
    <w:lvl w:ilvl="1">
      <w:lvlJc w:val="left"/>
      <w:lvlText w:val="%2."/>
      <w:numFmt w:val="lowerLetter"/>
      <w:start w:val="12"/>
    </w:lvl>
  </w:abstractNum>
  <w:abstractNum w:abstractNumId="135">
    <w:nsid w:val="27179C0B"/>
    <w:multiLevelType w:val="hybridMultilevel"/>
    <w:lvl w:ilvl="0">
      <w:lvlJc w:val="left"/>
      <w:lvlText w:val="%1."/>
      <w:numFmt w:val="decimal"/>
      <w:start w:val="6"/>
    </w:lvl>
    <w:lvl w:ilvl="1">
      <w:lvlJc w:val="left"/>
      <w:lvlText w:val="%2."/>
      <w:numFmt w:val="lowerLetter"/>
      <w:start w:val="1"/>
    </w:lvl>
  </w:abstractNum>
  <w:abstractNum w:abstractNumId="136">
    <w:nsid w:val="5E636063"/>
    <w:multiLevelType w:val="hybridMultilevel"/>
    <w:lvl w:ilvl="0">
      <w:lvlJc w:val="left"/>
      <w:lvlText w:val="%1"/>
      <w:numFmt w:val="lowerRoman"/>
      <w:start w:val="1"/>
    </w:lvl>
    <w:lvl w:ilvl="1">
      <w:lvlJc w:val="left"/>
      <w:lvlText w:val="%2."/>
      <w:numFmt w:val="lowerLetter"/>
      <w:start w:val="6"/>
    </w:lvl>
  </w:abstractNum>
  <w:abstractNum w:abstractNumId="137">
    <w:nsid w:val="215641AF"/>
    <w:multiLevelType w:val="hybridMultilevel"/>
    <w:lvl w:ilvl="0">
      <w:lvlJc w:val="left"/>
      <w:lvlText w:val="(%1)"/>
      <w:numFmt w:val="lowerRoman"/>
      <w:start w:val="2"/>
    </w:lvl>
    <w:lvl w:ilvl="1">
      <w:lvlJc w:val="left"/>
      <w:lvlText w:val="%2."/>
      <w:numFmt w:val="lowerLetter"/>
      <w:start w:val="7"/>
    </w:lvl>
  </w:abstractNum>
  <w:abstractNum w:abstractNumId="138">
    <w:nsid w:val="53280662"/>
    <w:multiLevelType w:val="hybridMultilevel"/>
    <w:lvl w:ilvl="0">
      <w:lvlJc w:val="left"/>
      <w:lvlText w:val="%1."/>
      <w:numFmt w:val="lowerLetter"/>
      <w:start w:val="13"/>
    </w:lvl>
  </w:abstractNum>
  <w:abstractNum w:abstractNumId="139">
    <w:nsid w:val="46B24DB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40">
    <w:nsid w:val="75B52783"/>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2"/>
    </w:lvl>
  </w:abstractNum>
  <w:abstractNum w:abstractNumId="141">
    <w:nsid w:val="57CE66B4"/>
    <w:multiLevelType w:val="hybridMultilevel"/>
    <w:lvl w:ilvl="0">
      <w:lvlJc w:val="left"/>
      <w:lvlText w:val="%1."/>
      <w:numFmt w:val="lowerLetter"/>
      <w:start w:val="3"/>
    </w:lvl>
    <w:lvl w:ilvl="1">
      <w:lvlJc w:val="left"/>
      <w:lvlText w:val="(%2)"/>
      <w:numFmt w:val="lowerRoman"/>
      <w:start w:val="1"/>
    </w:lvl>
  </w:abstractNum>
  <w:abstractNum w:abstractNumId="142">
    <w:nsid w:val="67A70B69"/>
    <w:multiLevelType w:val="hybridMultilevel"/>
    <w:lvl w:ilvl="0">
      <w:lvlJc w:val="left"/>
      <w:lvlText w:val="%1"/>
      <w:numFmt w:val="decimal"/>
      <w:start w:val="1"/>
    </w:lvl>
    <w:lvl w:ilvl="1">
      <w:lvlJc w:val="left"/>
      <w:lvlText w:val="(%2)"/>
      <w:numFmt w:val="lowerRoman"/>
      <w:start w:val="4"/>
    </w:lvl>
  </w:abstractNum>
  <w:abstractNum w:abstractNumId="143">
    <w:nsid w:val="5953172F"/>
    <w:multiLevelType w:val="hybridMultilevel"/>
    <w:lvl w:ilvl="0">
      <w:lvlJc w:val="left"/>
      <w:lvlText w:val="%1."/>
      <w:numFmt w:val="decimal"/>
      <w:start w:val="8"/>
    </w:lvl>
    <w:lvl w:ilvl="1">
      <w:lvlJc w:val="left"/>
      <w:lvlText w:val="%2"/>
      <w:numFmt w:val="lowerRoman"/>
      <w:start w:val="1"/>
    </w:lvl>
  </w:abstractNum>
  <w:abstractNum w:abstractNumId="144">
    <w:nsid w:val="27EDFE3A"/>
    <w:multiLevelType w:val="hybridMultilevel"/>
    <w:lvl w:ilvl="0">
      <w:lvlJc w:val="left"/>
      <w:lvlText w:val="%1."/>
      <w:numFmt w:val="decimal"/>
      <w:start w:val="9"/>
    </w:lvl>
    <w:lvl w:ilvl="1">
      <w:lvlJc w:val="left"/>
      <w:lvlText w:val="%2."/>
      <w:numFmt w:val="lowerLetter"/>
      <w:start w:val="1"/>
    </w:lvl>
  </w:abstractNum>
  <w:abstractNum w:abstractNumId="145">
    <w:nsid w:val="52AC7DFF"/>
    <w:multiLevelType w:val="hybridMultilevel"/>
    <w:lvl w:ilvl="0">
      <w:lvlJc w:val="left"/>
      <w:lvlText w:val="%1."/>
      <w:numFmt w:val="lowerLetter"/>
      <w:start w:val="5"/>
    </w:lvl>
  </w:abstractNum>
  <w:abstractNum w:abstractNumId="146">
    <w:nsid w:val="C4C3AF"/>
    <w:multiLevelType w:val="hybridMultilevel"/>
    <w:lvl w:ilvl="0">
      <w:lvlJc w:val="left"/>
      <w:lvlText w:val="%1."/>
      <w:numFmt w:val="lowerLetter"/>
      <w:start w:val="13"/>
    </w:lvl>
  </w:abstractNum>
  <w:abstractNum w:abstractNumId="147">
    <w:nsid w:val="44380727"/>
    <w:multiLevelType w:val="hybridMultilevel"/>
    <w:lvl w:ilvl="0">
      <w:lvlJc w:val="left"/>
      <w:lvlText w:val="%1."/>
      <w:numFmt w:val="decimal"/>
      <w:start w:val="11"/>
    </w:lvl>
  </w:abstractNum>
  <w:abstractNum w:abstractNumId="148">
    <w:nsid w:val="6C053B16"/>
    <w:multiLevelType w:val="hybridMultilevel"/>
    <w:lvl w:ilvl="0">
      <w:lvlJc w:val="left"/>
      <w:lvlText w:val="%1."/>
      <w:numFmt w:val="decimal"/>
      <w:start w:val="13"/>
    </w:lvl>
  </w:abstractNum>
  <w:abstractNum w:abstractNumId="149">
    <w:nsid w:val="4F294393"/>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50">
    <w:nsid w:val="5243BFAC"/>
    <w:multiLevelType w:val="hybridMultilevel"/>
    <w:lvl w:ilvl="0">
      <w:lvlJc w:val="left"/>
      <w:lvlText w:val="☐"/>
      <w:numFmt w:val="bullet"/>
      <w:start w:val="1"/>
    </w:lvl>
  </w:abstractNum>
  <w:abstractNum w:abstractNumId="151">
    <w:nsid w:val="425EB207"/>
    <w:multiLevelType w:val="hybridMultilevel"/>
    <w:lvl w:ilvl="0">
      <w:lvlJc w:val="left"/>
      <w:lvlText w:val="%1."/>
      <w:numFmt w:val="decimal"/>
      <w:start w:val="1"/>
    </w:lvl>
  </w:abstractNum>
  <w:abstractNum w:abstractNumId="152">
    <w:nsid w:val="334A6F1F"/>
    <w:multiLevelType w:val="hybridMultilevel"/>
    <w:lvl w:ilvl="0">
      <w:lvlJc w:val="left"/>
      <w:lvlText w:val="(%1)"/>
      <w:numFmt w:val="lowerLetter"/>
      <w:start w:val="1"/>
    </w:lvl>
  </w:abstractNum>
  <w:abstractNum w:abstractNumId="153">
    <w:nsid w:val="2E5B12B8"/>
    <w:multiLevelType w:val="hybridMultilevel"/>
    <w:lvl w:ilvl="0">
      <w:lvlJc w:val="left"/>
      <w:lvlText w:val="%1"/>
      <w:numFmt w:val="decimal"/>
      <w:start w:val="1"/>
    </w:lvl>
    <w:lvl w:ilvl="1">
      <w:lvlJc w:val="left"/>
      <w:lvlText w:val="(%2)"/>
      <w:numFmt w:val="lowerLetter"/>
      <w:start w:val="2"/>
    </w:lvl>
  </w:abstractNum>
  <w:abstractNum w:abstractNumId="154">
    <w:nsid w:val="5C03D76D"/>
    <w:multiLevelType w:val="hybridMultilevel"/>
    <w:lvl w:ilvl="0">
      <w:lvlJc w:val="left"/>
      <w:lvlText w:val="%1."/>
      <w:numFmt w:val="decimal"/>
      <w:start w:val="2"/>
    </w:lvl>
    <w:lvl w:ilvl="1">
      <w:lvlJc w:val="left"/>
      <w:lvlText w:val="%2"/>
      <w:numFmt w:val="lowerLetter"/>
      <w:start w:val="1"/>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2"/>
    </w:lvl>
  </w:abstractNum>
  <w:abstractNum w:abstractNumId="157">
    <w:nsid w:val="13916F2D"/>
    <w:multiLevelType w:val="hybridMultilevel"/>
    <w:lvl w:ilvl="0">
      <w:lvlJc w:val="left"/>
      <w:lvlText w:val="%1."/>
      <w:numFmt w:val="decimal"/>
      <w:start w:val="3"/>
    </w:lvl>
  </w:abstractNum>
  <w:abstractNum w:abstractNumId="158">
    <w:nsid w:val="435D38D"/>
    <w:multiLevelType w:val="hybridMultilevel"/>
    <w:lvl w:ilvl="0">
      <w:lvlJc w:val="left"/>
      <w:lvlText w:val="(%1)"/>
      <w:numFmt w:val="lowerLetter"/>
      <w:start w:val="1"/>
    </w:lvl>
  </w:abstractNum>
  <w:abstractNum w:abstractNumId="159">
    <w:nsid w:val="822C0EF"/>
    <w:multiLevelType w:val="hybridMultilevel"/>
    <w:lvl w:ilvl="0">
      <w:lvlJc w:val="left"/>
      <w:lvlText w:val="(%1)"/>
      <w:numFmt w:val="lowerLetter"/>
      <w:start w:val="5"/>
    </w:lvl>
  </w:abstractNum>
  <w:abstractNum w:abstractNumId="160">
    <w:nsid w:val="57C5BB4F"/>
    <w:multiLevelType w:val="hybridMultilevel"/>
    <w:lvl w:ilvl="0">
      <w:lvlJc w:val="left"/>
      <w:lvlText w:val="%1."/>
      <w:numFmt w:val="decimal"/>
      <w:start w:val="4"/>
    </w:lvl>
  </w:abstractNum>
  <w:abstractNum w:abstractNumId="161">
    <w:nsid w:val="1803D089"/>
    <w:multiLevelType w:val="hybridMultilevel"/>
    <w:lvl w:ilvl="0">
      <w:lvlJc w:val="left"/>
      <w:lvlText w:val="%1."/>
      <w:numFmt w:val="decimal"/>
      <w:start w:val="6"/>
    </w:lvl>
  </w:abstractNum>
  <w:abstractNum w:abstractNumId="162">
    <w:nsid w:val="4F3A06D4"/>
    <w:multiLevelType w:val="hybridMultilevel"/>
    <w:lvl w:ilvl="0">
      <w:lvlJc w:val="left"/>
      <w:lvlText w:val="%1."/>
      <w:numFmt w:val="decimal"/>
      <w:start w:val="8"/>
    </w:lvl>
  </w:abstractNum>
  <w:abstractNum w:abstractNumId="163">
    <w:nsid w:val="59A377B6"/>
    <w:multiLevelType w:val="hybridMultilevel"/>
    <w:lvl w:ilvl="0">
      <w:lvlJc w:val="left"/>
      <w:lvlText w:val="%1."/>
      <w:numFmt w:val="decimal"/>
      <w:start w:val="9"/>
    </w:lvl>
  </w:abstractNum>
  <w:abstractNum w:abstractNumId="164">
    <w:nsid w:val="48AEB063"/>
    <w:multiLevelType w:val="hybridMultilevel"/>
    <w:lvl w:ilvl="0">
      <w:lvlJc w:val="left"/>
      <w:lvlText w:val="%1."/>
      <w:numFmt w:val="decimal"/>
      <w:start w:val="12"/>
    </w:lvl>
  </w:abstractNum>
  <w:abstractNum w:abstractNumId="165">
    <w:nsid w:val="24E135"/>
    <w:multiLevelType w:val="hybridMultilevel"/>
    <w:lvl w:ilvl="0">
      <w:lvlJc w:val="left"/>
      <w:lvlText w:val="%1."/>
      <w:numFmt w:val="decimal"/>
      <w:start w:val="17"/>
    </w:lvl>
  </w:abstractNum>
  <w:abstractNum w:abstractNumId="166">
    <w:nsid w:val="BB13C1"/>
    <w:multiLevelType w:val="hybridMultilevel"/>
    <w:lvl w:ilvl="0">
      <w:lvlJc w:val="left"/>
      <w:lvlText w:val="%1"/>
      <w:numFmt w:val="lowerRoman"/>
      <w:start w:val="1"/>
    </w:lvl>
    <w:lvl w:ilvl="1">
      <w:lvlJc w:val="left"/>
      <w:lvlText w:val="%2."/>
      <w:numFmt w:val="decimal"/>
      <w:start w:val="21"/>
    </w:lvl>
  </w:abstractNum>
  <w:abstractNum w:abstractNumId="167">
    <w:nsid w:val="271210C7"/>
    <w:multiLevelType w:val="hybridMultilevel"/>
    <w:lvl w:ilvl="0">
      <w:lvlJc w:val="left"/>
      <w:lvlText w:val="(%1)"/>
      <w:numFmt w:val="lowerRoman"/>
      <w:start w:val="2"/>
    </w:lvl>
    <w:lvl w:ilvl="1">
      <w:lvlJc w:val="left"/>
      <w:lvlText w:val="%2"/>
      <w:numFmt w:val="decimal"/>
      <w:start w:val="1"/>
    </w:lvl>
  </w:abstractNum>
  <w:abstractNum w:abstractNumId="168">
    <w:nsid w:val="217B22E4"/>
    <w:multiLevelType w:val="hybridMultilevel"/>
    <w:lvl w:ilvl="0">
      <w:lvlJc w:val="left"/>
      <w:lvlText w:val="["/>
      <w:numFmt w:val="bullet"/>
      <w:start w:val="1"/>
    </w:lvl>
  </w:abstractNum>
  <w:abstractNum w:abstractNumId="169">
    <w:nsid w:val="53E31A24"/>
    <w:multiLevelType w:val="hybridMultilevel"/>
    <w:lvl w:ilvl="0">
      <w:lvlJc w:val="left"/>
      <w:lvlText w:val="(%1)"/>
      <w:numFmt w:val="decimal"/>
      <w:start w:val="1"/>
    </w:lvl>
  </w:abstractNum>
  <w:abstractNum w:abstractNumId="170">
    <w:nsid w:val="6DC45E83"/>
    <w:multiLevelType w:val="hybridMultilevel"/>
    <w:lvl w:ilvl="0">
      <w:lvlJc w:val="left"/>
      <w:lvlText w:val="%1."/>
      <w:numFmt w:val="decimal"/>
      <w:start w:val="1"/>
    </w:lvl>
  </w:abstractNum>
  <w:abstractNum w:abstractNumId="171">
    <w:nsid w:val="17304A67"/>
    <w:multiLevelType w:val="hybridMultilevel"/>
    <w:lvl w:ilvl="0">
      <w:lvlJc w:val="left"/>
      <w:lvlText w:val="%1."/>
      <w:numFmt w:val="decimal"/>
      <w:start w:val="3"/>
    </w:lvl>
  </w:abstractNum>
  <w:abstractNum w:abstractNumId="172">
    <w:nsid w:val="2BB180D8"/>
    <w:multiLevelType w:val="hybridMultilevel"/>
    <w:lvl w:ilvl="0">
      <w:lvlJc w:val="left"/>
      <w:lvlText w:val="%1."/>
      <w:numFmt w:val="decimal"/>
      <w:start w:val="5"/>
    </w:lvl>
  </w:abstractNum>
  <w:abstractNum w:abstractNumId="173">
    <w:nsid w:val="556B69ED"/>
    <w:multiLevelType w:val="hybridMultilevel"/>
    <w:lvl w:ilvl="0">
      <w:lvlJc w:val="left"/>
      <w:lvlText w:val="(%1)"/>
      <w:numFmt w:val="lowerLetter"/>
      <w:start w:val="1"/>
    </w:lvl>
  </w:abstractNum>
  <w:abstractNum w:abstractNumId="174">
    <w:nsid w:val="70836196"/>
    <w:multiLevelType w:val="hybridMultilevel"/>
    <w:lvl w:ilvl="0">
      <w:lvlJc w:val="left"/>
      <w:lvlText w:val="(%1)"/>
      <w:numFmt w:val="lowerLetter"/>
      <w:start w:val="2"/>
    </w:lvl>
  </w:abstractNum>
  <w:abstractNum w:abstractNumId="175">
    <w:nsid w:val="539F7F12"/>
    <w:multiLevelType w:val="hybridMultilevel"/>
    <w:lvl w:ilvl="0">
      <w:lvlJc w:val="left"/>
      <w:lvlText w:val="(%1)"/>
      <w:numFmt w:val="lowerLetter"/>
      <w:start w:val="1"/>
    </w:lvl>
    <w:lvl w:ilvl="1">
      <w:lvlJc w:val="left"/>
      <w:lvlText w:val="(%2)"/>
      <w:numFmt w:val="lowerRoman"/>
      <w:start w:val="1"/>
    </w:lvl>
  </w:abstractNum>
  <w:abstractNum w:abstractNumId="176">
    <w:nsid w:val="2817E7EC"/>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77">
    <w:nsid w:val="71482545"/>
    <w:multiLevelType w:val="hybridMultilevel"/>
    <w:lvl w:ilvl="0">
      <w:lvlJc w:val="left"/>
      <w:lvlText w:val="%1"/>
      <w:numFmt w:val="decimal"/>
      <w:start w:val="1"/>
    </w:lvl>
    <w:lvl w:ilvl="1">
      <w:lvlJc w:val="left"/>
      <w:lvlText w:val="(%2)"/>
      <w:numFmt w:val="upperLetter"/>
      <w:start w:val="5"/>
    </w:lvl>
  </w:abstractNum>
  <w:abstractNum w:abstractNumId="178">
    <w:nsid w:val="17D78639"/>
    <w:multiLevelType w:val="hybridMultilevel"/>
    <w:lvl w:ilvl="0">
      <w:lvlJc w:val="left"/>
      <w:lvlText w:val="(%1)"/>
      <w:numFmt w:val="decimal"/>
      <w:start w:val="3"/>
    </w:lvl>
    <w:lvl w:ilvl="1">
      <w:lvlJc w:val="left"/>
      <w:lvlText w:val="(%2)"/>
      <w:numFmt w:val="upperLetter"/>
      <w:start w:val="1"/>
    </w:lvl>
  </w:abstractNum>
  <w:abstractNum w:abstractNumId="179">
    <w:nsid w:val="141D230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8"/>
    </w:lvl>
  </w:abstractNum>
  <w:abstractNum w:abstractNumId="180">
    <w:nsid w:val="407168D8"/>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2"/>
    </w:lvl>
  </w:abstractNum>
  <w:abstractNum w:abstractNumId="181">
    <w:nsid w:val="6A1B45E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82">
    <w:nsid w:val="567BD50A"/>
    <w:multiLevelType w:val="hybridMultilevel"/>
    <w:lvl w:ilvl="0">
      <w:lvlJc w:val="left"/>
      <w:lvlText w:val="(%1)"/>
      <w:numFmt w:val="lowerRoman"/>
      <w:start w:val="2"/>
    </w:lvl>
  </w:abstractNum>
  <w:abstractNum w:abstractNumId="183">
    <w:nsid w:val="73BBD7F8"/>
    <w:multiLevelType w:val="hybridMultilevel"/>
    <w:lvl w:ilvl="0">
      <w:lvlJc w:val="left"/>
      <w:lvlText w:val="(%1)"/>
      <w:numFmt w:val="lowerLetter"/>
      <w:start w:val="1"/>
    </w:lvl>
  </w:abstractNum>
  <w:abstractNum w:abstractNumId="184">
    <w:nsid w:val="1876589D"/>
    <w:multiLevelType w:val="hybridMultilevel"/>
    <w:lvl w:ilvl="0">
      <w:lvlJc w:val="left"/>
      <w:lvlText w:val="(%1)"/>
      <w:numFmt w:val="lowerLetter"/>
      <w:start w:val="1"/>
    </w:lvl>
  </w:abstractNum>
  <w:abstractNum w:abstractNumId="185">
    <w:nsid w:val="327FAC77"/>
    <w:multiLevelType w:val="hybridMultilevel"/>
    <w:lvl w:ilvl="0">
      <w:lvlJc w:val="left"/>
      <w:lvlText w:val="(%1)"/>
      <w:numFmt w:val="lowerRoman"/>
      <w:start w:val="2"/>
    </w:lvl>
  </w:abstractNum>
  <w:abstractNum w:abstractNumId="186">
    <w:nsid w:val="5A606509"/>
    <w:multiLevelType w:val="hybridMultilevel"/>
    <w:lvl w:ilvl="0">
      <w:lvlJc w:val="left"/>
      <w:lvlText w:val="(%1)"/>
      <w:numFmt w:val="lowerLetter"/>
      <w:start w:val="1"/>
    </w:lvl>
  </w:abstractNum>
  <w:abstractNum w:abstractNumId="187">
    <w:nsid w:val="6F38E6D1"/>
    <w:multiLevelType w:val="hybridMultilevel"/>
    <w:lvl w:ilvl="0">
      <w:lvlJc w:val="left"/>
      <w:lvlText w:val="(%1)"/>
      <w:numFmt w:val="lowerRoman"/>
      <w:start w:val="2"/>
    </w:lvl>
  </w:abstractNum>
  <w:abstractNum w:abstractNumId="188">
    <w:nsid w:val="46111BA5"/>
    <w:multiLevelType w:val="hybridMultilevel"/>
    <w:lvl w:ilvl="0">
      <w:lvlJc w:val="left"/>
      <w:lvlText w:val="(%1)"/>
      <w:numFmt w:val="lowerLetter"/>
      <w:start w:val="1"/>
    </w:lvl>
  </w:abstractNum>
  <w:abstractNum w:abstractNumId="189">
    <w:nsid w:val="5E963896"/>
    <w:multiLevelType w:val="hybridMultilevel"/>
    <w:lvl w:ilvl="0">
      <w:lvlJc w:val="left"/>
      <w:lvlText w:val="(%1)"/>
      <w:numFmt w:val="lowerLetter"/>
      <w:start w:val="2"/>
    </w:lvl>
  </w:abstractNum>
  <w:abstractNum w:abstractNumId="190">
    <w:nsid w:val="775BA7C1"/>
    <w:multiLevelType w:val="hybridMultilevel"/>
    <w:lvl w:ilvl="0">
      <w:lvlJc w:val="left"/>
      <w:lvlText w:val="%1"/>
      <w:numFmt w:val="lowerRoman"/>
      <w:start w:val="1"/>
    </w:lvl>
    <w:lvl w:ilvl="1">
      <w:lvlJc w:val="left"/>
      <w:lvlText w:val="(%2)"/>
      <w:numFmt w:val="lowerLetter"/>
      <w:start w:val="1"/>
    </w:lvl>
  </w:abstractNum>
  <w:abstractNum w:abstractNumId="191">
    <w:nsid w:val="1DD6D6F4"/>
    <w:multiLevelType w:val="hybridMultilevel"/>
    <w:lvl w:ilvl="0">
      <w:lvlJc w:val="left"/>
      <w:lvlText w:val="(%1)"/>
      <w:numFmt w:val="lowerRoman"/>
      <w:start w:val="7"/>
    </w:lvl>
    <w:lvl w:ilvl="1">
      <w:lvlJc w:val="left"/>
      <w:lvlText w:val="%2"/>
      <w:numFmt w:val="lowerLetter"/>
      <w:start w:val="1"/>
    </w:lvl>
  </w:abstractNum>
  <w:abstractNum w:abstractNumId="192">
    <w:nsid w:val="769A091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93">
    <w:nsid w:val="4695AE95"/>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94">
    <w:nsid w:val="777A4EAA"/>
    <w:multiLevelType w:val="hybridMultilevel"/>
    <w:lvl w:ilvl="0">
      <w:lvlJc w:val="left"/>
      <w:lvlText w:val="(%1)"/>
      <w:numFmt w:val="lowerLetter"/>
      <w:start w:val="1"/>
    </w:lvl>
  </w:abstractNum>
  <w:abstractNum w:abstractNumId="195">
    <w:nsid w:val="3F48B982"/>
    <w:multiLevelType w:val="hybridMultilevel"/>
    <w:lvl w:ilvl="0">
      <w:lvlJc w:val="left"/>
      <w:lvlText w:val="%1."/>
      <w:numFmt w:val="upperLetter"/>
      <w:start w:val="1"/>
    </w:lvl>
  </w:abstractNum>
  <w:abstractNum w:abstractNumId="196">
    <w:nsid w:val="46BA8FCA"/>
    <w:multiLevelType w:val="hybridMultilevel"/>
    <w:lvl w:ilvl="0">
      <w:lvlJc w:val="left"/>
      <w:lvlText w:val="(%1)"/>
      <w:numFmt w:val="lowerLetter"/>
      <w:start w:val="1"/>
    </w:lvl>
  </w:abstractNum>
  <w:abstractNum w:abstractNumId="197">
    <w:nsid w:val="7835626C"/>
    <w:multiLevelType w:val="hybridMultilevel"/>
    <w:lvl w:ilvl="0">
      <w:lvlJc w:val="left"/>
      <w:lvlText w:val="(%1)"/>
      <w:numFmt w:val="decimal"/>
      <w:start w:val="1"/>
    </w:lvl>
  </w:abstractNum>
  <w:abstractNum w:abstractNumId="198">
    <w:nsid w:val="665ACA49"/>
    <w:multiLevelType w:val="hybridMultilevel"/>
    <w:lvl w:ilvl="0">
      <w:lvlJc w:val="left"/>
      <w:lvlText w:val="(%1)"/>
      <w:numFmt w:val="decimal"/>
      <w:start w:val="3"/>
    </w:lvl>
  </w:abstractNum>
  <w:abstractNum w:abstractNumId="199">
    <w:nsid w:val="6835B2AE"/>
    <w:multiLevelType w:val="hybridMultilevel"/>
    <w:lvl w:ilvl="0">
      <w:lvlJc w:val="left"/>
      <w:lvlText w:val="(%1)"/>
      <w:numFmt w:val="lowerLetter"/>
      <w:start w:val="3"/>
    </w:lvl>
  </w:abstractNum>
  <w:abstractNum w:abstractNumId="200">
    <w:nsid w:val="4C187C90"/>
    <w:multiLevelType w:val="hybridMultilevel"/>
    <w:lvl w:ilvl="0">
      <w:lvlJc w:val="left"/>
      <w:lvlText w:val="(%1)"/>
      <w:numFmt w:val="decimal"/>
      <w:start w:val="1"/>
    </w:lvl>
  </w:abstractNum>
  <w:abstractNum w:abstractNumId="201">
    <w:nsid w:val="541F28CD"/>
    <w:multiLevelType w:val="hybridMultilevel"/>
    <w:lvl w:ilvl="0">
      <w:lvlJc w:val="left"/>
      <w:lvlText w:val="(%1)"/>
      <w:numFmt w:val="decimal"/>
      <w:start w:val="2"/>
    </w:lvl>
  </w:abstractNum>
  <w:abstractNum w:abstractNumId="202">
    <w:nsid w:val="7F65FD16"/>
    <w:multiLevelType w:val="hybridMultilevel"/>
    <w:lvl w:ilvl="0">
      <w:lvlJc w:val="left"/>
      <w:lvlText w:val="(%1)"/>
      <w:numFmt w:val="lowerLetter"/>
      <w:start w:val="5"/>
    </w:lvl>
  </w:abstractNum>
  <w:abstractNum w:abstractNumId="203">
    <w:nsid w:val="77C9FD68"/>
    <w:multiLevelType w:val="hybridMultilevel"/>
    <w:lvl w:ilvl="0">
      <w:lvlJc w:val="left"/>
      <w:lvlText w:val="(%1)"/>
      <w:numFmt w:val="lowerLetter"/>
      <w:start w:val="6"/>
    </w:lvl>
  </w:abstractNum>
  <w:abstractNum w:abstractNumId="204">
    <w:nsid w:val="298A92BA"/>
    <w:multiLevelType w:val="hybridMultilevel"/>
    <w:lvl w:ilvl="0">
      <w:lvlJc w:val="left"/>
      <w:lvlText w:val="(%1)"/>
      <w:numFmt w:val="lowerLetter"/>
      <w:start w:val="9"/>
    </w:lvl>
  </w:abstractNum>
  <w:abstractNum w:abstractNumId="205">
    <w:nsid w:val="6FE95EAC"/>
    <w:multiLevelType w:val="hybridMultilevel"/>
    <w:lvl w:ilvl="0">
      <w:lvlJc w:val="left"/>
      <w:lvlText w:val="%1."/>
      <w:numFmt w:val="decimal"/>
      <w:start w:val="1"/>
    </w:lvl>
    <w:lvl w:ilvl="1">
      <w:lvlJc w:val="left"/>
      <w:lvlText w:val="●"/>
      <w:numFmt w:val="bullet"/>
      <w:start w:val="1"/>
    </w:lvl>
  </w:abstractNum>
  <w:abstractNum w:abstractNumId="206">
    <w:nsid w:val="4B697C7A"/>
    <w:multiLevelType w:val="hybridMultilevel"/>
    <w:lvl w:ilvl="0">
      <w:lvlJc w:val="left"/>
      <w:lvlText w:val="%1."/>
      <w:numFmt w:val="decimal"/>
      <w:start w:val="2"/>
    </w:lvl>
  </w:abstractNum>
  <w:abstractNum w:abstractNumId="207">
    <w:nsid w:val="51A27AA6"/>
    <w:multiLevelType w:val="hybridMultilevel"/>
    <w:lvl w:ilvl="0">
      <w:lvlJc w:val="left"/>
      <w:lvlText w:val="(%1)"/>
      <w:numFmt w:val="lowerLetter"/>
      <w:start w:val="1"/>
    </w:lvl>
  </w:abstractNum>
  <w:abstractNum w:abstractNumId="208">
    <w:nsid w:val="613183F2"/>
    <w:multiLevelType w:val="hybridMultilevel"/>
    <w:lvl w:ilvl="0">
      <w:lvlJc w:val="left"/>
      <w:lvlText w:val="(%1)"/>
      <w:numFmt w:val="lowerLetter"/>
      <w:start w:val="2"/>
    </w:lvl>
  </w:abstractNum>
  <w:abstractNum w:abstractNumId="209">
    <w:nsid w:val="634102B4"/>
    <w:multiLevelType w:val="hybridMultilevel"/>
    <w:lvl w:ilvl="0">
      <w:lvlJc w:val="left"/>
      <w:lvlText w:val="(%1)"/>
      <w:numFmt w:val="lowerLetter"/>
      <w:start w:val="1"/>
    </w:lvl>
  </w:abstractNum>
  <w:abstractNum w:abstractNumId="210">
    <w:nsid w:val="65BF9DA8"/>
    <w:multiLevelType w:val="hybridMultilevel"/>
    <w:lvl w:ilvl="0">
      <w:lvlJc w:val="left"/>
      <w:lvlText w:val="%1."/>
      <w:numFmt w:val="decimal"/>
      <w:start w:val="3"/>
    </w:lvl>
  </w:abstractNum>
  <w:abstractNum w:abstractNumId="211">
    <w:nsid w:val="21A2ECCA"/>
    <w:multiLevelType w:val="hybridMultilevel"/>
    <w:lvl w:ilvl="0">
      <w:lvlJc w:val="left"/>
      <w:lvlText w:val="(%1)"/>
      <w:numFmt w:val="lowerLetter"/>
      <w:start w:val="1"/>
    </w:lvl>
  </w:abstractNum>
  <w:abstractNum w:abstractNumId="212">
    <w:nsid w:val="4D5C4899"/>
    <w:multiLevelType w:val="hybridMultilevel"/>
    <w:lvl w:ilvl="0">
      <w:lvlJc w:val="left"/>
      <w:lvlText w:val="%1."/>
      <w:numFmt w:val="decimal"/>
      <w:start w:val="4"/>
    </w:lvl>
  </w:abstractNum>
  <w:abstractNum w:abstractNumId="213">
    <w:nsid w:val="3C3B72B2"/>
    <w:multiLevelType w:val="hybridMultilevel"/>
    <w:lvl w:ilvl="0">
      <w:lvlJc w:val="left"/>
      <w:lvlText w:val="(%1)"/>
      <w:numFmt w:val="lowerLetter"/>
      <w:start w:val="1"/>
    </w:lvl>
  </w:abstractNum>
  <w:abstractNum w:abstractNumId="214">
    <w:nsid w:val="155EC4C2"/>
    <w:multiLevelType w:val="hybridMultilevel"/>
    <w:lvl w:ilvl="0">
      <w:lvlJc w:val="left"/>
      <w:lvlText w:val="(%1)"/>
      <w:numFmt w:val="lowerLetter"/>
      <w:start w:val="2"/>
    </w:lvl>
  </w:abstractNum>
  <w:abstractNum w:abstractNumId="215">
    <w:nsid w:val="65D2A137"/>
    <w:multiLevelType w:val="hybridMultilevel"/>
    <w:lvl w:ilvl="0">
      <w:lvlJc w:val="left"/>
      <w:lvlText w:val="%1."/>
      <w:numFmt w:val="decimal"/>
      <w:start w:val="5"/>
    </w:lvl>
  </w:abstractNum>
  <w:abstractNum w:abstractNumId="216">
    <w:nsid w:val="6EBB1F2A"/>
    <w:multiLevelType w:val="hybridMultilevel"/>
    <w:lvl w:ilvl="0">
      <w:lvlJc w:val="left"/>
      <w:lvlText w:val="%1"/>
      <w:numFmt w:val="decimal"/>
      <w:start w:val="1"/>
    </w:lvl>
    <w:lvl w:ilvl="1">
      <w:lvlJc w:val="left"/>
      <w:lvlText w:val="(%2)"/>
      <w:numFmt w:val="lowerLetter"/>
      <w:start w:val="1"/>
    </w:lvl>
  </w:abstractNum>
  <w:abstractNum w:abstractNumId="217">
    <w:nsid w:val="6FBF29CB"/>
    <w:multiLevelType w:val="hybridMultilevel"/>
    <w:lvl w:ilvl="0">
      <w:lvlJc w:val="left"/>
      <w:lvlText w:val="%1."/>
      <w:numFmt w:val="decimal"/>
      <w:start w:val="7"/>
    </w:lvl>
    <w:lvl w:ilvl="1">
      <w:lvlJc w:val="left"/>
      <w:lvlText w:val="%2"/>
      <w:numFmt w:val="lowerLetter"/>
      <w:start w:val="1"/>
    </w:lvl>
  </w:abstractNum>
  <w:abstractNum w:abstractNumId="218">
    <w:nsid w:val="550B8808"/>
    <w:multiLevelType w:val="hybridMultilevel"/>
    <w:lvl w:ilvl="0">
      <w:lvlJc w:val="left"/>
      <w:lvlText w:val="%1"/>
      <w:numFmt w:val="lowerLetter"/>
      <w:start w:val="1"/>
    </w:lvl>
    <w:lvl w:ilvl="1">
      <w:lvlJc w:val="left"/>
      <w:lvlText w:val="(%2)"/>
      <w:numFmt w:val="lowerLetter"/>
      <w:start w:val="1"/>
    </w:lvl>
  </w:abstractNum>
  <w:abstractNum w:abstractNumId="219">
    <w:nsid w:val="34CC3ACF"/>
    <w:multiLevelType w:val="hybridMultilevel"/>
    <w:lvl w:ilvl="0">
      <w:lvlJc w:val="left"/>
      <w:lvlText w:val="(%1)"/>
      <w:numFmt w:val="lowerLetter"/>
      <w:start w:val="2"/>
    </w:lvl>
    <w:lvl w:ilvl="1">
      <w:lvlJc w:val="left"/>
      <w:lvlText w:val="%2"/>
      <w:numFmt w:val="lowerLetter"/>
      <w:start w:val="1"/>
    </w:lvl>
  </w:abstractNum>
  <w:abstractNum w:abstractNumId="220">
    <w:nsid w:val="4E556261"/>
    <w:multiLevelType w:val="hybridMultilevel"/>
    <w:lvl w:ilvl="0">
      <w:lvlJc w:val="left"/>
      <w:lvlText w:val="%1."/>
      <w:numFmt w:val="decimal"/>
      <w:start w:val="8"/>
    </w:lvl>
  </w:abstractNum>
  <w:abstractNum w:abstractNumId="221">
    <w:nsid w:val="4C672FC9"/>
    <w:multiLevelType w:val="hybridMultilevel"/>
    <w:lvl w:ilvl="0">
      <w:lvlJc w:val="left"/>
      <w:lvlText w:val="%1."/>
      <w:numFmt w:val="decimal"/>
      <w:start w:val="9"/>
    </w:lvl>
  </w:abstractNum>
  <w:abstractNum w:abstractNumId="222">
    <w:nsid w:val="52A311C3"/>
    <w:multiLevelType w:val="hybridMultilevel"/>
    <w:lvl w:ilvl="0">
      <w:lvlJc w:val="left"/>
      <w:lvlText w:val="%1."/>
      <w:numFmt w:val="decimal"/>
      <w:start w:val="10"/>
    </w:lvl>
  </w:abstractNum>
  <w:abstractNum w:abstractNumId="223">
    <w:nsid w:val="44EF6B80"/>
    <w:multiLevelType w:val="hybridMultilevel"/>
    <w:lvl w:ilvl="0">
      <w:lvlJc w:val="left"/>
      <w:lvlText w:val="%1."/>
      <w:numFmt w:val="decimal"/>
      <w:start w:val="11"/>
    </w:lvl>
  </w:abstractNum>
  <w:abstractNum w:abstractNumId="224">
    <w:nsid w:val="12FCDE5E"/>
    <w:multiLevelType w:val="hybridMultilevel"/>
    <w:lvl w:ilvl="0">
      <w:lvlJc w:val="left"/>
      <w:lvlText w:val="%1."/>
      <w:numFmt w:val="decimal"/>
      <w:start w:val="14"/>
    </w:lvl>
  </w:abstractNum>
  <w:abstractNum w:abstractNumId="225">
    <w:nsid w:val="4A1D606E"/>
    <w:multiLevelType w:val="hybridMultilevel"/>
    <w:lvl w:ilvl="0">
      <w:lvlJc w:val="left"/>
      <w:lvlText w:val="(%1)"/>
      <w:numFmt w:val="lowerRoman"/>
      <w:start w:val="2"/>
    </w:lvl>
  </w:abstractNum>
  <w:abstractNum w:abstractNumId="226">
    <w:nsid w:val="4382503"/>
    <w:multiLevelType w:val="hybridMultilevel"/>
    <w:lvl w:ilvl="0">
      <w:lvlJc w:val="left"/>
      <w:lvlText w:val="%1."/>
      <w:numFmt w:val="decimal"/>
      <w:start w:val="16"/>
    </w:lvl>
  </w:abstractNum>
  <w:abstractNum w:abstractNumId="227">
    <w:nsid w:val="59B76E28"/>
    <w:multiLevelType w:val="hybridMultilevel"/>
    <w:lvl w:ilvl="0">
      <w:lvlJc w:val="left"/>
      <w:lvlText w:val="%1"/>
      <w:numFmt w:val="lowerLetter"/>
      <w:start w:val="1"/>
    </w:lvl>
    <w:lvl w:ilvl="1">
      <w:lvlJc w:val="left"/>
      <w:lvlText w:val="%2."/>
      <w:numFmt w:val="decimal"/>
      <w:start w:val="17"/>
    </w:lvl>
  </w:abstractNum>
  <w:abstractNum w:abstractNumId="228">
    <w:nsid w:val="4252C2DA"/>
    <w:multiLevelType w:val="hybridMultilevel"/>
    <w:lvl w:ilvl="0">
      <w:lvlJc w:val="left"/>
      <w:lvlText w:val="(%1)"/>
      <w:numFmt w:val="lowerLetter"/>
      <w:start w:val="2"/>
    </w:lvl>
    <w:lvl w:ilvl="1">
      <w:lvlJc w:val="left"/>
      <w:lvlText w:val="%2."/>
      <w:numFmt w:val="decimal"/>
      <w:start w:val="20"/>
    </w:lvl>
  </w:abstractNum>
  <w:abstractNum w:abstractNumId="229">
    <w:nsid w:val="6A92EF4C"/>
    <w:multiLevelType w:val="hybridMultilevel"/>
    <w:lvl w:ilvl="0">
      <w:lvlJc w:val="left"/>
      <w:lvlText w:val="%1."/>
      <w:numFmt w:val="decimal"/>
      <w:start w:val="21"/>
    </w:lvl>
  </w:abstractNum>
  <w:abstractNum w:abstractNumId="230">
    <w:nsid w:val="41ED20D7"/>
    <w:multiLevelType w:val="hybridMultilevel"/>
    <w:lvl w:ilvl="0">
      <w:lvlJc w:val="left"/>
      <w:lvlText w:val="%1."/>
      <w:numFmt w:val="decimal"/>
      <w:start w:val="22"/>
    </w:lvl>
    <w:lvl w:ilvl="1">
      <w:lvlJc w:val="left"/>
      <w:lvlText w:val="*"/>
      <w:numFmt w:val="bullet"/>
      <w:start w:val="1"/>
    </w:lvl>
  </w:abstractNum>
  <w:abstractNum w:abstractNumId="231">
    <w:nsid w:val="E6B3F6A"/>
    <w:multiLevelType w:val="hybridMultilevel"/>
    <w:lvl w:ilvl="0">
      <w:lvlJc w:val="left"/>
      <w:lvlText w:val="%1."/>
      <w:numFmt w:val="decimal"/>
      <w:start w:val="1"/>
    </w:lvl>
  </w:abstractNum>
  <w:abstractNum w:abstractNumId="232">
    <w:nsid w:val="3EB21819"/>
    <w:multiLevelType w:val="hybridMultilevel"/>
    <w:lvl w:ilvl="0">
      <w:lvlJc w:val="left"/>
      <w:lvlText w:val="(%1)"/>
      <w:numFmt w:val="lowerLetter"/>
      <w:start w:val="1"/>
    </w:lvl>
  </w:abstractNum>
  <w:abstractNum w:abstractNumId="233">
    <w:nsid w:val="41531DED"/>
    <w:multiLevelType w:val="hybridMultilevel"/>
    <w:lvl w:ilvl="0">
      <w:lvlJc w:val="left"/>
      <w:lvlText w:val="(%1)"/>
      <w:numFmt w:val="lowerLetter"/>
      <w:start w:val="2"/>
    </w:lvl>
  </w:abstractNum>
  <w:abstractNum w:abstractNumId="234">
    <w:nsid w:val="6353CD2"/>
    <w:multiLevelType w:val="hybridMultilevel"/>
    <w:lvl w:ilvl="0">
      <w:lvlJc w:val="left"/>
      <w:lvlText w:val="(%1)"/>
      <w:numFmt w:val="lowerLetter"/>
      <w:start w:val="1"/>
    </w:lvl>
  </w:abstractNum>
  <w:abstractNum w:abstractNumId="235">
    <w:nsid w:val="683CAAD3"/>
    <w:multiLevelType w:val="hybridMultilevel"/>
    <w:lvl w:ilvl="0">
      <w:lvlJc w:val="left"/>
      <w:lvlText w:val="(%1)"/>
      <w:numFmt w:val="lowerLetter"/>
      <w:start w:val="2"/>
    </w:lvl>
  </w:abstractNum>
  <w:abstractNum w:abstractNumId="236">
    <w:nsid w:val="313C7C99"/>
    <w:multiLevelType w:val="hybridMultilevel"/>
    <w:lvl w:ilvl="0">
      <w:lvlJc w:val="left"/>
      <w:lvlText w:val="%1."/>
      <w:numFmt w:val="decimal"/>
      <w:start w:val="3"/>
    </w:lvl>
  </w:abstractNum>
  <w:abstractNum w:abstractNumId="237">
    <w:nsid w:val="519EB94C"/>
    <w:multiLevelType w:val="hybridMultilevel"/>
    <w:lvl w:ilvl="0">
      <w:lvlJc w:val="left"/>
      <w:lvlText w:val="1"/>
      <w:numFmt w:val="bullet"/>
      <w:start w:val="1"/>
    </w:lvl>
  </w:abstractNum>
  <w:abstractNum w:abstractNumId="238">
    <w:nsid w:val="39DF2579"/>
    <w:multiLevelType w:val="hybridMultilevel"/>
    <w:lvl w:ilvl="0">
      <w:lvlJc w:val="left"/>
      <w:lvlText w:val="2"/>
      <w:numFmt w:val="bullet"/>
      <w:start w:val="1"/>
    </w:lvl>
  </w:abstractNum>
  <w:abstractNum w:abstractNumId="239">
    <w:nsid w:val="126E008B"/>
    <w:multiLevelType w:val="hybridMultilevel"/>
    <w:lvl w:ilvl="0">
      <w:lvlJc w:val="left"/>
      <w:lvlText w:val="%1."/>
      <w:numFmt w:val="decimal"/>
      <w:start w:val="4"/>
    </w:lvl>
    <w:lvl w:ilvl="1">
      <w:lvlJc w:val="left"/>
      <w:lvlText w:val="(%2)"/>
      <w:numFmt w:val="lowerLetter"/>
      <w:start w:val="1"/>
    </w:lvl>
  </w:abstractNum>
  <w:abstractNum w:abstractNumId="240">
    <w:nsid w:val="34DFBC00"/>
    <w:multiLevelType w:val="hybridMultilevel"/>
    <w:lvl w:ilvl="0">
      <w:lvlJc w:val="left"/>
      <w:lvlText w:val="%1."/>
      <w:numFmt w:val="decimal"/>
      <w:start w:val="5"/>
    </w:lvl>
  </w:abstractNum>
  <w:abstractNum w:abstractNumId="241">
    <w:nsid w:val="1F9EC322"/>
    <w:multiLevelType w:val="hybridMultilevel"/>
    <w:lvl w:ilvl="0">
      <w:lvlJc w:val="left"/>
      <w:lvlText w:val="%1."/>
      <w:numFmt w:val="decimal"/>
      <w:start w:val="6"/>
    </w:lvl>
  </w:abstractNum>
  <w:abstractNum w:abstractNumId="242">
    <w:nsid w:val="3410ED56"/>
    <w:multiLevelType w:val="hybridMultilevel"/>
    <w:lvl w:ilvl="0">
      <w:lvlJc w:val="left"/>
      <w:lvlText w:val="%1."/>
      <w:numFmt w:val="decimal"/>
      <w:start w:val="8"/>
    </w:lvl>
  </w:abstractNum>
  <w:abstractNum w:abstractNumId="243">
    <w:nsid w:val="23C049A"/>
    <w:multiLevelType w:val="hybridMultilevel"/>
    <w:lvl w:ilvl="0">
      <w:lvlJc w:val="left"/>
      <w:lvlText w:val="(%1)"/>
      <w:numFmt w:val="lowerLetter"/>
      <w:start w:val="1"/>
    </w:lvl>
  </w:abstractNum>
  <w:abstractNum w:abstractNumId="244">
    <w:nsid w:val="5BDA35D4"/>
    <w:multiLevelType w:val="hybridMultilevel"/>
    <w:lvl w:ilvl="0">
      <w:lvlJc w:val="left"/>
      <w:lvlText w:val="(%1)"/>
      <w:numFmt w:val="lowerLetter"/>
      <w:start w:val="1"/>
    </w:lvl>
  </w:abstractNum>
  <w:abstractNum w:abstractNumId="245">
    <w:nsid w:val="496FB218"/>
    <w:multiLevelType w:val="hybridMultilevel"/>
    <w:lvl w:ilvl="0">
      <w:lvlJc w:val="left"/>
      <w:lvlText w:val="(%1)"/>
      <w:numFmt w:val="lowerLetter"/>
      <w:start w:val="2"/>
    </w:lvl>
  </w:abstractNum>
  <w:abstractNum w:abstractNumId="246">
    <w:nsid w:val="680EA5D1"/>
    <w:multiLevelType w:val="hybridMultilevel"/>
    <w:lvl w:ilvl="0">
      <w:lvlJc w:val="left"/>
      <w:lvlText w:val="(%1)"/>
      <w:numFmt w:val="lowerLetter"/>
      <w:start w:val="2"/>
    </w:lvl>
  </w:abstractNum>
  <w:abstractNum w:abstractNumId="247">
    <w:nsid w:val="4A9554FE"/>
    <w:multiLevelType w:val="hybridMultilevel"/>
    <w:lvl w:ilvl="0">
      <w:lvlJc w:val="left"/>
      <w:lvlText w:val="%1."/>
      <w:numFmt w:val="decimal"/>
      <w:start w:val="9"/>
    </w:lvl>
  </w:abstractNum>
  <w:abstractNum w:abstractNumId="248">
    <w:nsid w:val="392EDBE4"/>
    <w:multiLevelType w:val="hybridMultilevel"/>
    <w:lvl w:ilvl="0">
      <w:lvlJc w:val="left"/>
      <w:lvlText w:val="%1."/>
      <w:numFmt w:val="decimal"/>
      <w:start w:val="10"/>
    </w:lvl>
  </w:abstractNum>
  <w:abstractNum w:abstractNumId="249">
    <w:nsid w:val="3D1A2DD9"/>
    <w:multiLevelType w:val="hybridMultilevel"/>
    <w:lvl w:ilvl="0">
      <w:lvlJc w:val="left"/>
      <w:lvlText w:val="3"/>
      <w:numFmt w:val="bullet"/>
      <w:start w:val="1"/>
    </w:lvl>
  </w:abstractNum>
  <w:abstractNum w:abstractNumId="250">
    <w:nsid w:val="7F618FCD"/>
    <w:multiLevelType w:val="hybridMultilevel"/>
    <w:lvl w:ilvl="0">
      <w:lvlJc w:val="left"/>
      <w:lvlText w:val="(%1)"/>
      <w:numFmt w:val="lowerLetter"/>
      <w:start w:val="25"/>
    </w:lvl>
    <w:lvl w:ilvl="1">
      <w:lvlJc w:val="left"/>
      <w:lvlText w:val="%2."/>
      <w:numFmt w:val="decimal"/>
      <w:start w:val="11"/>
    </w:lvl>
  </w:abstractNum>
  <w:abstractNum w:abstractNumId="251">
    <w:nsid w:val="7843E45"/>
    <w:multiLevelType w:val="hybridMultilevel"/>
    <w:lvl w:ilvl="0">
      <w:lvlJc w:val="left"/>
      <w:lvlText w:val="(%1)"/>
      <w:numFmt w:val="lowerLetter"/>
      <w:start w:val="2"/>
    </w:lvl>
  </w:abstractNum>
  <w:abstractNum w:abstractNumId="252">
    <w:nsid w:val="9815DA3"/>
    <w:multiLevelType w:val="hybridMultilevel"/>
    <w:lvl w:ilvl="0">
      <w:lvlJc w:val="left"/>
      <w:lvlText w:val="%1."/>
      <w:numFmt w:val="decimal"/>
      <w:start w:val="13"/>
    </w:lvl>
  </w:abstractNum>
  <w:abstractNum w:abstractNumId="253">
    <w:nsid w:val="5204A191"/>
    <w:multiLevelType w:val="hybridMultilevel"/>
    <w:lvl w:ilvl="0">
      <w:lvlJc w:val="left"/>
      <w:lvlText w:val="%1."/>
      <w:numFmt w:val="decimal"/>
      <w:start w:val="15"/>
    </w:lvl>
  </w:abstractNum>
  <w:abstractNum w:abstractNumId="254">
    <w:nsid w:val="4C73A9C6"/>
    <w:multiLevelType w:val="hybridMultilevel"/>
    <w:lvl w:ilvl="0">
      <w:lvlJc w:val="left"/>
      <w:lvlText w:val="%1."/>
      <w:numFmt w:val="decimal"/>
      <w:start w:val="18"/>
    </w:lvl>
  </w:abstractNum>
  <w:abstractNum w:abstractNumId="255">
    <w:nsid w:val="1C7E3C01"/>
    <w:multiLevelType w:val="hybridMultilevel"/>
    <w:lvl w:ilvl="0">
      <w:lvlJc w:val="left"/>
      <w:lvlText w:val="(%1)"/>
      <w:numFmt w:val="lowerLetter"/>
      <w:start w:val="1"/>
    </w:lvl>
  </w:abstractNum>
  <w:abstractNum w:abstractNumId="256">
    <w:nsid w:val="1C2201FF"/>
    <w:multiLevelType w:val="hybridMultilevel"/>
    <w:lvl w:ilvl="0">
      <w:lvlJc w:val="left"/>
      <w:lvlText w:val="(%1)"/>
      <w:numFmt w:val="lowerLetter"/>
      <w:start w:val="2"/>
    </w:lvl>
  </w:abstractNum>
  <w:abstractNum w:abstractNumId="257">
    <w:nsid w:val="50ABCEC9"/>
    <w:multiLevelType w:val="hybridMultilevel"/>
    <w:lvl w:ilvl="0">
      <w:lvlJc w:val="left"/>
      <w:lvlText w:val="%1."/>
      <w:numFmt w:val="decimal"/>
      <w:start w:val="19"/>
    </w:lvl>
  </w:abstractNum>
  <w:abstractNum w:abstractNumId="258">
    <w:nsid w:val="7635AA2A"/>
    <w:multiLevelType w:val="hybridMultilevel"/>
    <w:lvl w:ilvl="0">
      <w:lvlJc w:val="left"/>
      <w:lvlText w:val="%1."/>
      <w:numFmt w:val="decimal"/>
      <w:start w:val="20"/>
    </w:lvl>
  </w:abstractNum>
  <w:abstractNum w:abstractNumId="259">
    <w:nsid w:val="5E74C4D9"/>
    <w:multiLevelType w:val="hybridMultilevel"/>
    <w:lvl w:ilvl="0">
      <w:lvlJc w:val="left"/>
      <w:lvlText w:val="%1."/>
      <w:numFmt w:val="decimal"/>
      <w:start w:val="24"/>
    </w:lvl>
  </w:abstractNum>
  <w:abstractNum w:abstractNumId="260">
    <w:nsid w:val="3B3EBE15"/>
    <w:multiLevelType w:val="hybridMultilevel"/>
    <w:lvl w:ilvl="0">
      <w:lvlJc w:val="left"/>
      <w:lvlText w:val="%1."/>
      <w:numFmt w:val="decimal"/>
      <w:start w:val="27"/>
    </w:lvl>
  </w:abstractNum>
  <w:abstractNum w:abstractNumId="261">
    <w:nsid w:val="3822CB01"/>
    <w:multiLevelType w:val="hybridMultilevel"/>
    <w:lvl w:ilvl="0">
      <w:lvlJc w:val="left"/>
      <w:lvlText w:val="%1."/>
      <w:numFmt w:val="decimal"/>
      <w:start w:val="1"/>
    </w:lvl>
  </w:abstractNum>
  <w:abstractNum w:abstractNumId="262">
    <w:nsid w:val="6CE00443"/>
    <w:multiLevelType w:val="hybridMultilevel"/>
    <w:lvl w:ilvl="0">
      <w:lvlJc w:val="left"/>
      <w:lvlText w:val="%1."/>
      <w:numFmt w:val="decimal"/>
      <w:start w:val="6"/>
    </w:lvl>
  </w:abstractNum>
  <w:abstractNum w:abstractNumId="263">
    <w:nsid w:val="79F0D62F"/>
    <w:multiLevelType w:val="hybridMultilevel"/>
    <w:lvl w:ilvl="0">
      <w:lvlJc w:val="left"/>
      <w:lvlText w:val="%1."/>
      <w:numFmt w:val="decimal"/>
      <w:start w:val="8"/>
    </w:lvl>
    <w:lvl w:ilvl="1">
      <w:lvlJc w:val="left"/>
      <w:lvlText w:val="(%2)"/>
      <w:numFmt w:val="lowerLetter"/>
      <w:start w:val="1"/>
    </w:lvl>
  </w:abstractNum>
  <w:abstractNum w:abstractNumId="264">
    <w:nsid w:val="7975E8EE"/>
    <w:multiLevelType w:val="hybridMultilevel"/>
    <w:lvl w:ilvl="0">
      <w:lvlJc w:val="left"/>
      <w:lvlText w:val="%1"/>
      <w:numFmt w:val="decimal"/>
      <w:start w:val="1"/>
    </w:lvl>
    <w:lvl w:ilvl="1">
      <w:lvlJc w:val="left"/>
      <w:lvlText w:val="(%2)"/>
      <w:numFmt w:val="lowerLetter"/>
      <w:start w:val="10"/>
    </w:lvl>
  </w:abstractNum>
  <w:abstractNum w:abstractNumId="265">
    <w:nsid w:val="73154115"/>
    <w:multiLevelType w:val="hybridMultilevel"/>
    <w:lvl w:ilvl="0">
      <w:lvlJc w:val="left"/>
      <w:lvlText w:val="%1."/>
      <w:numFmt w:val="decimal"/>
      <w:start w:val="9"/>
    </w:lvl>
    <w:lvl w:ilvl="1">
      <w:lvlJc w:val="left"/>
      <w:lvlText w:val="%2"/>
      <w:numFmt w:val="lowerLetter"/>
      <w:start w:val="1"/>
    </w:lvl>
  </w:abstractNum>
  <w:abstractNum w:abstractNumId="266">
    <w:nsid w:val="622D8102"/>
    <w:multiLevelType w:val="hybridMultilevel"/>
    <w:lvl w:ilvl="0">
      <w:lvlJc w:val="left"/>
      <w:lvlText w:val="%1."/>
      <w:numFmt w:val="decimal"/>
      <w:start w:val="10"/>
    </w:lvl>
  </w:abstractNum>
  <w:abstractNum w:abstractNumId="267">
    <w:nsid w:val="2AB26587"/>
    <w:multiLevelType w:val="hybridMultilevel"/>
    <w:lvl w:ilvl="0">
      <w:lvlJc w:val="left"/>
      <w:lvlText w:val="%1."/>
      <w:numFmt w:val="decimal"/>
      <w:start w:val="13"/>
    </w:lvl>
  </w:abstractNum>
  <w:abstractNum w:abstractNumId="268">
    <w:nsid w:val="44B3FA61"/>
    <w:multiLevelType w:val="hybridMultilevel"/>
    <w:lvl w:ilvl="0">
      <w:lvlJc w:val="left"/>
      <w:lvlText w:val="%1."/>
      <w:numFmt w:val="decimal"/>
      <w:start w:val="1"/>
    </w:lvl>
    <w:lvl w:ilvl="1">
      <w:lvlJc w:val="left"/>
      <w:lvlText w:val="%2"/>
      <w:numFmt w:val="lowerLetter"/>
      <w:start w:val="1"/>
    </w:lvl>
  </w:abstractNum>
  <w:abstractNum w:abstractNumId="269">
    <w:nsid w:val="1C0CA67C"/>
    <w:multiLevelType w:val="hybridMultilevel"/>
    <w:lvl w:ilvl="0">
      <w:lvlJc w:val="left"/>
      <w:lvlText w:val="%1"/>
      <w:numFmt w:val="decimal"/>
      <w:start w:val="1"/>
    </w:lvl>
    <w:lvl w:ilvl="1">
      <w:lvlJc w:val="left"/>
      <w:lvlText w:val="%2."/>
      <w:numFmt w:val="lowerLetter"/>
      <w:start w:val="2"/>
    </w:lvl>
  </w:abstractNum>
  <w:abstractNum w:abstractNumId="270">
    <w:nsid w:val="3D206613"/>
    <w:multiLevelType w:val="hybridMultilevel"/>
    <w:lvl w:ilvl="0">
      <w:lvlJc w:val="left"/>
      <w:lvlText w:val="%1."/>
      <w:numFmt w:val="decimal"/>
      <w:start w:val="2"/>
    </w:lvl>
    <w:lvl w:ilvl="1">
      <w:lvlJc w:val="left"/>
      <w:lvlText w:val="%2"/>
      <w:numFmt w:val="lowerLetter"/>
      <w:start w:val="1"/>
    </w:lvl>
  </w:abstractNum>
  <w:abstractNum w:abstractNumId="271">
    <w:nsid w:val="7993B66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72">
    <w:nsid w:val="3BAB699E"/>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273">
    <w:nsid w:val="713153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4">
    <w:nsid w:val="7BCFBAFC"/>
    <w:multiLevelType w:val="hybridMultilevel"/>
    <w:lvl w:ilvl="0">
      <w:lvlJc w:val="left"/>
      <w:lvlText w:val="%1"/>
      <w:numFmt w:val="decimal"/>
      <w:start w:val="1"/>
    </w:lvl>
    <w:lvl w:ilvl="1">
      <w:lvlJc w:val="left"/>
      <w:lvlText w:val="%2."/>
      <w:numFmt w:val="lowerLetter"/>
      <w:start w:val="2"/>
    </w:lvl>
  </w:abstractNum>
  <w:abstractNum w:abstractNumId="275">
    <w:nsid w:val="17859F72"/>
    <w:multiLevelType w:val="hybridMultilevel"/>
    <w:lvl w:ilvl="0">
      <w:lvlJc w:val="left"/>
      <w:lvlText w:val="%1."/>
      <w:numFmt w:val="decimal"/>
      <w:start w:val="5"/>
    </w:lvl>
    <w:lvl w:ilvl="1">
      <w:lvlJc w:val="left"/>
      <w:lvlText w:val="%2"/>
      <w:numFmt w:val="lowerLetter"/>
      <w:start w:val="1"/>
    </w:lvl>
  </w:abstractNum>
  <w:abstractNum w:abstractNumId="276">
    <w:nsid w:val="3AA10581"/>
    <w:multiLevelType w:val="hybridMultilevel"/>
    <w:lvl w:ilvl="0">
      <w:lvlJc w:val="left"/>
      <w:lvlText w:val="%1."/>
      <w:numFmt w:val="decimal"/>
      <w:start w:val="6"/>
    </w:lvl>
    <w:lvl w:ilvl="1">
      <w:lvlJc w:val="left"/>
      <w:lvlText w:val="%2."/>
      <w:numFmt w:val="lowerLetter"/>
      <w:start w:val="1"/>
    </w:lvl>
  </w:abstractNum>
  <w:abstractNum w:abstractNumId="277">
    <w:nsid w:val="63DE60CD"/>
    <w:multiLevelType w:val="hybridMultilevel"/>
    <w:lvl w:ilvl="0">
      <w:lvlJc w:val="left"/>
      <w:lvlText w:val="%1."/>
      <w:numFmt w:val="lowerLetter"/>
      <w:start w:val="5"/>
    </w:lvl>
  </w:abstractNum>
  <w:abstractNum w:abstractNumId="278">
    <w:nsid w:val="621AF471"/>
    <w:multiLevelType w:val="hybridMultilevel"/>
    <w:lvl w:ilvl="0">
      <w:lvlJc w:val="left"/>
      <w:lvlText w:val="%1"/>
      <w:numFmt w:val="lowerRoman"/>
      <w:start w:val="1"/>
    </w:lvl>
    <w:lvl w:ilvl="1">
      <w:lvlJc w:val="left"/>
      <w:lvlText w:val="%2."/>
      <w:numFmt w:val="decimal"/>
      <w:start w:val="7"/>
    </w:lvl>
  </w:abstractNum>
  <w:abstractNum w:abstractNumId="279">
    <w:nsid w:val="73CFE165"/>
    <w:multiLevelType w:val="hybridMultilevel"/>
    <w:lvl w:ilvl="0">
      <w:lvlJc w:val="left"/>
      <w:lvlText w:val="(%1)"/>
      <w:numFmt w:val="lowerRoman"/>
      <w:start w:val="2"/>
    </w:lvl>
    <w:lvl w:ilvl="1">
      <w:lvlJc w:val="left"/>
      <w:lvlText w:val="%2."/>
      <w:numFmt w:val="decimal"/>
      <w:start w:val="8"/>
    </w:lvl>
  </w:abstractNum>
  <w:abstractNum w:abstractNumId="280">
    <w:nsid w:val="20F88EA6"/>
    <w:multiLevelType w:val="hybridMultilevel"/>
    <w:lvl w:ilvl="0">
      <w:lvlJc w:val="left"/>
      <w:lvlText w:val="%1"/>
      <w:numFmt w:val="lowerLetter"/>
      <w:start w:val="1"/>
    </w:lvl>
    <w:lvl w:ilvl="1">
      <w:lvlJc w:val="left"/>
      <w:lvlText w:val="%2."/>
      <w:numFmt w:val="decimal"/>
      <w:start w:val="9"/>
    </w:lvl>
  </w:abstractNum>
  <w:abstractNum w:abstractNumId="281">
    <w:nsid w:val="617C843E"/>
    <w:multiLevelType w:val="hybridMultilevel"/>
    <w:lvl w:ilvl="0">
      <w:lvlJc w:val="left"/>
      <w:lvlText w:val="(%1)"/>
      <w:numFmt w:val="lowerLetter"/>
      <w:start w:val="2"/>
    </w:lvl>
    <w:lvl w:ilvl="1">
      <w:lvlJc w:val="left"/>
      <w:lvlText w:val="%2."/>
      <w:numFmt w:val="decimal"/>
      <w:start w:val="10"/>
    </w:lvl>
  </w:abstractNum>
  <w:abstractNum w:abstractNumId="282">
    <w:nsid w:val="7B541FAB"/>
    <w:multiLevelType w:val="hybridMultilevel"/>
    <w:lvl w:ilvl="0">
      <w:lvlJc w:val="left"/>
      <w:lvlText w:val="%1."/>
      <w:numFmt w:val="decimal"/>
      <w:start w:val="12"/>
    </w:lvl>
  </w:abstractNum>
  <w:abstractNum w:abstractNumId="283">
    <w:nsid w:val="2A79EC49"/>
    <w:multiLevelType w:val="hybridMultilevel"/>
    <w:lvl w:ilvl="0">
      <w:lvlJc w:val="left"/>
      <w:lvlText w:val="%1."/>
      <w:numFmt w:val="decimal"/>
      <w:start w:val="15"/>
    </w:lvl>
  </w:abstractNum>
  <w:abstractNum w:abstractNumId="284">
    <w:nsid w:val="338125CF"/>
    <w:multiLevelType w:val="hybridMultilevel"/>
    <w:lvl w:ilvl="0">
      <w:lvlJc w:val="left"/>
      <w:lvlText w:val="%1."/>
      <w:numFmt w:val="decimal"/>
      <w:start w:val="20"/>
    </w:lvl>
  </w:abstractNum>
  <w:abstractNum w:abstractNumId="285">
    <w:nsid w:val="47C7C971"/>
    <w:multiLevelType w:val="hybridMultilevel"/>
    <w:lvl w:ilvl="0">
      <w:lvlJc w:val="left"/>
      <w:lvlText w:val="%1"/>
      <w:numFmt w:val="lowerRoman"/>
      <w:start w:val="1"/>
    </w:lvl>
    <w:lvl w:ilvl="1">
      <w:lvlJc w:val="left"/>
      <w:lvlText w:val="%2."/>
      <w:numFmt w:val="decimal"/>
      <w:start w:val="23"/>
    </w:lvl>
  </w:abstractNum>
  <w:abstractNum w:abstractNumId="286">
    <w:nsid w:val="46F8284B"/>
    <w:multiLevelType w:val="hybridMultilevel"/>
    <w:lvl w:ilvl="0">
      <w:lvlJc w:val="left"/>
      <w:lvlText w:val="(%1)"/>
      <w:numFmt w:val="lowerRoman"/>
      <w:start w:val="2"/>
    </w:lvl>
    <w:lvl w:ilvl="1">
      <w:lvlJc w:val="left"/>
      <w:lvlText w:val="%2"/>
      <w:numFmt w:val="decimal"/>
      <w:start w:val="1"/>
    </w:lvl>
  </w:abstractNum>
  <w:abstractNum w:abstractNumId="287">
    <w:nsid w:val="4FA327CE"/>
    <w:multiLevelType w:val="hybridMultilevel"/>
    <w:lvl w:ilvl="0">
      <w:lvlJc w:val="left"/>
      <w:lvlText w:val="%1."/>
      <w:numFmt w:val="decimal"/>
      <w:start w:val="1"/>
    </w:lvl>
  </w:abstractNum>
  <w:abstractNum w:abstractNumId="288">
    <w:nsid w:val="1873983A"/>
    <w:multiLevelType w:val="hybridMultilevel"/>
    <w:lvl w:ilvl="0">
      <w:lvlJc w:val="left"/>
      <w:lvlText w:val="(%1)"/>
      <w:numFmt w:val="upperLetter"/>
      <w:start w:val="1"/>
    </w:lvl>
  </w:abstractNum>
  <w:abstractNum w:abstractNumId="289">
    <w:nsid w:val="3D2DD275"/>
    <w:multiLevelType w:val="hybridMultilevel"/>
    <w:lvl w:ilvl="0">
      <w:lvlJc w:val="left"/>
      <w:lvlText w:val="(%1)"/>
      <w:numFmt w:val="upperLetter"/>
      <w:start w:val="2"/>
    </w:lvl>
  </w:abstractNum>
  <w:abstractNum w:abstractNumId="290">
    <w:nsid w:val="2E17ECA7"/>
    <w:multiLevelType w:val="hybridMultilevel"/>
    <w:lvl w:ilvl="0">
      <w:lvlJc w:val="left"/>
      <w:lvlText w:val="(%1)"/>
      <w:numFmt w:val="lowerRoman"/>
      <w:start w:val="1"/>
    </w:lvl>
  </w:abstractNum>
  <w:abstractNum w:abstractNumId="291">
    <w:nsid w:val="53B2564F"/>
    <w:multiLevelType w:val="hybridMultilevel"/>
    <w:lvl w:ilvl="0">
      <w:lvlJc w:val="left"/>
      <w:lvlText w:val="(%1)"/>
      <w:numFmt w:val="lowerRoman"/>
      <w:start w:val="10"/>
    </w:lvl>
  </w:abstractNum>
  <w:abstractNum w:abstractNumId="292">
    <w:nsid w:val="75509D76"/>
    <w:multiLevelType w:val="hybridMultilevel"/>
    <w:lvl w:ilvl="0">
      <w:lvlJc w:val="left"/>
      <w:lvlText w:val="(%1)"/>
      <w:numFmt w:val="lowerLetter"/>
      <w:start w:val="3"/>
    </w:lvl>
  </w:abstractNum>
  <w:abstractNum w:abstractNumId="293">
    <w:nsid w:val="1AF7F0EA"/>
    <w:multiLevelType w:val="hybridMultilevel"/>
    <w:lvl w:ilvl="0">
      <w:lvlJc w:val="left"/>
      <w:lvlText w:val="%1."/>
      <w:numFmt w:val="decimal"/>
      <w:start w:val="1"/>
    </w:lvl>
  </w:abstractNum>
  <w:abstractNum w:abstractNumId="294">
    <w:nsid w:val="4DA32C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5">
    <w:nsid w:val="6EC68664"/>
    <w:multiLevelType w:val="hybridMultilevel"/>
    <w:lvl w:ilvl="0">
      <w:lvlJc w:val="left"/>
      <w:lvlText w:val="%1"/>
      <w:numFmt w:val="decimal"/>
      <w:start w:val="1"/>
    </w:lvl>
    <w:lvl w:ilvl="1">
      <w:lvlJc w:val="left"/>
      <w:lvlText w:val="%2."/>
      <w:numFmt w:val="lowerLetter"/>
      <w:start w:val="3"/>
    </w:lvl>
  </w:abstractNum>
  <w:abstractNum w:abstractNumId="296">
    <w:nsid w:val="E0D31FF"/>
    <w:multiLevelType w:val="hybridMultilevel"/>
    <w:lvl w:ilvl="0">
      <w:lvlJc w:val="left"/>
      <w:lvlText w:val="%1."/>
      <w:numFmt w:val="decimal"/>
      <w:start w:val="4"/>
    </w:lvl>
    <w:lvl w:ilvl="1">
      <w:lvlJc w:val="left"/>
      <w:lvlText w:val="%2."/>
      <w:numFmt w:val="lowerLetter"/>
      <w:start w:val="1"/>
    </w:lvl>
  </w:abstractNum>
  <w:abstractNum w:abstractNumId="297">
    <w:nsid w:val="2FD0AD81"/>
    <w:multiLevelType w:val="hybridMultilevel"/>
    <w:lvl w:ilvl="0">
      <w:lvlJc w:val="left"/>
      <w:lvlText w:val="%1."/>
      <w:numFmt w:val="lowerLetter"/>
      <w:start w:val="5"/>
    </w:lvl>
  </w:abstractNum>
  <w:abstractNum w:abstractNumId="298">
    <w:nsid w:val="1978EBEB"/>
    <w:multiLevelType w:val="hybridMultilevel"/>
    <w:lvl w:ilvl="0">
      <w:lvlJc w:val="left"/>
      <w:lvlText w:val="%1"/>
      <w:numFmt w:val="decimal"/>
      <w:start w:val="1"/>
    </w:lvl>
    <w:lvl w:ilvl="1">
      <w:lvlJc w:val="left"/>
      <w:lvlText w:val="%2."/>
      <w:numFmt w:val="lowerLetter"/>
      <w:start w:val="10"/>
    </w:lvl>
  </w:abstractNum>
  <w:abstractNum w:abstractNumId="299">
    <w:nsid w:val="52C12C61"/>
    <w:multiLevelType w:val="hybridMultilevel"/>
    <w:lvl w:ilvl="0">
      <w:lvlJc w:val="left"/>
      <w:lvlText w:val="%1."/>
      <w:numFmt w:val="decimal"/>
      <w:start w:val="6"/>
    </w:lvl>
    <w:lvl w:ilvl="1">
      <w:lvlJc w:val="left"/>
      <w:lvlText w:val="%2."/>
      <w:numFmt w:val="lowerLetter"/>
      <w:start w:val="1"/>
    </w:lvl>
  </w:abstractNum>
  <w:abstractNum w:abstractNumId="300">
    <w:nsid w:val="4BDD53FD"/>
    <w:multiLevelType w:val="hybridMultilevel"/>
    <w:lvl w:ilvl="0">
      <w:lvlJc w:val="left"/>
      <w:lvlText w:val="%1"/>
      <w:numFmt w:val="lowerRoman"/>
      <w:start w:val="1"/>
    </w:lvl>
    <w:lvl w:ilvl="1">
      <w:lvlJc w:val="left"/>
      <w:lvlText w:val="%2."/>
      <w:numFmt w:val="lowerLetter"/>
      <w:start w:val="3"/>
    </w:lvl>
  </w:abstractNum>
  <w:abstractNum w:abstractNumId="301">
    <w:nsid w:val="569951FE"/>
    <w:multiLevelType w:val="hybridMultilevel"/>
    <w:lvl w:ilvl="0">
      <w:lvlJc w:val="left"/>
      <w:lvlText w:val="(%1)"/>
      <w:numFmt w:val="lowerRoman"/>
      <w:start w:val="2"/>
    </w:lvl>
    <w:lvl w:ilvl="1">
      <w:lvlJc w:val="left"/>
      <w:lvlText w:val="%2."/>
      <w:numFmt w:val="lowerLetter"/>
      <w:start w:val="7"/>
    </w:lvl>
  </w:abstractNum>
  <w:abstractNum w:abstractNumId="302">
    <w:nsid w:val="4C54E2C3"/>
    <w:multiLevelType w:val="hybridMultilevel"/>
    <w:lvl w:ilvl="0">
      <w:lvlJc w:val="left"/>
      <w:lvlText w:val="%1."/>
      <w:numFmt w:val="lowerLetter"/>
      <w:start w:val="11"/>
    </w:lvl>
  </w:abstractNum>
  <w:abstractNum w:abstractNumId="303">
    <w:nsid w:val="788BD9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04">
    <w:nsid w:val="47CAA567"/>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305">
    <w:nsid w:val="48249DB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06">
    <w:nsid w:val="1F0E5D0D"/>
    <w:multiLevelType w:val="hybridMultilevel"/>
    <w:lvl w:ilvl="0">
      <w:lvlJc w:val="left"/>
      <w:lvlText w:val="(%1)"/>
      <w:numFmt w:val="lowerRoman"/>
      <w:start w:val="5"/>
    </w:lvl>
    <w:lvl w:ilvl="1">
      <w:lvlJc w:val="left"/>
      <w:lvlText w:val="%2."/>
      <w:numFmt w:val="lowerLetter"/>
      <w:start w:val="3"/>
    </w:lvl>
    <w:lvl w:ilvl="2">
      <w:lvlJc w:val="left"/>
      <w:lvlText w:val="(%3)"/>
      <w:numFmt w:val="lowerRoman"/>
      <w:start w:val="1"/>
    </w:lvl>
  </w:abstractNum>
  <w:abstractNum w:abstractNumId="307">
    <w:nsid w:val="26BAAE9"/>
    <w:multiLevelType w:val="hybridMultilevel"/>
    <w:lvl w:ilvl="0">
      <w:lvlJc w:val="left"/>
      <w:lvlText w:val="(%1)"/>
      <w:numFmt w:val="lowerRoman"/>
      <w:start w:val="2"/>
    </w:lvl>
  </w:abstractNum>
  <w:abstractNum w:abstractNumId="308">
    <w:nsid w:val="2C02FE8C"/>
    <w:multiLevelType w:val="hybridMultilevel"/>
    <w:lvl w:ilvl="0">
      <w:lvlJc w:val="left"/>
      <w:lvlText w:val="%1."/>
      <w:numFmt w:val="decimal"/>
      <w:start w:val="8"/>
    </w:lvl>
    <w:lvl w:ilvl="1">
      <w:lvlJc w:val="left"/>
      <w:lvlText w:val="%2."/>
      <w:numFmt w:val="lowerLetter"/>
      <w:start w:val="1"/>
    </w:lvl>
  </w:abstractNum>
  <w:abstractNum w:abstractNumId="309">
    <w:nsid w:val="129517E"/>
    <w:multiLevelType w:val="hybridMultilevel"/>
    <w:lvl w:ilvl="0">
      <w:lvlJc w:val="left"/>
      <w:lvlText w:val="%1."/>
      <w:numFmt w:val="lowerLetter"/>
      <w:start w:val="3"/>
    </w:lvl>
  </w:abstractNum>
  <w:abstractNum w:abstractNumId="310">
    <w:nsid w:val="763B8C4E"/>
    <w:multiLevelType w:val="hybridMultilevel"/>
    <w:lvl w:ilvl="0">
      <w:lvlJc w:val="left"/>
      <w:lvlText w:val="%1."/>
      <w:numFmt w:val="lowerLetter"/>
      <w:start w:val="9"/>
    </w:lvl>
  </w:abstractNum>
  <w:abstractNum w:abstractNumId="311">
    <w:nsid w:val="4CFB8D32"/>
    <w:multiLevelType w:val="hybridMultilevel"/>
    <w:lvl w:ilvl="0">
      <w:lvlJc w:val="left"/>
      <w:lvlText w:val="%1."/>
      <w:numFmt w:val="decimal"/>
      <w:start w:val="11"/>
    </w:lvl>
  </w:abstractNum>
  <w:abstractNum w:abstractNumId="312">
    <w:nsid w:val="62A5D5BD"/>
    <w:multiLevelType w:val="hybridMultilevel"/>
    <w:lvl w:ilvl="0">
      <w:lvlJc w:val="left"/>
      <w:lvlText w:val="%1."/>
      <w:numFmt w:val="decimal"/>
      <w:start w:val="13"/>
    </w:lvl>
  </w:abstractNum>
  <w:abstractNum w:abstractNumId="313">
    <w:nsid w:val="718FABF9"/>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314">
    <w:nsid w:val="7775797C"/>
    <w:multiLevelType w:val="hybridMultilevel"/>
    <w:lvl w:ilvl="0">
      <w:lvlJc w:val="left"/>
      <w:lvlText w:val="☐"/>
      <w:numFmt w:val="bullet"/>
      <w:start w:val="1"/>
    </w:lvl>
  </w:abstractNum>
  <w:abstractNum w:abstractNumId="315">
    <w:nsid w:val="1626FB8C"/>
    <w:multiLevelType w:val="hybridMultilevel"/>
    <w:lvl w:ilvl="0">
      <w:lvlJc w:val="left"/>
      <w:lvlText w:val="%1"/>
      <w:numFmt w:val="upperLetter"/>
      <w:start w:val="61"/>
    </w:lvl>
  </w:abstractNum>
  <w:abstractNum w:abstractNumId="316">
    <w:nsid w:val="3957756A"/>
    <w:multiLevelType w:val="hybridMultilevel"/>
    <w:lvl w:ilvl="0">
      <w:lvlJc w:val="left"/>
      <w:lvlText w:val="%1"/>
      <w:numFmt w:val="upperLetter"/>
      <w:start w:val="61"/>
    </w:lvl>
  </w:abstractNum>
  <w:abstractNum w:abstractNumId="317">
    <w:nsid w:val="3E6DA1C7"/>
    <w:multiLevelType w:val="hybridMultilevel"/>
    <w:lvl w:ilvl="0">
      <w:lvlJc w:val="left"/>
      <w:lvlText w:val="%1"/>
      <w:numFmt w:val="upperLetter"/>
      <w:start w:val="61"/>
    </w:lvl>
  </w:abstractNum>
  <w:abstractNum w:abstractNumId="318">
    <w:nsid w:val="65CA235B"/>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2021-02-08T06:20:57Z</dcterms:created>
  <dcterms:modified xsi:type="dcterms:W3CDTF">2021-02-08T06:20:57Z</dcterms:modified>
</cp:coreProperties>
</file>