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-10795</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0" w:lineRule="auto"/>
        <w:tabs>
          <w:tab w:leader="none" w:pos="360" w:val="left"/>
        </w:tabs>
        <w:numPr>
          <w:ilvl w:val="0"/>
          <w:numId w:val="1"/>
        </w:numPr>
        <w:rPr>
          <w:rFonts w:ascii="Arial" w:cs="Arial" w:eastAsia="Arial" w:hAnsi="Arial"/>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80" w:space="28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PERCEPTIVE ADVISORS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Nautilus Biotechnology,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NAUT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525" w:type="dxa"/>
        <w:tblCellMar>
          <w:top w:w="0" w:type="dxa"/>
          <w:left w:w="0" w:type="dxa"/>
          <w:bottom w:w="0" w:type="dxa"/>
          <w:right w:w="0" w:type="dxa"/>
        </w:tblCellMar>
      </w:tblPr>
      <w:tr>
        <w:trPr>
          <w:trHeight w:val="161"/>
        </w:trPr>
        <w:tc>
          <w:tcPr>
            <w:tcW w:w="1100" w:type="dxa"/>
            <w:vAlign w:val="bottom"/>
          </w:tcPr>
          <w:p>
            <w:pPr>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110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Former Director</w:t>
      </w:r>
    </w:p>
    <w:p>
      <w:pPr>
        <w:spacing w:after="0" w:line="333" w:lineRule="exact"/>
        <w:rPr>
          <w:sz w:val="24"/>
          <w:szCs w:val="24"/>
          <w:color w:val="auto"/>
        </w:rPr>
      </w:pPr>
    </w:p>
    <w:p>
      <w:pPr>
        <w:sectPr>
          <w:pgSz w:w="11900" w:h="16838" w:orient="portrait"/>
          <w:cols w:equalWidth="0" w:num="3">
            <w:col w:w="3200" w:space="720"/>
            <w:col w:w="3220" w:space="595"/>
            <w:col w:w="3345"/>
          </w:cols>
          <w:pgMar w:left="460" w:top="225" w:right="359" w:bottom="0" w:gutter="0" w:footer="0" w:header="0"/>
          <w:type w:val="continuous"/>
        </w:sectPr>
      </w:pP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2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10"/>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3540" w:type="dxa"/>
            <w:vAlign w:val="bottom"/>
            <w:gridSpan w:val="10"/>
            <w:vMerge w:val="continue"/>
          </w:tcPr>
          <w:p>
            <w:pPr>
              <w:spacing w:after="0"/>
              <w:rPr>
                <w:sz w:val="11"/>
                <w:szCs w:val="11"/>
                <w:color w:val="auto"/>
              </w:rPr>
            </w:pPr>
          </w:p>
        </w:tc>
        <w:tc>
          <w:tcPr>
            <w:tcW w:w="376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gridSpan w:val="2"/>
          </w:tcPr>
          <w:p>
            <w:pPr>
              <w:ind w:left="140"/>
              <w:spacing w:after="0"/>
              <w:rPr>
                <w:sz w:val="20"/>
                <w:szCs w:val="20"/>
                <w:color w:val="auto"/>
              </w:rPr>
            </w:pPr>
            <w:r>
              <w:rPr>
                <w:rFonts w:ascii="Arial" w:cs="Arial" w:eastAsia="Arial" w:hAnsi="Arial"/>
                <w:sz w:val="17"/>
                <w:szCs w:val="17"/>
                <w:color w:val="0000FF"/>
              </w:rPr>
              <w:t>10003</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3000" w:type="dxa"/>
            <w:vAlign w:val="bottom"/>
            <w:gridSpan w:val="8"/>
          </w:tcPr>
          <w:p>
            <w:pPr>
              <w:ind w:left="180"/>
              <w:spacing w:after="0" w:line="14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gridSpan w:val="2"/>
            <w:vMerge w:val="continue"/>
          </w:tcPr>
          <w:p>
            <w:pPr>
              <w:spacing w:after="0"/>
              <w:rPr>
                <w:sz w:val="7"/>
                <w:szCs w:val="7"/>
                <w:color w:val="auto"/>
              </w:rPr>
            </w:pPr>
          </w:p>
        </w:tc>
        <w:tc>
          <w:tcPr>
            <w:tcW w:w="1140" w:type="dxa"/>
            <w:vAlign w:val="bottom"/>
            <w:gridSpan w:val="2"/>
            <w:vMerge w:val="restart"/>
          </w:tcPr>
          <w:p>
            <w:pPr>
              <w:ind w:left="180"/>
              <w:spacing w:after="0" w:line="147"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2"/>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4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740" w:type="dxa"/>
            <w:vAlign w:val="bottom"/>
            <w:gridSpan w:val="4"/>
          </w:tcPr>
          <w:p>
            <w:pPr>
              <w:jc w:val="right"/>
              <w:ind w:right="158"/>
              <w:spacing w:after="0"/>
              <w:rPr>
                <w:sz w:val="20"/>
                <w:szCs w:val="20"/>
                <w:color w:val="auto"/>
              </w:rPr>
            </w:pPr>
            <w:r>
              <w:rPr>
                <w:rFonts w:ascii="Arial" w:cs="Arial" w:eastAsia="Arial" w:hAnsi="Arial"/>
                <w:sz w:val="17"/>
                <w:szCs w:val="17"/>
                <w:color w:val="0000FF"/>
              </w:rPr>
              <w:t>05/24/2021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Arial" w:cs="Arial" w:eastAsia="Arial" w:hAnsi="Arial"/>
                <w:sz w:val="13"/>
                <w:szCs w:val="13"/>
                <w:color w:val="0000FF"/>
              </w:rPr>
              <w:t>P</w:t>
            </w:r>
          </w:p>
        </w:tc>
        <w:tc>
          <w:tcPr>
            <w:tcW w:w="800" w:type="dxa"/>
            <w:vAlign w:val="bottom"/>
          </w:tcPr>
          <w:p>
            <w:pPr>
              <w:jc w:val="center"/>
              <w:spacing w:after="0"/>
              <w:rPr>
                <w:sz w:val="20"/>
                <w:szCs w:val="20"/>
                <w:color w:val="auto"/>
              </w:rPr>
            </w:pPr>
            <w:r>
              <w:rPr>
                <w:rFonts w:ascii="Arial" w:cs="Arial" w:eastAsia="Arial" w:hAnsi="Arial"/>
                <w:sz w:val="17"/>
                <w:szCs w:val="17"/>
                <w:color w:val="0000FF"/>
                <w:w w:val="93"/>
              </w:rPr>
              <w:t>7,063</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10.05</w:t>
            </w:r>
          </w:p>
        </w:tc>
        <w:tc>
          <w:tcPr>
            <w:tcW w:w="60" w:type="dxa"/>
            <w:vAlign w:val="bottom"/>
          </w:tcPr>
          <w:p>
            <w:pPr>
              <w:spacing w:after="0"/>
              <w:rPr>
                <w:sz w:val="23"/>
                <w:szCs w:val="23"/>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7"/>
                <w:szCs w:val="17"/>
                <w:color w:val="0000FF"/>
                <w:w w:val="91"/>
              </w:rPr>
              <w:t>497,038</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Arial" w:cs="Arial" w:eastAsia="Arial" w:hAnsi="Arial"/>
                <w:sz w:val="17"/>
                <w:szCs w:val="17"/>
                <w:color w:val="0000FF"/>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40" w:type="dxa"/>
            <w:vAlign w:val="bottom"/>
            <w:gridSpan w:val="4"/>
            <w:vMerge w:val="restart"/>
          </w:tcPr>
          <w:p>
            <w:pPr>
              <w:jc w:val="right"/>
              <w:ind w:right="158"/>
              <w:spacing w:after="0"/>
              <w:rPr>
                <w:sz w:val="20"/>
                <w:szCs w:val="20"/>
                <w:color w:val="auto"/>
              </w:rPr>
            </w:pPr>
            <w:r>
              <w:rPr>
                <w:rFonts w:ascii="Arial" w:cs="Arial" w:eastAsia="Arial" w:hAnsi="Arial"/>
                <w:sz w:val="17"/>
                <w:szCs w:val="17"/>
                <w:color w:val="0000FF"/>
              </w:rPr>
              <w:t>06/09/2021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5,500,000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ind w:left="154"/>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10</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7"/>
                <w:szCs w:val="17"/>
                <w:color w:val="0000FF"/>
                <w:w w:val="92"/>
              </w:rPr>
              <w:t>5,997,038</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740" w:type="dxa"/>
            <w:vAlign w:val="bottom"/>
            <w:gridSpan w:val="4"/>
            <w:vMerge w:val="restart"/>
          </w:tcPr>
          <w:p>
            <w:pPr>
              <w:jc w:val="right"/>
              <w:ind w:right="158"/>
              <w:spacing w:after="0"/>
              <w:rPr>
                <w:sz w:val="20"/>
                <w:szCs w:val="20"/>
                <w:color w:val="auto"/>
              </w:rPr>
            </w:pPr>
            <w:r>
              <w:rPr>
                <w:rFonts w:ascii="Arial" w:cs="Arial" w:eastAsia="Arial" w:hAnsi="Arial"/>
                <w:sz w:val="17"/>
                <w:szCs w:val="17"/>
                <w:color w:val="0000FF"/>
              </w:rPr>
              <w:t>06/09/2021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J</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89"/>
              </w:rPr>
              <w:t>2,914,113</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center"/>
              <w:ind w:left="154"/>
              <w:spacing w:after="0"/>
              <w:rPr>
                <w:sz w:val="20"/>
                <w:szCs w:val="20"/>
                <w:color w:val="auto"/>
              </w:rPr>
            </w:pPr>
            <w:r>
              <w:rPr>
                <w:rFonts w:ascii="Arial" w:cs="Arial" w:eastAsia="Arial" w:hAnsi="Arial"/>
                <w:sz w:val="11"/>
                <w:szCs w:val="11"/>
                <w:color w:val="008000"/>
                <w:w w:val="88"/>
              </w:rPr>
              <w:t>(2)</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0000FF"/>
                <w:w w:val="89"/>
              </w:rPr>
              <w:t>8,911,151</w:t>
            </w:r>
          </w:p>
        </w:tc>
        <w:tc>
          <w:tcPr>
            <w:tcW w:w="300" w:type="dxa"/>
            <w:vAlign w:val="bottom"/>
          </w:tcPr>
          <w:p>
            <w:pPr>
              <w:spacing w:after="0"/>
              <w:rPr>
                <w:sz w:val="22"/>
                <w:szCs w:val="22"/>
                <w:color w:val="auto"/>
              </w:rPr>
            </w:pP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0" w:type="dxa"/>
            <w:vAlign w:val="bottom"/>
            <w:gridSpan w:val="19"/>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980" w:type="dxa"/>
            <w:vAlign w:val="bottom"/>
            <w:gridSpan w:val="14"/>
          </w:tcPr>
          <w:p>
            <w:pPr>
              <w:jc w:val="center"/>
              <w:ind w:left="1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840" w:type="dxa"/>
            <w:vAlign w:val="bottom"/>
            <w:tcBorders>
              <w:bottom w:val="single" w:sz="8" w:color="2C2C2C"/>
            </w:tcBorders>
            <w:gridSpan w:val="5"/>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PERCEPTIVE ADVISORS LLC</w:t>
              </w:r>
            </w:hyperlink>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Arial" w:cs="Arial" w:eastAsia="Arial" w:hAnsi="Arial"/>
                <w:sz w:val="17"/>
                <w:szCs w:val="17"/>
                <w:color w:val="0000FF"/>
              </w:rPr>
              <w:t>51 ASTOR PLACE, 10TH FLOOR</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gridSpan w:val="2"/>
          </w:tcPr>
          <w:p>
            <w:pPr>
              <w:ind w:left="500"/>
              <w:spacing w:after="0"/>
              <w:rPr>
                <w:sz w:val="20"/>
                <w:szCs w:val="20"/>
                <w:color w:val="auto"/>
              </w:rPr>
            </w:pPr>
            <w:r>
              <w:rPr>
                <w:rFonts w:ascii="Arial" w:cs="Arial" w:eastAsia="Arial" w:hAnsi="Arial"/>
                <w:sz w:val="17"/>
                <w:szCs w:val="17"/>
                <w:color w:val="0000FF"/>
              </w:rPr>
              <w:t>10003</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-3396615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PERCEPTIVE LIFE SCIENCES MASTER</w:t>
        </w:r>
      </w:hyperlink>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FUND LTD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7"/>
                <w:szCs w:val="17"/>
                <w:color w:val="0000FF"/>
              </w:rPr>
              <w:t>51 ASTOR PLACE, 10TH FLOOR</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tcPr>
          <w:p>
            <w:pPr>
              <w:ind w:left="220"/>
              <w:spacing w:after="0"/>
              <w:rPr>
                <w:sz w:val="20"/>
                <w:szCs w:val="20"/>
                <w:color w:val="auto"/>
              </w:rPr>
            </w:pPr>
            <w:r>
              <w:rPr>
                <w:rFonts w:ascii="Arial" w:cs="Arial" w:eastAsia="Arial" w:hAnsi="Arial"/>
                <w:sz w:val="17"/>
                <w:szCs w:val="17"/>
                <w:color w:val="0000FF"/>
              </w:rPr>
              <w:t>NY</w:t>
            </w:r>
          </w:p>
        </w:tc>
        <w:tc>
          <w:tcPr>
            <w:tcW w:w="1520" w:type="dxa"/>
            <w:vAlign w:val="bottom"/>
          </w:tcPr>
          <w:p>
            <w:pPr>
              <w:ind w:left="160"/>
              <w:spacing w:after="0"/>
              <w:rPr>
                <w:sz w:val="20"/>
                <w:szCs w:val="20"/>
                <w:color w:val="auto"/>
              </w:rPr>
            </w:pPr>
            <w:r>
              <w:rPr>
                <w:rFonts w:ascii="Arial" w:cs="Arial" w:eastAsia="Arial" w:hAnsi="Arial"/>
                <w:sz w:val="17"/>
                <w:szCs w:val="17"/>
                <w:color w:val="0000FF"/>
              </w:rPr>
              <w:t>10003</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30"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EDELMAN JOSEPH</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0"/>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17"/>
                <w:szCs w:val="17"/>
                <w:color w:val="0000FF"/>
              </w:rPr>
              <w:t>51 ASTOR PLACE, 10TH FLOOR</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60" w:type="dxa"/>
            <w:vAlign w:val="bottom"/>
          </w:tcPr>
          <w:p>
            <w:pPr>
              <w:ind w:left="220"/>
              <w:spacing w:after="0"/>
              <w:rPr>
                <w:sz w:val="20"/>
                <w:szCs w:val="20"/>
                <w:color w:val="auto"/>
              </w:rPr>
            </w:pPr>
            <w:r>
              <w:rPr>
                <w:rFonts w:ascii="Arial" w:cs="Arial" w:eastAsia="Arial" w:hAnsi="Arial"/>
                <w:sz w:val="17"/>
                <w:szCs w:val="17"/>
                <w:color w:val="0000FF"/>
              </w:rPr>
              <w:t>NY</w:t>
            </w:r>
          </w:p>
        </w:tc>
        <w:tc>
          <w:tcPr>
            <w:tcW w:w="1520" w:type="dxa"/>
            <w:vAlign w:val="bottom"/>
          </w:tcPr>
          <w:p>
            <w:pPr>
              <w:ind w:left="160"/>
              <w:spacing w:after="0"/>
              <w:rPr>
                <w:sz w:val="20"/>
                <w:szCs w:val="20"/>
                <w:color w:val="auto"/>
              </w:rPr>
            </w:pPr>
            <w:r>
              <w:rPr>
                <w:rFonts w:ascii="Arial" w:cs="Arial" w:eastAsia="Arial" w:hAnsi="Arial"/>
                <w:sz w:val="17"/>
                <w:szCs w:val="17"/>
                <w:color w:val="0000FF"/>
              </w:rPr>
              <w:t>10003</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right="80" w:firstLine="7"/>
        <w:spacing w:after="0" w:line="245"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spacing w:after="0" w:line="29" w:lineRule="exact"/>
        <w:rPr>
          <w:rFonts w:ascii="Arial" w:cs="Arial" w:eastAsia="Arial" w:hAnsi="Arial"/>
          <w:sz w:val="13"/>
          <w:szCs w:val="13"/>
          <w:color w:val="008000"/>
        </w:rPr>
      </w:pPr>
    </w:p>
    <w:p>
      <w:pPr>
        <w:ind w:firstLine="7"/>
        <w:spacing w:after="0" w:line="266"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Acquired pursuant to the business combination by and among ARYA Sciences Acquisition Corp III, Mako Merger Sub, Inc. and Nautilus Biotechnology, Inc. ("Old Nautilus") in exchange for shares of Old Nautilus previously held by the Master Fund.</w:t>
      </w:r>
    </w:p>
    <w:p>
      <w:pPr>
        <w:sectPr>
          <w:pgSz w:w="11900" w:h="16838" w:orient="portrait"/>
          <w:cols w:equalWidth="0" w:num="1">
            <w:col w:w="10840"/>
          </w:cols>
          <w:pgMar w:left="500" w:top="140" w:right="559" w:bottom="1440" w:gutter="0" w:footer="0" w:header="0"/>
        </w:sectPr>
      </w:pP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9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871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0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Perceptive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33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85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98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 -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693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Perceptive Advisors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79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5"/>
          <w:szCs w:val="15"/>
          <w:color w:val="0000FF"/>
        </w:rPr>
        <w:t>Joseph Edelman, its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379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0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6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06/11/2021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60" w:space="80"/>
            <w:col w:w="2100"/>
          </w:cols>
          <w:pgMar w:left="500" w:top="140" w:right="5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4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808805" TargetMode="External"/><Relationship Id="rId15" Type="http://schemas.openxmlformats.org/officeDocument/2006/relationships/hyperlink" Target="http://www.sec.gov/cgi-bin/browse-edgar?action=getcompany&amp;CIK=0001249675" TargetMode="External"/><Relationship Id="rId16" Type="http://schemas.openxmlformats.org/officeDocument/2006/relationships/hyperlink" Target="http://www.sec.gov/cgi-bin/browse-edgar?action=getcompany&amp;CIK=00011644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2021-06-11T16:46:45Z</dcterms:created>
  <dcterms:modified xsi:type="dcterms:W3CDTF">2021-06-11T16:46:45Z</dcterms:modified>
</cp:coreProperties>
</file>