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352"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208280</wp:posOffset>
            </wp:positionH>
            <wp:positionV relativeFrom="page">
              <wp:posOffset>1031875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1057275</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ind w:left="4920"/>
        <w:spacing w:after="0"/>
        <w:rPr>
          <w:sz w:val="20"/>
          <w:szCs w:val="20"/>
          <w:color w:val="auto"/>
        </w:rPr>
      </w:pPr>
      <w:r>
        <w:rPr>
          <w:rFonts w:ascii="Times New Roman" w:cs="Times New Roman" w:eastAsia="Times New Roman" w:hAnsi="Times New Roman"/>
          <w:sz w:val="18"/>
          <w:szCs w:val="18"/>
          <w:b w:val="1"/>
          <w:bCs w:val="1"/>
          <w:color w:val="auto"/>
        </w:rPr>
        <w:t>UNITED STATES</w:t>
      </w:r>
    </w:p>
    <w:p>
      <w:pPr>
        <w:spacing w:after="0" w:line="50"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3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18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8-K</w:t>
      </w:r>
    </w:p>
    <w:p>
      <w:pPr>
        <w:spacing w:after="0" w:line="18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19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w:t>
      </w:r>
    </w:p>
    <w:p>
      <w:pPr>
        <w:spacing w:after="0" w:line="3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Exchange Act of 1934</w:t>
      </w:r>
    </w:p>
    <w:p>
      <w:pPr>
        <w:spacing w:after="0" w:line="18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June 13, 2024</w:t>
      </w:r>
    </w:p>
    <w:p>
      <w:pPr>
        <w:spacing w:after="0" w:line="20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NAUTILUS BIOTECHNOLOGY, INC.</w:t>
      </w:r>
    </w:p>
    <w:p>
      <w:pPr>
        <w:spacing w:after="0" w:line="5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color w:val="auto"/>
        </w:rPr>
        <w:t>(Exact name of registrant as specified in its charter)</w:t>
      </w:r>
    </w:p>
    <w:p>
      <w:pPr>
        <w:spacing w:after="0" w:line="280" w:lineRule="exact"/>
        <w:rPr>
          <w:sz w:val="24"/>
          <w:szCs w:val="24"/>
          <w:color w:val="auto"/>
        </w:rPr>
      </w:pPr>
    </w:p>
    <w:tbl>
      <w:tblPr>
        <w:tblLayout w:type="fixed"/>
        <w:tblInd w:w="980" w:type="dxa"/>
        <w:tblCellMar>
          <w:top w:w="0" w:type="dxa"/>
          <w:left w:w="0" w:type="dxa"/>
          <w:bottom w:w="0" w:type="dxa"/>
          <w:right w:w="0" w:type="dxa"/>
        </w:tblCellMar>
      </w:tblPr>
      <w:tr>
        <w:trPr>
          <w:trHeight w:val="238"/>
        </w:trPr>
        <w:tc>
          <w:tcPr>
            <w:tcW w:w="3460" w:type="dxa"/>
            <w:vAlign w:val="bottom"/>
          </w:tcPr>
          <w:p>
            <w:pPr>
              <w:jc w:val="center"/>
              <w:ind w:right="1653"/>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2800" w:type="dxa"/>
            <w:vAlign w:val="bottom"/>
          </w:tcPr>
          <w:p>
            <w:pPr>
              <w:jc w:val="right"/>
              <w:ind w:right="1155"/>
              <w:spacing w:after="0"/>
              <w:rPr>
                <w:sz w:val="20"/>
                <w:szCs w:val="20"/>
                <w:color w:val="auto"/>
              </w:rPr>
            </w:pPr>
            <w:r>
              <w:rPr>
                <w:rFonts w:ascii="Times New Roman" w:cs="Times New Roman" w:eastAsia="Times New Roman" w:hAnsi="Times New Roman"/>
                <w:sz w:val="18"/>
                <w:szCs w:val="18"/>
                <w:b w:val="1"/>
                <w:bCs w:val="1"/>
                <w:color w:val="auto"/>
              </w:rPr>
              <w:t>001-39434</w:t>
            </w:r>
          </w:p>
        </w:tc>
        <w:tc>
          <w:tcPr>
            <w:tcW w:w="2760" w:type="dxa"/>
            <w:vAlign w:val="bottom"/>
          </w:tcPr>
          <w:p>
            <w:pPr>
              <w:jc w:val="center"/>
              <w:ind w:left="1475"/>
              <w:spacing w:after="0"/>
              <w:rPr>
                <w:sz w:val="20"/>
                <w:szCs w:val="20"/>
                <w:color w:val="auto"/>
              </w:rPr>
            </w:pPr>
            <w:r>
              <w:rPr>
                <w:rFonts w:ascii="Times New Roman" w:cs="Times New Roman" w:eastAsia="Times New Roman" w:hAnsi="Times New Roman"/>
                <w:sz w:val="18"/>
                <w:szCs w:val="18"/>
                <w:b w:val="1"/>
                <w:bCs w:val="1"/>
                <w:color w:val="auto"/>
              </w:rPr>
              <w:t>98-1541723</w:t>
            </w:r>
          </w:p>
        </w:tc>
      </w:tr>
      <w:tr>
        <w:trPr>
          <w:trHeight w:val="291"/>
        </w:trPr>
        <w:tc>
          <w:tcPr>
            <w:tcW w:w="3460" w:type="dxa"/>
            <w:vAlign w:val="bottom"/>
          </w:tcPr>
          <w:p>
            <w:pPr>
              <w:jc w:val="center"/>
              <w:ind w:right="1653"/>
              <w:spacing w:after="0"/>
              <w:rPr>
                <w:sz w:val="20"/>
                <w:szCs w:val="20"/>
                <w:color w:val="auto"/>
              </w:rPr>
            </w:pPr>
            <w:r>
              <w:rPr>
                <w:rFonts w:ascii="Times New Roman" w:cs="Times New Roman" w:eastAsia="Times New Roman" w:hAnsi="Times New Roman"/>
                <w:sz w:val="16"/>
                <w:szCs w:val="16"/>
                <w:color w:val="auto"/>
              </w:rPr>
              <w:t>(State or other jurisdiction</w:t>
            </w:r>
          </w:p>
        </w:tc>
        <w:tc>
          <w:tcPr>
            <w:tcW w:w="2800" w:type="dxa"/>
            <w:vAlign w:val="bottom"/>
          </w:tcPr>
          <w:p>
            <w:pPr>
              <w:jc w:val="center"/>
              <w:ind w:right="375"/>
              <w:spacing w:after="0"/>
              <w:rPr>
                <w:sz w:val="20"/>
                <w:szCs w:val="20"/>
                <w:color w:val="auto"/>
              </w:rPr>
            </w:pPr>
            <w:r>
              <w:rPr>
                <w:rFonts w:ascii="Times New Roman" w:cs="Times New Roman" w:eastAsia="Times New Roman" w:hAnsi="Times New Roman"/>
                <w:sz w:val="16"/>
                <w:szCs w:val="16"/>
                <w:color w:val="auto"/>
              </w:rPr>
              <w:t>(Commission File Number)</w:t>
            </w:r>
          </w:p>
        </w:tc>
        <w:tc>
          <w:tcPr>
            <w:tcW w:w="2760" w:type="dxa"/>
            <w:vAlign w:val="bottom"/>
          </w:tcPr>
          <w:p>
            <w:pPr>
              <w:jc w:val="center"/>
              <w:ind w:left="1475"/>
              <w:spacing w:after="0"/>
              <w:rPr>
                <w:sz w:val="20"/>
                <w:szCs w:val="20"/>
                <w:color w:val="auto"/>
              </w:rPr>
            </w:pPr>
            <w:r>
              <w:rPr>
                <w:rFonts w:ascii="Times New Roman" w:cs="Times New Roman" w:eastAsia="Times New Roman" w:hAnsi="Times New Roman"/>
                <w:sz w:val="16"/>
                <w:szCs w:val="16"/>
                <w:color w:val="auto"/>
              </w:rPr>
              <w:t>(I.R.S. Employer</w:t>
            </w:r>
          </w:p>
        </w:tc>
      </w:tr>
      <w:tr>
        <w:trPr>
          <w:trHeight w:val="216"/>
        </w:trPr>
        <w:tc>
          <w:tcPr>
            <w:tcW w:w="3460" w:type="dxa"/>
            <w:vAlign w:val="bottom"/>
          </w:tcPr>
          <w:p>
            <w:pPr>
              <w:jc w:val="center"/>
              <w:ind w:right="1673"/>
              <w:spacing w:after="0"/>
              <w:rPr>
                <w:sz w:val="20"/>
                <w:szCs w:val="20"/>
                <w:color w:val="auto"/>
              </w:rPr>
            </w:pPr>
            <w:r>
              <w:rPr>
                <w:rFonts w:ascii="Times New Roman" w:cs="Times New Roman" w:eastAsia="Times New Roman" w:hAnsi="Times New Roman"/>
                <w:sz w:val="16"/>
                <w:szCs w:val="16"/>
                <w:color w:val="auto"/>
              </w:rPr>
              <w:t>of incorporation)</w:t>
            </w:r>
          </w:p>
        </w:tc>
        <w:tc>
          <w:tcPr>
            <w:tcW w:w="2800" w:type="dxa"/>
            <w:vAlign w:val="bottom"/>
          </w:tcPr>
          <w:p>
            <w:pPr>
              <w:spacing w:after="0"/>
              <w:rPr>
                <w:sz w:val="18"/>
                <w:szCs w:val="18"/>
                <w:color w:val="auto"/>
              </w:rPr>
            </w:pPr>
          </w:p>
        </w:tc>
        <w:tc>
          <w:tcPr>
            <w:tcW w:w="2760" w:type="dxa"/>
            <w:vAlign w:val="bottom"/>
          </w:tcPr>
          <w:p>
            <w:pPr>
              <w:jc w:val="center"/>
              <w:ind w:left="1475"/>
              <w:spacing w:after="0"/>
              <w:rPr>
                <w:sz w:val="20"/>
                <w:szCs w:val="20"/>
                <w:color w:val="auto"/>
              </w:rPr>
            </w:pPr>
            <w:r>
              <w:rPr>
                <w:rFonts w:ascii="Times New Roman" w:cs="Times New Roman" w:eastAsia="Times New Roman" w:hAnsi="Times New Roman"/>
                <w:sz w:val="16"/>
                <w:szCs w:val="16"/>
                <w:color w:val="auto"/>
              </w:rPr>
              <w:t>Identification No.)</w:t>
            </w:r>
          </w:p>
        </w:tc>
      </w:tr>
      <w:tr>
        <w:trPr>
          <w:trHeight w:val="861"/>
        </w:trPr>
        <w:tc>
          <w:tcPr>
            <w:tcW w:w="34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2701 Eastlake Avenue East</w:t>
            </w:r>
          </w:p>
        </w:tc>
        <w:tc>
          <w:tcPr>
            <w:tcW w:w="2800" w:type="dxa"/>
            <w:vAlign w:val="bottom"/>
          </w:tcPr>
          <w:p>
            <w:pPr>
              <w:spacing w:after="0"/>
              <w:rPr>
                <w:sz w:val="24"/>
                <w:szCs w:val="24"/>
                <w:color w:val="auto"/>
              </w:rPr>
            </w:pPr>
          </w:p>
        </w:tc>
        <w:tc>
          <w:tcPr>
            <w:tcW w:w="2760" w:type="dxa"/>
            <w:vAlign w:val="bottom"/>
          </w:tcPr>
          <w:p>
            <w:pPr>
              <w:spacing w:after="0"/>
              <w:rPr>
                <w:sz w:val="24"/>
                <w:szCs w:val="24"/>
                <w:color w:val="auto"/>
              </w:rPr>
            </w:pPr>
          </w:p>
        </w:tc>
      </w:tr>
      <w:tr>
        <w:trPr>
          <w:trHeight w:val="200"/>
        </w:trPr>
        <w:tc>
          <w:tcPr>
            <w:tcW w:w="3460" w:type="dxa"/>
            <w:vAlign w:val="bottom"/>
          </w:tcPr>
          <w:p>
            <w:pPr>
              <w:jc w:val="center"/>
              <w:spacing w:after="0" w:line="200" w:lineRule="exact"/>
              <w:rPr>
                <w:sz w:val="20"/>
                <w:szCs w:val="20"/>
                <w:color w:val="auto"/>
              </w:rPr>
            </w:pPr>
            <w:r>
              <w:rPr>
                <w:rFonts w:ascii="Times New Roman" w:cs="Times New Roman" w:eastAsia="Times New Roman" w:hAnsi="Times New Roman"/>
                <w:sz w:val="18"/>
                <w:szCs w:val="18"/>
                <w:b w:val="1"/>
                <w:bCs w:val="1"/>
                <w:color w:val="auto"/>
                <w:w w:val="99"/>
              </w:rPr>
              <w:t>Seattle</w:t>
            </w:r>
            <w:r>
              <w:rPr>
                <w:rFonts w:ascii="Arial" w:cs="Arial" w:eastAsia="Arial" w:hAnsi="Arial"/>
                <w:sz w:val="18"/>
                <w:szCs w:val="18"/>
                <w:color w:val="auto"/>
                <w:w w:val="99"/>
              </w:rPr>
              <w:t>,</w:t>
            </w:r>
            <w:r>
              <w:rPr>
                <w:rFonts w:ascii="Times New Roman" w:cs="Times New Roman" w:eastAsia="Times New Roman" w:hAnsi="Times New Roman"/>
                <w:sz w:val="18"/>
                <w:szCs w:val="18"/>
                <w:b w:val="1"/>
                <w:bCs w:val="1"/>
                <w:color w:val="auto"/>
                <w:w w:val="99"/>
              </w:rPr>
              <w:t xml:space="preserve"> Washington</w:t>
            </w:r>
          </w:p>
        </w:tc>
        <w:tc>
          <w:tcPr>
            <w:tcW w:w="2800" w:type="dxa"/>
            <w:vAlign w:val="bottom"/>
          </w:tcPr>
          <w:p>
            <w:pPr>
              <w:spacing w:after="0"/>
              <w:rPr>
                <w:sz w:val="17"/>
                <w:szCs w:val="17"/>
                <w:color w:val="auto"/>
              </w:rPr>
            </w:pPr>
          </w:p>
        </w:tc>
        <w:tc>
          <w:tcPr>
            <w:tcW w:w="2760" w:type="dxa"/>
            <w:vAlign w:val="bottom"/>
          </w:tcPr>
          <w:p>
            <w:pPr>
              <w:jc w:val="right"/>
              <w:ind w:right="1355"/>
              <w:spacing w:after="0" w:line="200" w:lineRule="exact"/>
              <w:rPr>
                <w:sz w:val="20"/>
                <w:szCs w:val="20"/>
                <w:color w:val="auto"/>
              </w:rPr>
            </w:pPr>
            <w:r>
              <w:rPr>
                <w:rFonts w:ascii="Times New Roman" w:cs="Times New Roman" w:eastAsia="Times New Roman" w:hAnsi="Times New Roman"/>
                <w:sz w:val="18"/>
                <w:szCs w:val="18"/>
                <w:b w:val="1"/>
                <w:bCs w:val="1"/>
                <w:color w:val="auto"/>
              </w:rPr>
              <w:t>98102</w:t>
            </w:r>
          </w:p>
        </w:tc>
      </w:tr>
      <w:tr>
        <w:trPr>
          <w:trHeight w:val="234"/>
        </w:trPr>
        <w:tc>
          <w:tcPr>
            <w:tcW w:w="34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(Address of principal executive offices)</w:t>
            </w:r>
          </w:p>
        </w:tc>
        <w:tc>
          <w:tcPr>
            <w:tcW w:w="2800" w:type="dxa"/>
            <w:vAlign w:val="bottom"/>
          </w:tcPr>
          <w:p>
            <w:pPr>
              <w:spacing w:after="0"/>
              <w:rPr>
                <w:sz w:val="20"/>
                <w:szCs w:val="20"/>
                <w:color w:val="auto"/>
              </w:rPr>
            </w:pPr>
          </w:p>
        </w:tc>
        <w:tc>
          <w:tcPr>
            <w:tcW w:w="2760" w:type="dxa"/>
            <w:vAlign w:val="bottom"/>
          </w:tcPr>
          <w:p>
            <w:pPr>
              <w:jc w:val="center"/>
              <w:ind w:right="475"/>
              <w:spacing w:after="0"/>
              <w:rPr>
                <w:sz w:val="20"/>
                <w:szCs w:val="20"/>
                <w:color w:val="auto"/>
              </w:rPr>
            </w:pPr>
            <w:r>
              <w:rPr>
                <w:rFonts w:ascii="Times New Roman" w:cs="Times New Roman" w:eastAsia="Times New Roman" w:hAnsi="Times New Roman"/>
                <w:sz w:val="16"/>
                <w:szCs w:val="16"/>
                <w:color w:val="auto"/>
              </w:rPr>
              <w:t>(Zip code)</w:t>
            </w:r>
          </w:p>
        </w:tc>
      </w:tr>
    </w:tbl>
    <w:p>
      <w:pPr>
        <w:spacing w:after="0" w:line="21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(206) 333-2001</w:t>
      </w:r>
    </w:p>
    <w:p>
      <w:pPr>
        <w:spacing w:after="0" w:line="5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color w:val="auto"/>
        </w:rPr>
        <w:t>(Registrant’s telephone number, including area code)</w:t>
      </w:r>
    </w:p>
    <w:p>
      <w:pPr>
        <w:spacing w:after="0" w:line="28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color w:val="auto"/>
        </w:rPr>
        <w:t>(Former name or former address, if changed since last report)</w:t>
      </w:r>
    </w:p>
    <w:p>
      <w:pPr>
        <w:spacing w:after="0" w:line="176" w:lineRule="exact"/>
        <w:rPr>
          <w:sz w:val="24"/>
          <w:szCs w:val="24"/>
          <w:color w:val="auto"/>
        </w:rPr>
      </w:pPr>
    </w:p>
    <w:p>
      <w:pPr>
        <w:ind w:firstLine="648"/>
        <w:spacing w:after="0" w:line="313"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35" w:lineRule="exact"/>
        <w:rPr>
          <w:sz w:val="24"/>
          <w:szCs w:val="24"/>
          <w:color w:val="auto"/>
        </w:rPr>
      </w:pPr>
    </w:p>
    <w:p>
      <w:pPr>
        <w:ind w:left="400" w:hanging="374"/>
        <w:spacing w:after="0"/>
        <w:tabs>
          <w:tab w:leader="none" w:pos="400" w:val="left"/>
        </w:tabs>
        <w:numPr>
          <w:ilvl w:val="0"/>
          <w:numId w:val="1"/>
        </w:numPr>
        <w:rPr>
          <w:rFonts w:ascii="Wingdings" w:cs="Wingdings" w:eastAsia="Wingdings" w:hAnsi="Wingdings"/>
          <w:sz w:val="18"/>
          <w:szCs w:val="18"/>
          <w:b w:val="1"/>
          <w:bCs w:val="1"/>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71" w:lineRule="exact"/>
        <w:rPr>
          <w:rFonts w:ascii="Wingdings" w:cs="Wingdings" w:eastAsia="Wingdings" w:hAnsi="Wingdings"/>
          <w:sz w:val="18"/>
          <w:szCs w:val="18"/>
          <w:b w:val="1"/>
          <w:bCs w:val="1"/>
          <w:color w:val="auto"/>
        </w:rPr>
      </w:pPr>
    </w:p>
    <w:p>
      <w:pPr>
        <w:ind w:left="400" w:hanging="374"/>
        <w:spacing w:after="0"/>
        <w:tabs>
          <w:tab w:leader="none" w:pos="400" w:val="left"/>
        </w:tabs>
        <w:numPr>
          <w:ilvl w:val="0"/>
          <w:numId w:val="1"/>
        </w:numPr>
        <w:rPr>
          <w:rFonts w:ascii="Wingdings" w:cs="Wingdings" w:eastAsia="Wingdings" w:hAnsi="Wingdings"/>
          <w:sz w:val="18"/>
          <w:szCs w:val="18"/>
          <w:b w:val="1"/>
          <w:bCs w:val="1"/>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71" w:lineRule="exact"/>
        <w:rPr>
          <w:rFonts w:ascii="Wingdings" w:cs="Wingdings" w:eastAsia="Wingdings" w:hAnsi="Wingdings"/>
          <w:sz w:val="18"/>
          <w:szCs w:val="18"/>
          <w:b w:val="1"/>
          <w:bCs w:val="1"/>
          <w:color w:val="auto"/>
        </w:rPr>
      </w:pPr>
    </w:p>
    <w:p>
      <w:pPr>
        <w:ind w:left="400" w:hanging="374"/>
        <w:spacing w:after="0"/>
        <w:tabs>
          <w:tab w:leader="none" w:pos="400" w:val="left"/>
        </w:tabs>
        <w:numPr>
          <w:ilvl w:val="0"/>
          <w:numId w:val="1"/>
        </w:numPr>
        <w:rPr>
          <w:rFonts w:ascii="Wingdings" w:cs="Wingdings" w:eastAsia="Wingdings" w:hAnsi="Wingdings"/>
          <w:sz w:val="18"/>
          <w:szCs w:val="18"/>
          <w:b w:val="1"/>
          <w:bCs w:val="1"/>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71" w:lineRule="exact"/>
        <w:rPr>
          <w:rFonts w:ascii="Wingdings" w:cs="Wingdings" w:eastAsia="Wingdings" w:hAnsi="Wingdings"/>
          <w:sz w:val="18"/>
          <w:szCs w:val="18"/>
          <w:b w:val="1"/>
          <w:bCs w:val="1"/>
          <w:color w:val="auto"/>
        </w:rPr>
      </w:pPr>
    </w:p>
    <w:p>
      <w:pPr>
        <w:ind w:left="400" w:hanging="374"/>
        <w:spacing w:after="0"/>
        <w:tabs>
          <w:tab w:leader="none" w:pos="400" w:val="left"/>
        </w:tabs>
        <w:numPr>
          <w:ilvl w:val="0"/>
          <w:numId w:val="1"/>
        </w:numPr>
        <w:rPr>
          <w:rFonts w:ascii="Wingdings" w:cs="Wingdings" w:eastAsia="Wingdings" w:hAnsi="Wingdings"/>
          <w:sz w:val="18"/>
          <w:szCs w:val="18"/>
          <w:b w:val="1"/>
          <w:bCs w:val="1"/>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52"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4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tc>
        <w:tc>
          <w:tcPr>
            <w:tcW w:w="2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500" w:type="dxa"/>
            <w:vAlign w:val="bottom"/>
          </w:tcPr>
          <w:p>
            <w:pPr>
              <w:spacing w:after="0"/>
              <w:rPr>
                <w:sz w:val="20"/>
                <w:szCs w:val="20"/>
                <w:color w:val="auto"/>
              </w:rPr>
            </w:pPr>
          </w:p>
        </w:tc>
      </w:tr>
      <w:tr>
        <w:trPr>
          <w:trHeight w:val="418"/>
        </w:trPr>
        <w:tc>
          <w:tcPr>
            <w:tcW w:w="458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9"/>
              </w:rPr>
              <w:t>Title of each class</w:t>
            </w:r>
          </w:p>
        </w:tc>
        <w:tc>
          <w:tcPr>
            <w:tcW w:w="21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8"/>
              </w:rPr>
              <w:t>Trading Symbol(s)</w:t>
            </w:r>
          </w:p>
        </w:tc>
        <w:tc>
          <w:tcPr>
            <w:tcW w:w="45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Name of each exchange on which registered</w:t>
            </w:r>
          </w:p>
        </w:tc>
      </w:tr>
      <w:tr>
        <w:trPr>
          <w:trHeight w:val="232"/>
        </w:trPr>
        <w:tc>
          <w:tcPr>
            <w:tcW w:w="44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Common Stock, par value $0.0001 per share</w:t>
            </w:r>
          </w:p>
        </w:tc>
        <w:tc>
          <w:tcPr>
            <w:tcW w:w="100" w:type="dxa"/>
            <w:vAlign w:val="bottom"/>
          </w:tcPr>
          <w:p>
            <w:pPr>
              <w:spacing w:after="0"/>
              <w:rPr>
                <w:sz w:val="20"/>
                <w:szCs w:val="20"/>
                <w:color w:val="auto"/>
              </w:rPr>
            </w:pPr>
          </w:p>
        </w:tc>
        <w:tc>
          <w:tcPr>
            <w:tcW w:w="20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NAUT</w:t>
            </w:r>
          </w:p>
        </w:tc>
        <w:tc>
          <w:tcPr>
            <w:tcW w:w="100" w:type="dxa"/>
            <w:vAlign w:val="bottom"/>
          </w:tcPr>
          <w:p>
            <w:pPr>
              <w:spacing w:after="0"/>
              <w:rPr>
                <w:sz w:val="20"/>
                <w:szCs w:val="20"/>
                <w:color w:val="auto"/>
              </w:rPr>
            </w:pPr>
          </w:p>
        </w:tc>
        <w:tc>
          <w:tcPr>
            <w:tcW w:w="45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The Nasdaq Stock Market LLC</w:t>
            </w:r>
          </w:p>
        </w:tc>
      </w:tr>
    </w:tbl>
    <w:p>
      <w:pPr>
        <w:spacing w:after="0" w:line="216" w:lineRule="exact"/>
        <w:rPr>
          <w:sz w:val="24"/>
          <w:szCs w:val="24"/>
          <w:color w:val="auto"/>
        </w:rPr>
      </w:pPr>
    </w:p>
    <w:p>
      <w:pPr>
        <w:jc w:val="both"/>
        <w:ind w:right="20"/>
        <w:spacing w:after="0" w:line="329"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8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 xml:space="preserve">Emerging growth company </w:t>
      </w:r>
      <w:r>
        <w:rPr>
          <w:rFonts w:ascii="Wingdings" w:cs="Wingdings" w:eastAsia="Wingdings" w:hAnsi="Wingdings"/>
          <w:sz w:val="18"/>
          <w:szCs w:val="18"/>
          <w:b w:val="1"/>
          <w:bCs w:val="1"/>
          <w:color w:val="auto"/>
        </w:rPr>
        <w:t>x</w:t>
      </w:r>
    </w:p>
    <w:p>
      <w:pPr>
        <w:spacing w:after="0" w:line="185" w:lineRule="exact"/>
        <w:rPr>
          <w:sz w:val="24"/>
          <w:szCs w:val="24"/>
          <w:color w:val="auto"/>
        </w:rPr>
      </w:pPr>
    </w:p>
    <w:p>
      <w:pPr>
        <w:jc w:val="both"/>
        <w:spacing w:after="0" w:line="329" w:lineRule="auto"/>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 w:cs="Wingdings" w:eastAsia="Wingdings" w:hAnsi="Wingdings"/>
          <w:sz w:val="18"/>
          <w:szCs w:val="18"/>
          <w:b w:val="1"/>
          <w:bCs w:val="1"/>
          <w:color w:val="auto"/>
        </w:rPr>
        <w: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907415</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71120</wp:posOffset>
            </wp:positionV>
            <wp:extent cx="71323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97155</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 w:name="page2"/>
    <w:bookmarkEnd w:id="1"/>
    <w:p>
      <w:pPr>
        <w:spacing w:after="0"/>
        <w:tabs>
          <w:tab w:leader="none" w:pos="940" w:val="left"/>
        </w:tabs>
        <w:rPr>
          <w:sz w:val="20"/>
          <w:szCs w:val="20"/>
          <w:color w:val="auto"/>
        </w:rPr>
      </w:pPr>
      <w:r>
        <w:rPr>
          <w:rFonts w:ascii="Times New Roman" w:cs="Times New Roman" w:eastAsia="Times New Roman" w:hAnsi="Times New Roman"/>
          <w:sz w:val="18"/>
          <w:szCs w:val="18"/>
          <w:b w:val="1"/>
          <w:bCs w:val="1"/>
          <w:color w:val="auto"/>
        </w:rPr>
        <w:t>Item 5.07.</w:t>
      </w:r>
      <w:r>
        <w:rPr>
          <w:sz w:val="20"/>
          <w:szCs w:val="20"/>
          <w:color w:val="auto"/>
        </w:rPr>
        <w:tab/>
      </w:r>
      <w:r>
        <w:rPr>
          <w:rFonts w:ascii="Times New Roman" w:cs="Times New Roman" w:eastAsia="Times New Roman" w:hAnsi="Times New Roman"/>
          <w:sz w:val="17"/>
          <w:szCs w:val="17"/>
          <w:b w:val="1"/>
          <w:bCs w:val="1"/>
          <w:color w:val="auto"/>
        </w:rPr>
        <w:t>Submission of Matters to a Vote of Security Holders.</w:t>
      </w:r>
    </w:p>
    <w:p>
      <w:pPr>
        <w:spacing w:after="0" w:line="202" w:lineRule="exact"/>
        <w:rPr>
          <w:sz w:val="20"/>
          <w:szCs w:val="20"/>
          <w:color w:val="auto"/>
        </w:rPr>
      </w:pPr>
    </w:p>
    <w:p>
      <w:pPr>
        <w:jc w:val="both"/>
        <w:spacing w:after="0" w:line="216" w:lineRule="auto"/>
        <w:rPr>
          <w:sz w:val="20"/>
          <w:szCs w:val="20"/>
          <w:color w:val="auto"/>
        </w:rPr>
      </w:pPr>
      <w:r>
        <w:rPr>
          <w:rFonts w:ascii="Times New Roman" w:cs="Times New Roman" w:eastAsia="Times New Roman" w:hAnsi="Times New Roman"/>
          <w:sz w:val="18"/>
          <w:szCs w:val="18"/>
          <w:color w:val="auto"/>
        </w:rPr>
        <w:t>Nautilus Biotechnology, Inc. (the “Company”) held its 2024 annual meeting of stockholders on June 13, 2024 (the “Annual Meeting”). Of the 125,265,015 shares of the Company’s common stock outstanding as of the record date of April 16, 2024, 105,300,784 shares were represented at the Annual Meeting, either by proxy or by attending the meeting. The matters voted on at the Annual Meeting and the votes cast with respect to each such matter are set forth</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below:</w:t>
      </w:r>
    </w:p>
    <w:p>
      <w:pPr>
        <w:spacing w:after="0" w:line="161" w:lineRule="exact"/>
        <w:rPr>
          <w:sz w:val="20"/>
          <w:szCs w:val="20"/>
          <w:color w:val="auto"/>
        </w:rPr>
      </w:pPr>
    </w:p>
    <w:p>
      <w:pPr>
        <w:jc w:val="both"/>
        <w:ind w:left="380" w:right="20" w:hanging="388"/>
        <w:spacing w:after="0" w:line="239" w:lineRule="auto"/>
        <w:tabs>
          <w:tab w:leader="none" w:pos="360" w:val="left"/>
        </w:tabs>
        <w:rPr>
          <w:sz w:val="20"/>
          <w:szCs w:val="20"/>
          <w:color w:val="auto"/>
        </w:rPr>
      </w:pPr>
      <w:r>
        <w:rPr>
          <w:rFonts w:ascii="Times New Roman" w:cs="Times New Roman" w:eastAsia="Times New Roman" w:hAnsi="Times New Roman"/>
          <w:sz w:val="18"/>
          <w:szCs w:val="18"/>
          <w:b w:val="1"/>
          <w:bCs w:val="1"/>
          <w:color w:val="auto"/>
        </w:rPr>
        <w:t>1.</w:t>
        <w:tab/>
        <w:t xml:space="preserve">Election of Class III Directors. </w:t>
      </w:r>
      <w:r>
        <w:rPr>
          <w:rFonts w:ascii="Times New Roman" w:cs="Times New Roman" w:eastAsia="Times New Roman" w:hAnsi="Times New Roman"/>
          <w:sz w:val="18"/>
          <w:szCs w:val="18"/>
          <w:color w:val="auto"/>
        </w:rPr>
        <w:t>The following nominees were elected to serve as Class III directors, each to hold office until the Company’s 2027</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annual meeting of stockholders or until his or her respective successor has been duly elected and qualified:</w:t>
      </w:r>
    </w:p>
    <w:p>
      <w:pPr>
        <w:spacing w:after="0" w:line="238" w:lineRule="exact"/>
        <w:rPr>
          <w:sz w:val="20"/>
          <w:szCs w:val="20"/>
          <w:color w:val="auto"/>
        </w:rPr>
      </w:pPr>
    </w:p>
    <w:tbl>
      <w:tblPr>
        <w:tblLayout w:type="fixed"/>
        <w:tblInd w:w="470" w:type="dxa"/>
        <w:tblCellMar>
          <w:top w:w="0" w:type="dxa"/>
          <w:left w:w="0" w:type="dxa"/>
          <w:bottom w:w="0" w:type="dxa"/>
          <w:right w:w="0" w:type="dxa"/>
        </w:tblCellMar>
      </w:tblPr>
      <w:tr>
        <w:trPr>
          <w:trHeight w:val="230"/>
        </w:trPr>
        <w:tc>
          <w:tcPr>
            <w:tcW w:w="3340" w:type="dxa"/>
            <w:vAlign w:val="bottom"/>
            <w:tcBorders>
              <w:top w:val="single" w:sz="8" w:color="auto"/>
              <w:left w:val="single" w:sz="8" w:color="auto"/>
            </w:tcBorders>
            <w:gridSpan w:val="2"/>
            <w:shd w:val="clear" w:color="auto" w:fill="CFF0FC"/>
          </w:tcPr>
          <w:p>
            <w:pPr>
              <w:ind w:left="40"/>
              <w:spacing w:after="0"/>
              <w:rPr>
                <w:sz w:val="20"/>
                <w:szCs w:val="20"/>
                <w:color w:val="auto"/>
              </w:rPr>
            </w:pPr>
            <w:r>
              <w:rPr>
                <w:rFonts w:ascii="Times New Roman" w:cs="Times New Roman" w:eastAsia="Times New Roman" w:hAnsi="Times New Roman"/>
                <w:sz w:val="16"/>
                <w:szCs w:val="16"/>
                <w:b w:val="1"/>
                <w:bCs w:val="1"/>
                <w:color w:val="auto"/>
              </w:rPr>
              <w:t>Nominee</w:t>
            </w:r>
          </w:p>
        </w:tc>
        <w:tc>
          <w:tcPr>
            <w:tcW w:w="2240" w:type="dxa"/>
            <w:vAlign w:val="bottom"/>
            <w:tcBorders>
              <w:top w:val="single" w:sz="8" w:color="auto"/>
            </w:tcBorders>
            <w:gridSpan w:val="2"/>
            <w:shd w:val="clear" w:color="auto" w:fill="CFF0FC"/>
          </w:tcPr>
          <w:p>
            <w:pPr>
              <w:ind w:left="580"/>
              <w:spacing w:after="0"/>
              <w:rPr>
                <w:sz w:val="20"/>
                <w:szCs w:val="20"/>
                <w:color w:val="auto"/>
              </w:rPr>
            </w:pPr>
            <w:r>
              <w:rPr>
                <w:rFonts w:ascii="Times New Roman" w:cs="Times New Roman" w:eastAsia="Times New Roman" w:hAnsi="Times New Roman"/>
                <w:sz w:val="16"/>
                <w:szCs w:val="16"/>
                <w:b w:val="1"/>
                <w:bCs w:val="1"/>
                <w:color w:val="auto"/>
              </w:rPr>
              <w:t>Votes For</w:t>
            </w:r>
          </w:p>
        </w:tc>
        <w:tc>
          <w:tcPr>
            <w:tcW w:w="2280" w:type="dxa"/>
            <w:vAlign w:val="bottom"/>
            <w:tcBorders>
              <w:top w:val="single" w:sz="8" w:color="auto"/>
            </w:tcBorders>
            <w:gridSpan w:val="2"/>
            <w:shd w:val="clear" w:color="auto" w:fill="CFF0FC"/>
          </w:tcPr>
          <w:p>
            <w:pPr>
              <w:ind w:left="400"/>
              <w:spacing w:after="0"/>
              <w:rPr>
                <w:sz w:val="20"/>
                <w:szCs w:val="20"/>
                <w:color w:val="auto"/>
              </w:rPr>
            </w:pPr>
            <w:r>
              <w:rPr>
                <w:rFonts w:ascii="Times New Roman" w:cs="Times New Roman" w:eastAsia="Times New Roman" w:hAnsi="Times New Roman"/>
                <w:sz w:val="16"/>
                <w:szCs w:val="16"/>
                <w:b w:val="1"/>
                <w:bCs w:val="1"/>
                <w:color w:val="auto"/>
              </w:rPr>
              <w:t>Votes Withheld</w:t>
            </w:r>
          </w:p>
        </w:tc>
        <w:tc>
          <w:tcPr>
            <w:tcW w:w="2000" w:type="dxa"/>
            <w:vAlign w:val="bottom"/>
            <w:tcBorders>
              <w:top w:val="single" w:sz="8" w:color="auto"/>
              <w:right w:val="single" w:sz="8" w:color="auto"/>
            </w:tcBorders>
            <w:gridSpan w:val="2"/>
            <w:shd w:val="clear" w:color="auto" w:fill="CFF0FC"/>
          </w:tcPr>
          <w:p>
            <w:pPr>
              <w:ind w:left="300"/>
              <w:spacing w:after="0"/>
              <w:rPr>
                <w:sz w:val="20"/>
                <w:szCs w:val="20"/>
                <w:color w:val="auto"/>
              </w:rPr>
            </w:pPr>
            <w:r>
              <w:rPr>
                <w:rFonts w:ascii="Times New Roman" w:cs="Times New Roman" w:eastAsia="Times New Roman" w:hAnsi="Times New Roman"/>
                <w:sz w:val="16"/>
                <w:szCs w:val="16"/>
                <w:b w:val="1"/>
                <w:bCs w:val="1"/>
                <w:color w:val="auto"/>
              </w:rPr>
              <w:t>Broker Non-Votes</w:t>
            </w:r>
          </w:p>
        </w:tc>
      </w:tr>
      <w:tr>
        <w:trPr>
          <w:trHeight w:val="207"/>
        </w:trPr>
        <w:tc>
          <w:tcPr>
            <w:tcW w:w="3080" w:type="dxa"/>
            <w:vAlign w:val="bottom"/>
            <w:tcBorders>
              <w:top w:val="single" w:sz="8" w:color="auto"/>
              <w:left w:val="single" w:sz="8" w:color="auto"/>
              <w:bottom w:val="single" w:sz="8" w:color="auto"/>
            </w:tcBorders>
          </w:tcPr>
          <w:p>
            <w:pPr>
              <w:ind w:left="160"/>
              <w:spacing w:after="0"/>
              <w:rPr>
                <w:sz w:val="20"/>
                <w:szCs w:val="20"/>
                <w:color w:val="auto"/>
              </w:rPr>
            </w:pPr>
            <w:r>
              <w:rPr>
                <w:rFonts w:ascii="Times New Roman" w:cs="Times New Roman" w:eastAsia="Times New Roman" w:hAnsi="Times New Roman"/>
                <w:sz w:val="16"/>
                <w:szCs w:val="16"/>
                <w:color w:val="auto"/>
              </w:rPr>
              <w:t>Melissa Epperly</w:t>
            </w:r>
          </w:p>
        </w:tc>
        <w:tc>
          <w:tcPr>
            <w:tcW w:w="260" w:type="dxa"/>
            <w:vAlign w:val="bottom"/>
          </w:tcPr>
          <w:p>
            <w:pPr>
              <w:spacing w:after="0"/>
              <w:rPr>
                <w:sz w:val="17"/>
                <w:szCs w:val="17"/>
                <w:color w:val="auto"/>
              </w:rPr>
            </w:pPr>
          </w:p>
        </w:tc>
        <w:tc>
          <w:tcPr>
            <w:tcW w:w="1840" w:type="dxa"/>
            <w:vAlign w:val="bottom"/>
            <w:tcBorders>
              <w:top w:val="single" w:sz="8" w:color="auto"/>
              <w:bottom w:val="single" w:sz="8" w:color="auto"/>
            </w:tcBorders>
          </w:tcPr>
          <w:p>
            <w:pPr>
              <w:jc w:val="right"/>
              <w:ind w:right="419"/>
              <w:spacing w:after="0"/>
              <w:rPr>
                <w:sz w:val="20"/>
                <w:szCs w:val="20"/>
                <w:color w:val="auto"/>
              </w:rPr>
            </w:pPr>
            <w:r>
              <w:rPr>
                <w:rFonts w:ascii="Times New Roman" w:cs="Times New Roman" w:eastAsia="Times New Roman" w:hAnsi="Times New Roman"/>
                <w:sz w:val="16"/>
                <w:szCs w:val="16"/>
                <w:color w:val="auto"/>
              </w:rPr>
              <w:t>92,055,005</w:t>
            </w:r>
          </w:p>
        </w:tc>
        <w:tc>
          <w:tcPr>
            <w:tcW w:w="400" w:type="dxa"/>
            <w:vAlign w:val="bottom"/>
          </w:tcPr>
          <w:p>
            <w:pPr>
              <w:spacing w:after="0"/>
              <w:rPr>
                <w:sz w:val="17"/>
                <w:szCs w:val="17"/>
                <w:color w:val="auto"/>
              </w:rPr>
            </w:pPr>
          </w:p>
        </w:tc>
        <w:tc>
          <w:tcPr>
            <w:tcW w:w="1860" w:type="dxa"/>
            <w:vAlign w:val="bottom"/>
            <w:tcBorders>
              <w:top w:val="single" w:sz="8" w:color="auto"/>
              <w:bottom w:val="single" w:sz="8" w:color="auto"/>
            </w:tcBorders>
          </w:tcPr>
          <w:p>
            <w:pPr>
              <w:jc w:val="center"/>
              <w:ind w:left="59"/>
              <w:spacing w:after="0"/>
              <w:rPr>
                <w:sz w:val="20"/>
                <w:szCs w:val="20"/>
                <w:color w:val="auto"/>
              </w:rPr>
            </w:pPr>
            <w:r>
              <w:rPr>
                <w:rFonts w:ascii="Times New Roman" w:cs="Times New Roman" w:eastAsia="Times New Roman" w:hAnsi="Times New Roman"/>
                <w:sz w:val="16"/>
                <w:szCs w:val="16"/>
                <w:color w:val="auto"/>
                <w:w w:val="99"/>
              </w:rPr>
              <w:t>674,206</w:t>
            </w:r>
          </w:p>
        </w:tc>
        <w:tc>
          <w:tcPr>
            <w:tcW w:w="420" w:type="dxa"/>
            <w:vAlign w:val="bottom"/>
          </w:tcPr>
          <w:p>
            <w:pPr>
              <w:spacing w:after="0"/>
              <w:rPr>
                <w:sz w:val="17"/>
                <w:szCs w:val="17"/>
                <w:color w:val="auto"/>
              </w:rPr>
            </w:pPr>
          </w:p>
        </w:tc>
        <w:tc>
          <w:tcPr>
            <w:tcW w:w="1860" w:type="dxa"/>
            <w:vAlign w:val="bottom"/>
            <w:tcBorders>
              <w:top w:val="single" w:sz="8" w:color="auto"/>
              <w:bottom w:val="single" w:sz="8" w:color="auto"/>
            </w:tcBorders>
          </w:tcPr>
          <w:p>
            <w:pPr>
              <w:jc w:val="right"/>
              <w:ind w:right="419"/>
              <w:spacing w:after="0"/>
              <w:rPr>
                <w:sz w:val="20"/>
                <w:szCs w:val="20"/>
                <w:color w:val="auto"/>
              </w:rPr>
            </w:pPr>
            <w:r>
              <w:rPr>
                <w:rFonts w:ascii="Times New Roman" w:cs="Times New Roman" w:eastAsia="Times New Roman" w:hAnsi="Times New Roman"/>
                <w:sz w:val="16"/>
                <w:szCs w:val="16"/>
                <w:color w:val="auto"/>
              </w:rPr>
              <w:t>12,571,573</w:t>
            </w:r>
          </w:p>
        </w:tc>
        <w:tc>
          <w:tcPr>
            <w:tcW w:w="140" w:type="dxa"/>
            <w:vAlign w:val="bottom"/>
            <w:tcBorders>
              <w:right w:val="single" w:sz="8" w:color="auto"/>
            </w:tcBorders>
          </w:tcPr>
          <w:p>
            <w:pPr>
              <w:spacing w:after="0"/>
              <w:rPr>
                <w:sz w:val="17"/>
                <w:szCs w:val="17"/>
                <w:color w:val="auto"/>
              </w:rPr>
            </w:pPr>
          </w:p>
        </w:tc>
      </w:tr>
      <w:tr>
        <w:trPr>
          <w:trHeight w:val="209"/>
        </w:trPr>
        <w:tc>
          <w:tcPr>
            <w:tcW w:w="3080" w:type="dxa"/>
            <w:vAlign w:val="bottom"/>
            <w:tcBorders>
              <w:left w:val="single" w:sz="8" w:color="auto"/>
              <w:bottom w:val="single" w:sz="8" w:color="auto"/>
            </w:tcBorders>
          </w:tcPr>
          <w:p>
            <w:pPr>
              <w:ind w:left="160"/>
              <w:spacing w:after="0"/>
              <w:rPr>
                <w:sz w:val="20"/>
                <w:szCs w:val="20"/>
                <w:color w:val="auto"/>
              </w:rPr>
            </w:pPr>
            <w:r>
              <w:rPr>
                <w:rFonts w:ascii="Times New Roman" w:cs="Times New Roman" w:eastAsia="Times New Roman" w:hAnsi="Times New Roman"/>
                <w:sz w:val="16"/>
                <w:szCs w:val="16"/>
                <w:color w:val="auto"/>
              </w:rPr>
              <w:t>Matthew L. Posard</w:t>
            </w:r>
          </w:p>
        </w:tc>
        <w:tc>
          <w:tcPr>
            <w:tcW w:w="260" w:type="dxa"/>
            <w:vAlign w:val="bottom"/>
          </w:tcPr>
          <w:p>
            <w:pPr>
              <w:spacing w:after="0"/>
              <w:rPr>
                <w:sz w:val="18"/>
                <w:szCs w:val="18"/>
                <w:color w:val="auto"/>
              </w:rPr>
            </w:pPr>
          </w:p>
        </w:tc>
        <w:tc>
          <w:tcPr>
            <w:tcW w:w="1840" w:type="dxa"/>
            <w:vAlign w:val="bottom"/>
            <w:tcBorders>
              <w:bottom w:val="single" w:sz="8" w:color="auto"/>
            </w:tcBorders>
          </w:tcPr>
          <w:p>
            <w:pPr>
              <w:jc w:val="right"/>
              <w:ind w:right="419"/>
              <w:spacing w:after="0"/>
              <w:rPr>
                <w:sz w:val="20"/>
                <w:szCs w:val="20"/>
                <w:color w:val="auto"/>
              </w:rPr>
            </w:pPr>
            <w:r>
              <w:rPr>
                <w:rFonts w:ascii="Times New Roman" w:cs="Times New Roman" w:eastAsia="Times New Roman" w:hAnsi="Times New Roman"/>
                <w:sz w:val="16"/>
                <w:szCs w:val="16"/>
                <w:color w:val="auto"/>
              </w:rPr>
              <w:t>90,642,659</w:t>
            </w:r>
          </w:p>
        </w:tc>
        <w:tc>
          <w:tcPr>
            <w:tcW w:w="400" w:type="dxa"/>
            <w:vAlign w:val="bottom"/>
          </w:tcPr>
          <w:p>
            <w:pPr>
              <w:spacing w:after="0"/>
              <w:rPr>
                <w:sz w:val="18"/>
                <w:szCs w:val="18"/>
                <w:color w:val="auto"/>
              </w:rPr>
            </w:pPr>
          </w:p>
        </w:tc>
        <w:tc>
          <w:tcPr>
            <w:tcW w:w="1860" w:type="dxa"/>
            <w:vAlign w:val="bottom"/>
            <w:tcBorders>
              <w:bottom w:val="single" w:sz="8" w:color="auto"/>
            </w:tcBorders>
          </w:tcPr>
          <w:p>
            <w:pPr>
              <w:jc w:val="center"/>
              <w:ind w:left="59"/>
              <w:spacing w:after="0"/>
              <w:rPr>
                <w:sz w:val="20"/>
                <w:szCs w:val="20"/>
                <w:color w:val="auto"/>
              </w:rPr>
            </w:pPr>
            <w:r>
              <w:rPr>
                <w:rFonts w:ascii="Times New Roman" w:cs="Times New Roman" w:eastAsia="Times New Roman" w:hAnsi="Times New Roman"/>
                <w:sz w:val="16"/>
                <w:szCs w:val="16"/>
                <w:color w:val="auto"/>
                <w:w w:val="99"/>
              </w:rPr>
              <w:t>2,086,552</w:t>
            </w:r>
          </w:p>
        </w:tc>
        <w:tc>
          <w:tcPr>
            <w:tcW w:w="420" w:type="dxa"/>
            <w:vAlign w:val="bottom"/>
          </w:tcPr>
          <w:p>
            <w:pPr>
              <w:spacing w:after="0"/>
              <w:rPr>
                <w:sz w:val="18"/>
                <w:szCs w:val="18"/>
                <w:color w:val="auto"/>
              </w:rPr>
            </w:pPr>
          </w:p>
        </w:tc>
        <w:tc>
          <w:tcPr>
            <w:tcW w:w="1860" w:type="dxa"/>
            <w:vAlign w:val="bottom"/>
            <w:tcBorders>
              <w:bottom w:val="single" w:sz="8" w:color="auto"/>
            </w:tcBorders>
          </w:tcPr>
          <w:p>
            <w:pPr>
              <w:jc w:val="right"/>
              <w:ind w:right="419"/>
              <w:spacing w:after="0"/>
              <w:rPr>
                <w:sz w:val="20"/>
                <w:szCs w:val="20"/>
                <w:color w:val="auto"/>
              </w:rPr>
            </w:pPr>
            <w:r>
              <w:rPr>
                <w:rFonts w:ascii="Times New Roman" w:cs="Times New Roman" w:eastAsia="Times New Roman" w:hAnsi="Times New Roman"/>
                <w:sz w:val="16"/>
                <w:szCs w:val="16"/>
                <w:color w:val="auto"/>
              </w:rPr>
              <w:t>12,571,573</w:t>
            </w:r>
          </w:p>
        </w:tc>
        <w:tc>
          <w:tcPr>
            <w:tcW w:w="140" w:type="dxa"/>
            <w:vAlign w:val="bottom"/>
            <w:tcBorders>
              <w:right w:val="single" w:sz="8" w:color="auto"/>
            </w:tcBorders>
          </w:tcPr>
          <w:p>
            <w:pPr>
              <w:spacing w:after="0"/>
              <w:rPr>
                <w:sz w:val="18"/>
                <w:szCs w:val="18"/>
                <w:color w:val="auto"/>
              </w:rPr>
            </w:pPr>
          </w:p>
        </w:tc>
      </w:tr>
      <w:tr>
        <w:trPr>
          <w:trHeight w:val="210"/>
        </w:trPr>
        <w:tc>
          <w:tcPr>
            <w:tcW w:w="3080" w:type="dxa"/>
            <w:vAlign w:val="bottom"/>
            <w:tcBorders>
              <w:left w:val="single" w:sz="8" w:color="auto"/>
              <w:bottom w:val="single" w:sz="8" w:color="auto"/>
            </w:tcBorders>
          </w:tcPr>
          <w:p>
            <w:pPr>
              <w:ind w:left="160"/>
              <w:spacing w:after="0"/>
              <w:rPr>
                <w:sz w:val="20"/>
                <w:szCs w:val="20"/>
                <w:color w:val="auto"/>
              </w:rPr>
            </w:pPr>
            <w:r>
              <w:rPr>
                <w:rFonts w:ascii="Times New Roman" w:cs="Times New Roman" w:eastAsia="Times New Roman" w:hAnsi="Times New Roman"/>
                <w:sz w:val="16"/>
                <w:szCs w:val="16"/>
                <w:color w:val="auto"/>
              </w:rPr>
              <w:t>Karen Akinsanya</w:t>
            </w:r>
          </w:p>
        </w:tc>
        <w:tc>
          <w:tcPr>
            <w:tcW w:w="260" w:type="dxa"/>
            <w:vAlign w:val="bottom"/>
            <w:tcBorders>
              <w:bottom w:val="single" w:sz="8" w:color="auto"/>
            </w:tcBorders>
          </w:tcPr>
          <w:p>
            <w:pPr>
              <w:spacing w:after="0"/>
              <w:rPr>
                <w:sz w:val="18"/>
                <w:szCs w:val="18"/>
                <w:color w:val="auto"/>
              </w:rPr>
            </w:pPr>
          </w:p>
        </w:tc>
        <w:tc>
          <w:tcPr>
            <w:tcW w:w="1840" w:type="dxa"/>
            <w:vAlign w:val="bottom"/>
            <w:tcBorders>
              <w:bottom w:val="single" w:sz="8" w:color="auto"/>
            </w:tcBorders>
          </w:tcPr>
          <w:p>
            <w:pPr>
              <w:jc w:val="right"/>
              <w:ind w:right="419"/>
              <w:spacing w:after="0"/>
              <w:rPr>
                <w:sz w:val="20"/>
                <w:szCs w:val="20"/>
                <w:color w:val="auto"/>
              </w:rPr>
            </w:pPr>
            <w:r>
              <w:rPr>
                <w:rFonts w:ascii="Times New Roman" w:cs="Times New Roman" w:eastAsia="Times New Roman" w:hAnsi="Times New Roman"/>
                <w:sz w:val="16"/>
                <w:szCs w:val="16"/>
                <w:color w:val="auto"/>
              </w:rPr>
              <w:t>89,933,948</w:t>
            </w:r>
          </w:p>
        </w:tc>
        <w:tc>
          <w:tcPr>
            <w:tcW w:w="400" w:type="dxa"/>
            <w:vAlign w:val="bottom"/>
            <w:tcBorders>
              <w:bottom w:val="single" w:sz="8" w:color="auto"/>
            </w:tcBorders>
          </w:tcPr>
          <w:p>
            <w:pPr>
              <w:spacing w:after="0"/>
              <w:rPr>
                <w:sz w:val="18"/>
                <w:szCs w:val="18"/>
                <w:color w:val="auto"/>
              </w:rPr>
            </w:pPr>
          </w:p>
        </w:tc>
        <w:tc>
          <w:tcPr>
            <w:tcW w:w="1860" w:type="dxa"/>
            <w:vAlign w:val="bottom"/>
            <w:tcBorders>
              <w:bottom w:val="single" w:sz="8" w:color="auto"/>
            </w:tcBorders>
          </w:tcPr>
          <w:p>
            <w:pPr>
              <w:jc w:val="center"/>
              <w:ind w:left="59"/>
              <w:spacing w:after="0"/>
              <w:rPr>
                <w:sz w:val="20"/>
                <w:szCs w:val="20"/>
                <w:color w:val="auto"/>
              </w:rPr>
            </w:pPr>
            <w:r>
              <w:rPr>
                <w:rFonts w:ascii="Times New Roman" w:cs="Times New Roman" w:eastAsia="Times New Roman" w:hAnsi="Times New Roman"/>
                <w:sz w:val="16"/>
                <w:szCs w:val="16"/>
                <w:color w:val="auto"/>
                <w:w w:val="99"/>
              </w:rPr>
              <w:t>2,795,263</w:t>
            </w:r>
          </w:p>
        </w:tc>
        <w:tc>
          <w:tcPr>
            <w:tcW w:w="420" w:type="dxa"/>
            <w:vAlign w:val="bottom"/>
            <w:tcBorders>
              <w:bottom w:val="single" w:sz="8" w:color="auto"/>
            </w:tcBorders>
          </w:tcPr>
          <w:p>
            <w:pPr>
              <w:spacing w:after="0"/>
              <w:rPr>
                <w:sz w:val="18"/>
                <w:szCs w:val="18"/>
                <w:color w:val="auto"/>
              </w:rPr>
            </w:pPr>
          </w:p>
        </w:tc>
        <w:tc>
          <w:tcPr>
            <w:tcW w:w="1860" w:type="dxa"/>
            <w:vAlign w:val="bottom"/>
            <w:tcBorders>
              <w:bottom w:val="single" w:sz="8" w:color="auto"/>
            </w:tcBorders>
          </w:tcPr>
          <w:p>
            <w:pPr>
              <w:jc w:val="right"/>
              <w:ind w:right="419"/>
              <w:spacing w:after="0"/>
              <w:rPr>
                <w:sz w:val="20"/>
                <w:szCs w:val="20"/>
                <w:color w:val="auto"/>
              </w:rPr>
            </w:pPr>
            <w:r>
              <w:rPr>
                <w:rFonts w:ascii="Times New Roman" w:cs="Times New Roman" w:eastAsia="Times New Roman" w:hAnsi="Times New Roman"/>
                <w:sz w:val="16"/>
                <w:szCs w:val="16"/>
                <w:color w:val="auto"/>
              </w:rPr>
              <w:t>12,571,573</w:t>
            </w:r>
          </w:p>
        </w:tc>
        <w:tc>
          <w:tcPr>
            <w:tcW w:w="140" w:type="dxa"/>
            <w:vAlign w:val="bottom"/>
            <w:tcBorders>
              <w:bottom w:val="single" w:sz="8" w:color="auto"/>
              <w:right w:val="single" w:sz="8" w:color="auto"/>
            </w:tcBorders>
          </w:tcPr>
          <w:p>
            <w:pPr>
              <w:spacing w:after="0"/>
              <w:rPr>
                <w:sz w:val="18"/>
                <w:szCs w:val="18"/>
                <w:color w:val="auto"/>
              </w:rPr>
            </w:pPr>
          </w:p>
        </w:tc>
      </w:tr>
    </w:tbl>
    <w:p>
      <w:pPr>
        <w:spacing w:after="0" w:line="288" w:lineRule="exact"/>
        <w:rPr>
          <w:sz w:val="20"/>
          <w:szCs w:val="20"/>
          <w:color w:val="auto"/>
        </w:rPr>
      </w:pPr>
    </w:p>
    <w:p>
      <w:pPr>
        <w:spacing w:after="0"/>
        <w:tabs>
          <w:tab w:leader="none" w:pos="360" w:val="left"/>
        </w:tabs>
        <w:rPr>
          <w:sz w:val="20"/>
          <w:szCs w:val="20"/>
          <w:color w:val="auto"/>
        </w:rPr>
      </w:pPr>
      <w:r>
        <w:rPr>
          <w:rFonts w:ascii="Times New Roman" w:cs="Times New Roman" w:eastAsia="Times New Roman" w:hAnsi="Times New Roman"/>
          <w:sz w:val="18"/>
          <w:szCs w:val="18"/>
          <w:b w:val="1"/>
          <w:bCs w:val="1"/>
          <w:color w:val="auto"/>
        </w:rPr>
        <w:t>2.</w:t>
        <w:tab/>
        <w:t xml:space="preserve">Ratification of Appointment of Independent Registered Public Accounting Firm. </w:t>
      </w:r>
      <w:r>
        <w:rPr>
          <w:rFonts w:ascii="Times New Roman" w:cs="Times New Roman" w:eastAsia="Times New Roman" w:hAnsi="Times New Roman"/>
          <w:sz w:val="18"/>
          <w:szCs w:val="18"/>
          <w:color w:val="auto"/>
        </w:rPr>
        <w:t>The appointment of PricewaterhouseCoopers LLP as the</w:t>
      </w:r>
    </w:p>
    <w:p>
      <w:pPr>
        <w:spacing w:after="0" w:line="6" w:lineRule="exact"/>
        <w:rPr>
          <w:sz w:val="20"/>
          <w:szCs w:val="20"/>
          <w:color w:val="auto"/>
        </w:rPr>
      </w:pPr>
    </w:p>
    <w:p>
      <w:pPr>
        <w:ind w:left="400"/>
        <w:spacing w:after="0" w:line="226" w:lineRule="auto"/>
        <w:rPr>
          <w:sz w:val="20"/>
          <w:szCs w:val="20"/>
          <w:color w:val="auto"/>
        </w:rPr>
      </w:pPr>
      <w:r>
        <w:rPr>
          <w:rFonts w:ascii="Times New Roman" w:cs="Times New Roman" w:eastAsia="Times New Roman" w:hAnsi="Times New Roman"/>
          <w:sz w:val="18"/>
          <w:szCs w:val="18"/>
          <w:color w:val="auto"/>
        </w:rPr>
        <w:t>Company’s independent registered public accounting firm for the fiscal year ending December 31, 2024 was ratified based on the following results of voting:</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60" w:type="dxa"/>
            <w:vAlign w:val="bottom"/>
          </w:tcPr>
          <w:p>
            <w:pPr>
              <w:spacing w:after="0"/>
              <w:rPr>
                <w:sz w:val="18"/>
                <w:szCs w:val="18"/>
                <w:color w:val="auto"/>
              </w:rPr>
            </w:pPr>
          </w:p>
        </w:tc>
        <w:tc>
          <w:tcPr>
            <w:tcW w:w="2120" w:type="dxa"/>
            <w:vAlign w:val="bottom"/>
            <w:gridSpan w:val="2"/>
            <w:shd w:val="clear" w:color="auto" w:fill="CFF0FC"/>
          </w:tcPr>
          <w:p>
            <w:pPr>
              <w:ind w:left="520"/>
              <w:spacing w:after="0"/>
              <w:rPr>
                <w:sz w:val="20"/>
                <w:szCs w:val="20"/>
                <w:color w:val="auto"/>
              </w:rPr>
            </w:pPr>
            <w:r>
              <w:rPr>
                <w:rFonts w:ascii="Times New Roman" w:cs="Times New Roman" w:eastAsia="Times New Roman" w:hAnsi="Times New Roman"/>
                <w:sz w:val="16"/>
                <w:szCs w:val="16"/>
                <w:b w:val="1"/>
                <w:bCs w:val="1"/>
                <w:color w:val="auto"/>
              </w:rPr>
              <w:t>Votes For</w:t>
            </w:r>
          </w:p>
        </w:tc>
        <w:tc>
          <w:tcPr>
            <w:tcW w:w="2340" w:type="dxa"/>
            <w:vAlign w:val="bottom"/>
            <w:gridSpan w:val="2"/>
            <w:shd w:val="clear" w:color="auto" w:fill="CFF0FC"/>
          </w:tcPr>
          <w:p>
            <w:pPr>
              <w:ind w:left="480"/>
              <w:spacing w:after="0"/>
              <w:rPr>
                <w:sz w:val="20"/>
                <w:szCs w:val="20"/>
                <w:color w:val="auto"/>
              </w:rPr>
            </w:pPr>
            <w:r>
              <w:rPr>
                <w:rFonts w:ascii="Times New Roman" w:cs="Times New Roman" w:eastAsia="Times New Roman" w:hAnsi="Times New Roman"/>
                <w:sz w:val="16"/>
                <w:szCs w:val="16"/>
                <w:b w:val="1"/>
                <w:bCs w:val="1"/>
                <w:color w:val="auto"/>
              </w:rPr>
              <w:t>Votes Against</w:t>
            </w:r>
          </w:p>
        </w:tc>
        <w:tc>
          <w:tcPr>
            <w:tcW w:w="2360" w:type="dxa"/>
            <w:vAlign w:val="bottom"/>
            <w:shd w:val="clear" w:color="auto" w:fill="CFF0FC"/>
          </w:tcPr>
          <w:p>
            <w:pPr>
              <w:jc w:val="right"/>
              <w:ind w:right="699"/>
              <w:spacing w:after="0"/>
              <w:rPr>
                <w:sz w:val="20"/>
                <w:szCs w:val="20"/>
                <w:color w:val="auto"/>
              </w:rPr>
            </w:pPr>
            <w:r>
              <w:rPr>
                <w:rFonts w:ascii="Times New Roman" w:cs="Times New Roman" w:eastAsia="Times New Roman" w:hAnsi="Times New Roman"/>
                <w:sz w:val="16"/>
                <w:szCs w:val="16"/>
                <w:b w:val="1"/>
                <w:bCs w:val="1"/>
                <w:color w:val="auto"/>
              </w:rPr>
              <w:t>Abstentions</w:t>
            </w:r>
          </w:p>
        </w:tc>
        <w:tc>
          <w:tcPr>
            <w:tcW w:w="3960" w:type="dxa"/>
            <w:vAlign w:val="bottom"/>
          </w:tcPr>
          <w:p>
            <w:pPr>
              <w:spacing w:after="0"/>
              <w:rPr>
                <w:sz w:val="18"/>
                <w:szCs w:val="18"/>
                <w:color w:val="auto"/>
              </w:rPr>
            </w:pPr>
          </w:p>
        </w:tc>
      </w:tr>
      <w:tr>
        <w:trPr>
          <w:trHeight w:val="204"/>
        </w:trPr>
        <w:tc>
          <w:tcPr>
            <w:tcW w:w="460" w:type="dxa"/>
            <w:vAlign w:val="bottom"/>
          </w:tcPr>
          <w:p>
            <w:pPr>
              <w:spacing w:after="0"/>
              <w:rPr>
                <w:sz w:val="17"/>
                <w:szCs w:val="17"/>
                <w:color w:val="auto"/>
              </w:rPr>
            </w:pPr>
          </w:p>
        </w:tc>
        <w:tc>
          <w:tcPr>
            <w:tcW w:w="1680" w:type="dxa"/>
            <w:vAlign w:val="bottom"/>
            <w:tcBorders>
              <w:top w:val="single" w:sz="8" w:color="auto"/>
            </w:tcBorders>
          </w:tcPr>
          <w:p>
            <w:pPr>
              <w:ind w:left="500"/>
              <w:spacing w:after="0"/>
              <w:rPr>
                <w:sz w:val="20"/>
                <w:szCs w:val="20"/>
                <w:color w:val="auto"/>
              </w:rPr>
            </w:pPr>
            <w:r>
              <w:rPr>
                <w:rFonts w:ascii="Times New Roman" w:cs="Times New Roman" w:eastAsia="Times New Roman" w:hAnsi="Times New Roman"/>
                <w:sz w:val="16"/>
                <w:szCs w:val="16"/>
                <w:color w:val="auto"/>
              </w:rPr>
              <w:t>105,058,709</w:t>
            </w:r>
          </w:p>
        </w:tc>
        <w:tc>
          <w:tcPr>
            <w:tcW w:w="440" w:type="dxa"/>
            <w:vAlign w:val="bottom"/>
          </w:tcPr>
          <w:p>
            <w:pPr>
              <w:spacing w:after="0"/>
              <w:rPr>
                <w:sz w:val="17"/>
                <w:szCs w:val="17"/>
                <w:color w:val="auto"/>
              </w:rPr>
            </w:pPr>
          </w:p>
        </w:tc>
        <w:tc>
          <w:tcPr>
            <w:tcW w:w="1900" w:type="dxa"/>
            <w:vAlign w:val="bottom"/>
            <w:tcBorders>
              <w:top w:val="single" w:sz="8" w:color="auto"/>
            </w:tcBorders>
          </w:tcPr>
          <w:p>
            <w:pPr>
              <w:jc w:val="right"/>
              <w:ind w:right="539"/>
              <w:spacing w:after="0"/>
              <w:rPr>
                <w:sz w:val="20"/>
                <w:szCs w:val="20"/>
                <w:color w:val="auto"/>
              </w:rPr>
            </w:pPr>
            <w:r>
              <w:rPr>
                <w:rFonts w:ascii="Times New Roman" w:cs="Times New Roman" w:eastAsia="Times New Roman" w:hAnsi="Times New Roman"/>
                <w:sz w:val="16"/>
                <w:szCs w:val="16"/>
                <w:color w:val="auto"/>
              </w:rPr>
              <w:t>172,887</w:t>
            </w:r>
          </w:p>
        </w:tc>
        <w:tc>
          <w:tcPr>
            <w:tcW w:w="440" w:type="dxa"/>
            <w:vAlign w:val="bottom"/>
          </w:tcPr>
          <w:p>
            <w:pPr>
              <w:spacing w:after="0"/>
              <w:rPr>
                <w:sz w:val="17"/>
                <w:szCs w:val="17"/>
                <w:color w:val="auto"/>
              </w:rPr>
            </w:pPr>
          </w:p>
        </w:tc>
        <w:tc>
          <w:tcPr>
            <w:tcW w:w="2360" w:type="dxa"/>
            <w:vAlign w:val="bottom"/>
            <w:tcBorders>
              <w:top w:val="single" w:sz="8" w:color="auto"/>
            </w:tcBorders>
          </w:tcPr>
          <w:p>
            <w:pPr>
              <w:jc w:val="right"/>
              <w:ind w:right="799"/>
              <w:spacing w:after="0"/>
              <w:rPr>
                <w:sz w:val="20"/>
                <w:szCs w:val="20"/>
                <w:color w:val="auto"/>
              </w:rPr>
            </w:pPr>
            <w:r>
              <w:rPr>
                <w:rFonts w:ascii="Times New Roman" w:cs="Times New Roman" w:eastAsia="Times New Roman" w:hAnsi="Times New Roman"/>
                <w:sz w:val="16"/>
                <w:szCs w:val="16"/>
                <w:color w:val="auto"/>
              </w:rPr>
              <w:t>69,188</w:t>
            </w:r>
          </w:p>
        </w:tc>
        <w:tc>
          <w:tcPr>
            <w:tcW w:w="3960" w:type="dxa"/>
            <w:vAlign w:val="bottom"/>
          </w:tcPr>
          <w:p>
            <w:pPr>
              <w:spacing w:after="0"/>
              <w:rPr>
                <w:sz w:val="17"/>
                <w:szCs w:val="17"/>
                <w:color w:val="auto"/>
              </w:rPr>
            </w:pPr>
          </w:p>
        </w:tc>
      </w:tr>
      <w:tr>
        <w:trPr>
          <w:trHeight w:val="1619"/>
        </w:trPr>
        <w:tc>
          <w:tcPr>
            <w:tcW w:w="460" w:type="dxa"/>
            <w:vAlign w:val="bottom"/>
            <w:tcBorders>
              <w:bottom w:val="single" w:sz="8" w:color="9A9A9A"/>
            </w:tcBorders>
          </w:tcPr>
          <w:p>
            <w:pPr>
              <w:spacing w:after="0"/>
              <w:rPr>
                <w:sz w:val="24"/>
                <w:szCs w:val="24"/>
                <w:color w:val="auto"/>
              </w:rPr>
            </w:pPr>
          </w:p>
        </w:tc>
        <w:tc>
          <w:tcPr>
            <w:tcW w:w="168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190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2360" w:type="dxa"/>
            <w:vAlign w:val="bottom"/>
            <w:tcBorders>
              <w:bottom w:val="single" w:sz="8" w:color="9A9A9A"/>
            </w:tcBorders>
          </w:tcPr>
          <w:p>
            <w:pPr>
              <w:spacing w:after="0"/>
              <w:rPr>
                <w:sz w:val="24"/>
                <w:szCs w:val="24"/>
                <w:color w:val="auto"/>
              </w:rPr>
            </w:pPr>
          </w:p>
        </w:tc>
        <w:tc>
          <w:tcPr>
            <w:tcW w:w="39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84"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62" w:lineRule="exact"/>
        <w:rPr>
          <w:sz w:val="20"/>
          <w:szCs w:val="20"/>
          <w:color w:val="auto"/>
        </w:rPr>
      </w:pPr>
    </w:p>
    <w:p>
      <w:pPr>
        <w:ind w:firstLine="648"/>
        <w:spacing w:after="0" w:line="329"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June 13, 2024</w:t>
      </w:r>
    </w:p>
    <w:p>
      <w:pPr>
        <w:spacing w:after="0" w:line="289" w:lineRule="exact"/>
        <w:rPr>
          <w:sz w:val="20"/>
          <w:szCs w:val="20"/>
          <w:color w:val="auto"/>
        </w:rPr>
      </w:pPr>
    </w:p>
    <w:p>
      <w:pPr>
        <w:ind w:left="6320"/>
        <w:spacing w:after="0"/>
        <w:rPr>
          <w:sz w:val="20"/>
          <w:szCs w:val="20"/>
          <w:color w:val="auto"/>
        </w:rPr>
      </w:pPr>
      <w:r>
        <w:rPr>
          <w:rFonts w:ascii="Times New Roman" w:cs="Times New Roman" w:eastAsia="Times New Roman" w:hAnsi="Times New Roman"/>
          <w:sz w:val="18"/>
          <w:szCs w:val="18"/>
          <w:b w:val="1"/>
          <w:bCs w:val="1"/>
          <w:color w:val="auto"/>
        </w:rPr>
        <w:t>NAUTILUS BIOTECHNOLOGY, INC.</w:t>
      </w:r>
    </w:p>
    <w:p>
      <w:pPr>
        <w:spacing w:after="0" w:line="229" w:lineRule="exact"/>
        <w:rPr>
          <w:sz w:val="20"/>
          <w:szCs w:val="20"/>
          <w:color w:val="auto"/>
        </w:rPr>
      </w:pPr>
    </w:p>
    <w:tbl>
      <w:tblPr>
        <w:tblLayout w:type="fixed"/>
        <w:tblInd w:w="6320" w:type="dxa"/>
        <w:tblCellMar>
          <w:top w:w="0" w:type="dxa"/>
          <w:left w:w="0" w:type="dxa"/>
          <w:bottom w:w="0" w:type="dxa"/>
          <w:right w:w="0" w:type="dxa"/>
        </w:tblCellMar>
      </w:tblPr>
      <w:tr>
        <w:trPr>
          <w:trHeight w:val="234"/>
        </w:trPr>
        <w:tc>
          <w:tcPr>
            <w:tcW w:w="8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0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Sujal Patel</w:t>
            </w:r>
          </w:p>
        </w:tc>
      </w:tr>
      <w:tr>
        <w:trPr>
          <w:trHeight w:val="218"/>
        </w:trPr>
        <w:tc>
          <w:tcPr>
            <w:tcW w:w="860" w:type="dxa"/>
            <w:vAlign w:val="bottom"/>
          </w:tcPr>
          <w:p>
            <w:pPr>
              <w:spacing w:after="0"/>
              <w:rPr>
                <w:sz w:val="20"/>
                <w:szCs w:val="20"/>
                <w:color w:val="auto"/>
              </w:rPr>
            </w:pPr>
            <w:r>
              <w:rPr>
                <w:rFonts w:ascii="Times New Roman" w:cs="Times New Roman" w:eastAsia="Times New Roman" w:hAnsi="Times New Roman"/>
                <w:sz w:val="18"/>
                <w:szCs w:val="18"/>
                <w:color w:val="auto"/>
              </w:rPr>
              <w:t>Name:</w:t>
            </w:r>
          </w:p>
        </w:tc>
        <w:tc>
          <w:tcPr>
            <w:tcW w:w="4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Sujal Patel</w:t>
            </w:r>
          </w:p>
        </w:tc>
      </w:tr>
      <w:tr>
        <w:trPr>
          <w:trHeight w:val="234"/>
        </w:trPr>
        <w:tc>
          <w:tcPr>
            <w:tcW w:w="86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4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Executive Officer</w:t>
            </w:r>
          </w:p>
        </w:tc>
      </w:tr>
    </w:tbl>
    <w:p>
      <w:pPr>
        <w:spacing w:after="0" w:line="1" w:lineRule="exact"/>
        <w:rPr>
          <w:sz w:val="20"/>
          <w:szCs w:val="20"/>
          <w:color w:val="auto"/>
        </w:rPr>
      </w:pPr>
    </w:p>
    <w:sectPr>
      <w:pgSz w:w="11900" w:h="16838" w:orient="portrait"/>
      <w:cols w:equalWidth="0" w:num="1">
        <w:col w:w="11240"/>
      </w:cols>
      <w:pgMar w:left="320" w:top="94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Wingdings">
    <w:panose1 w:val="05000000000000000000"/>
    <w:charset w:val="00"/>
    <w:family w:val="auto"/>
    <w:pitch w:val="variable"/>
    <w:sig w:usb0="00000000" w:usb1="00000000" w:usb2="00000000" w:usb3="00000000" w:csb0="80000000"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o"/>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2024-06-13T15:45:06Z</dcterms:created>
  <dcterms:modified xsi:type="dcterms:W3CDTF">2024-06-13T15:45:06Z</dcterms:modified>
</cp:coreProperties>
</file>