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Nautilus Biotechnology,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63909J108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0000FF"/>
        </w:rPr>
        <w:t>Parag Mallick</w:t>
      </w:r>
    </w:p>
    <w:p>
      <w:pPr>
        <w:spacing w:after="0" w:line="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0000FF"/>
        </w:rPr>
        <w:t>2701 Eastlake Avenue East,</w:t>
      </w:r>
    </w:p>
    <w:p>
      <w:pPr>
        <w:ind w:left="3960"/>
        <w:spacing w:after="0" w:line="230" w:lineRule="auto"/>
        <w:rPr>
          <w:sz w:val="20"/>
          <w:szCs w:val="20"/>
          <w:color w:val="auto"/>
        </w:rPr>
      </w:pPr>
      <w:r>
        <w:rPr>
          <w:rFonts w:ascii="Times New Roman" w:cs="Times New Roman" w:eastAsia="Times New Roman" w:hAnsi="Times New Roman"/>
          <w:sz w:val="22"/>
          <w:szCs w:val="22"/>
          <w:b w:val="1"/>
          <w:bCs w:val="1"/>
          <w:color w:val="0000FF"/>
        </w:rPr>
        <w:t>Seattle, WA, 98102</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206-333-2001</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Zachary B. Myers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Wilson Sonsini Goodrich &amp; Rosati, 650 Page Mill Road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Palo Alto, CA, 94304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650-493-9300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63909J108</w:t>
      </w:r>
    </w:p>
    <w:p>
      <w:pPr>
        <w:sectPr>
          <w:pgSz w:w="11900" w:h="16838" w:orient="portrait"/>
          <w:cols w:equalWidth="0" w:num="1">
            <w:col w:w="11240"/>
          </w:cols>
          <w:pgMar w:left="320" w:top="866" w:right="339" w:bottom="0" w:gutter="0" w:footer="0" w:header="0"/>
          <w:type w:val="continuous"/>
        </w:sectPr>
      </w:pPr>
    </w:p>
    <w:bookmarkStart w:id="1" w:name="page2"/>
    <w:bookmarkEnd w:id="1"/>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Parag Mallick</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22,357,411.00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200,000.00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22,357,411.00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200,000.00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22,557,411.00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17.6 %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Items 7, 9, and 11 above consists of 20,493,392 shares of Common Stock directly owned by Parag Mallick and a total</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of 1,864,019 shares of Common Stock issuable upon exercise of options. Of such options to purchase shares,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1,234,018 shares shall be vested and exercisable within 60 days of March 2, 2026. Items 8, 10, and 11 above consists</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of 200,000 shares of Common Stock directly owned by The Dream Finder Foundation (the "Foundation"). Dr. Mallick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and his spouse share voting and dispositive power over the shares held by the Foundation and Dr. Mallick is the</w:t>
      </w: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President of the Foundation. Item 13 above is based on the quotient obtained by dividing (a) the aggregate number of shares of Common Stock beneficially owned by Dr. Mallick by (b) the sum of (i) 126,564,473 shares of Common Stock outstanding as of February 19, 2026, as reported in the Issuer's Form 10-K filed with the Securities and Exchange Commission on February 26, 2026, and (ii) the 1,864,019 shares of Common Stock issuable upon exercise of options held by Dr. Mallick. The aggregate number of shares of Common Stock beneficially owned by Dr. Mallick as set forth in clauses "(a)" and "(b)" of this footnote are treated as outstanding shares of Common Stock only for the purpose of computing the percentage ownership of Dr. Mallick.</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639" w:right="339" w:bottom="0" w:gutter="0" w:footer="0" w:header="0"/>
        </w:sectPr>
      </w:pP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Title of Class of Securities:</w:t>
      </w:r>
    </w:p>
    <w:p>
      <w:pPr>
        <w:sectPr>
          <w:pgSz w:w="11900" w:h="16838" w:orient="portrait"/>
          <w:cols w:equalWidth="0" w:num="1">
            <w:col w:w="11240"/>
          </w:cols>
          <w:pgMar w:left="320" w:top="639" w:right="33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Nautilus Biotechnology,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2701 Eastlake Avenue East, Seattle, WASHINGTON , 98102.</w:t>
      </w:r>
    </w:p>
    <w:p>
      <w:pPr>
        <w:spacing w:after="0" w:line="20" w:lineRule="exact"/>
        <w:rPr>
          <w:sz w:val="20"/>
          <w:szCs w:val="20"/>
          <w:color w:val="auto"/>
        </w:rPr>
      </w:pPr>
    </w:p>
    <w:p>
      <w:pPr>
        <w:jc w:val="right"/>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(this "Amendment") amends and supplements the Schedule 13D filed on June 16, 2021, as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amended by Amendment No. 1 filed on March 5, 2025 (the "Schedule 13D") by Parag Mallick (the "Reporting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Person") relating to the Common Stock of Nautilus Biotechnology, Inc. (the "Issuer"). Information reported in the Schedule 13D remains in effect except to the extent that it is amended, restated or superseded by information contained in this Amendment. Capitalized terms used but not defined in this Amendment have the respective meanings set forth in the Schedule 13D. All references in the Schedule 13D and this Amendment shall be deemed to</w:t>
      </w:r>
    </w:p>
    <w:p>
      <w:pPr>
        <w:spacing w:after="0" w:line="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refer to the Schedule 13D as amended and supplemented by this Amendment.</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46" w:lineRule="auto"/>
        <w:rPr>
          <w:sz w:val="20"/>
          <w:szCs w:val="20"/>
          <w:color w:val="auto"/>
        </w:rPr>
      </w:pPr>
      <w:r>
        <w:rPr>
          <w:rFonts w:ascii="Times New Roman" w:cs="Times New Roman" w:eastAsia="Times New Roman" w:hAnsi="Times New Roman"/>
          <w:sz w:val="21"/>
          <w:szCs w:val="21"/>
          <w:color w:val="auto"/>
        </w:rPr>
        <w:t>As of the date of this Schedule 13D, the Reporting Person beneficially owns an aggregate of 22,557,411 shares of Common Stock, or 17.6% of the Issuer's outstanding shares of Common Stock. The beneficial ownership percentages used in this Schedule are calculated based on a total of 126,564,473 shares of Common Stock outstanding as of February 19, 2026 plus 1,864,019 shares of Common Stock issuable upon exercise of options held by the Reporting Person. 1,234,018 of the Reporting Person's options to purchase shares of Common Stock are exercisable within 60</w:t>
      </w:r>
    </w:p>
    <w:p>
      <w:pPr>
        <w:spacing w:after="0" w:line="1" w:lineRule="exact"/>
        <w:rPr>
          <w:sz w:val="20"/>
          <w:szCs w:val="20"/>
          <w:color w:val="auto"/>
        </w:rPr>
      </w:pPr>
    </w:p>
    <w:p>
      <w:pPr>
        <w:ind w:left="920" w:right="6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March 2, 2026. The unvested options to purchase shares of Common Stock vest over time subject to the Reporting Person's continued service through each vesting date. If, during the period beginning three months before a change in control through the one-year anniversary of a change in control, the Reporting Person's employment with the Issuer is terminated either (x) by the Issuer without cause, and excluding by reason of the Reporting Person's death or disability or (y) by the Reporting Person for good reason, then 100% of any unvested shares shall immediately vest.</w:t>
      </w:r>
    </w:p>
    <w:p>
      <w:pPr>
        <w:spacing w:after="0" w:line="20"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and the Reporting Person's spouse share voting and dispositive power with respect to 200,000</w:t>
      </w:r>
    </w:p>
    <w:p>
      <w:pPr>
        <w:spacing w:after="0" w:line="14" w:lineRule="exact"/>
        <w:rPr>
          <w:rFonts w:ascii="Times New Roman" w:cs="Times New Roman" w:eastAsia="Times New Roman" w:hAnsi="Times New Roman"/>
          <w:sz w:val="22"/>
          <w:szCs w:val="22"/>
          <w:color w:val="auto"/>
        </w:rPr>
      </w:pPr>
    </w:p>
    <w:p>
      <w:pPr>
        <w:ind w:left="920" w:right="60" w:hanging="912"/>
        <w:spacing w:after="0" w:line="237"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Common Stock owned by the Foundation. The Reporting Person has sole voting and dispositive power with respect to 20,493,392 shares of Common Stock and options to purchase 1,864,019 shares of Common Stock.</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March 2, 2026, the Reporting Person was granted an option to purchase 280,000 shares of the Issuer's Common</w:t>
      </w:r>
    </w:p>
    <w:p>
      <w:pPr>
        <w:spacing w:after="0" w:line="14" w:lineRule="exact"/>
        <w:rPr>
          <w:rFonts w:ascii="Times New Roman" w:cs="Times New Roman" w:eastAsia="Times New Roman" w:hAnsi="Times New Roman"/>
          <w:sz w:val="22"/>
          <w:szCs w:val="22"/>
          <w:color w:val="auto"/>
        </w:rPr>
      </w:pPr>
    </w:p>
    <w:p>
      <w:pPr>
        <w:ind w:left="920" w:right="420" w:hanging="912"/>
        <w:spacing w:after="0" w:line="237"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Except for such option grant, the Reporting Person has not effected any transactions in the Common Stock during the past 60 days.</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Parag Mallick</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Murphy</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Matthew Murphy/Attorney-in-fact</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03/04/2026</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2026-03-04T18:34:47Z</dcterms:created>
  <dcterms:modified xsi:type="dcterms:W3CDTF">2026-03-04T18:34:47Z</dcterms:modified>
</cp:coreProperties>
</file>