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7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333-258100</w:t>
      </w:r>
    </w:p>
    <w:p>
      <w:pPr>
        <w:spacing w:after="0" w:line="21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PROSPECTUS SUPPLEMENT</w:t>
      </w:r>
    </w:p>
    <w:p>
      <w:pPr>
        <w:spacing w:after="0" w:line="22"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(to prospectus dated August 6, 2021)</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95,645,056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2519680</wp:posOffset>
            </wp:positionH>
            <wp:positionV relativeFrom="paragraph">
              <wp:posOffset>120650</wp:posOffset>
            </wp:positionV>
            <wp:extent cx="2103755" cy="757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03755" cy="757555"/>
                    </a:xfrm>
                    <a:prstGeom prst="rect">
                      <a:avLst/>
                    </a:prstGeom>
                    <a:noFill/>
                  </pic:spPr>
                </pic:pic>
              </a:graphicData>
            </a:graphic>
          </wp:anchor>
        </w:drawing>
        <w:drawing>
          <wp:anchor simplePos="0" relativeHeight="251657728" behindDoc="1" locked="0" layoutInCell="0" allowOverlap="1">
            <wp:simplePos x="0" y="0"/>
            <wp:positionH relativeFrom="column">
              <wp:posOffset>2797175</wp:posOffset>
            </wp:positionH>
            <wp:positionV relativeFrom="paragraph">
              <wp:posOffset>1021080</wp:posOffset>
            </wp:positionV>
            <wp:extent cx="1548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481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ind w:right="140" w:firstLine="318"/>
        <w:spacing w:after="0" w:line="255" w:lineRule="auto"/>
        <w:rPr>
          <w:sz w:val="20"/>
          <w:szCs w:val="20"/>
          <w:color w:val="auto"/>
        </w:rPr>
      </w:pPr>
      <w:r>
        <w:rPr>
          <w:rFonts w:ascii="Arial" w:cs="Arial" w:eastAsia="Arial" w:hAnsi="Arial"/>
          <w:sz w:val="18"/>
          <w:szCs w:val="18"/>
          <w:color w:val="auto"/>
        </w:rPr>
        <w:t>This prospectus supplement updates and amends the prospectus dated August 6, 2021 (as supplemented to date, the “Prospectus”), which forms a part of our Registration Statement on Form S-1 (Registration Statement No. 333-258100) filed with the Securities and Exchange Commission (the “SEC”) on July 22, 2021 and declared effective by the SEC on August 6, 2021.</w:t>
      </w:r>
    </w:p>
    <w:p>
      <w:pPr>
        <w:spacing w:after="0" w:line="135" w:lineRule="exact"/>
        <w:rPr>
          <w:sz w:val="24"/>
          <w:szCs w:val="24"/>
          <w:color w:val="auto"/>
        </w:rPr>
      </w:pPr>
    </w:p>
    <w:p>
      <w:pPr>
        <w:ind w:right="180" w:firstLine="318"/>
        <w:spacing w:after="0" w:line="267" w:lineRule="auto"/>
        <w:rPr>
          <w:sz w:val="20"/>
          <w:szCs w:val="20"/>
          <w:color w:val="auto"/>
        </w:rPr>
      </w:pPr>
      <w:r>
        <w:rPr>
          <w:rFonts w:ascii="Arial" w:cs="Arial" w:eastAsia="Arial" w:hAnsi="Arial"/>
          <w:sz w:val="17"/>
          <w:szCs w:val="17"/>
          <w:color w:val="auto"/>
        </w:rPr>
        <w:t>The Prospectus and this prospectus supplement relate to (i) the resale of 4,286,500 shares of common stock, par value $0.0001 per share (the “Common Stock”) issued in connection with the Domestication by certain of the selling securityholders named in the Prospectus (each a “selling securityholder” and, collectively, the “selling securityholders”), (ii) the resale of 69,655,827 shares of Common Stock issued in connection with the Business Combination (as defined in the Prospectus) by certain of the selling securityholders, (iii) the resale of 20,000,000 shares of common stock issued in the PIPE Financing (as defined in the Prospectus) by certain of the selling securityholders, and (iv) the issuance by us and resale of 1,702,729 shares of Common Stock reserved for issuance upon the exercise of certain outstanding options to purchase Common Stock.</w:t>
      </w:r>
    </w:p>
    <w:p>
      <w:pPr>
        <w:spacing w:after="0" w:line="126" w:lineRule="exact"/>
        <w:rPr>
          <w:sz w:val="24"/>
          <w:szCs w:val="24"/>
          <w:color w:val="auto"/>
        </w:rPr>
      </w:pPr>
    </w:p>
    <w:p>
      <w:pPr>
        <w:ind w:right="100" w:firstLine="318"/>
        <w:spacing w:after="0" w:line="330" w:lineRule="auto"/>
        <w:rPr>
          <w:sz w:val="20"/>
          <w:szCs w:val="20"/>
          <w:color w:val="auto"/>
        </w:rPr>
      </w:pPr>
      <w:r>
        <w:rPr>
          <w:rFonts w:ascii="Arial" w:cs="Arial" w:eastAsia="Arial" w:hAnsi="Arial"/>
          <w:sz w:val="15"/>
          <w:szCs w:val="15"/>
          <w:color w:val="auto"/>
        </w:rPr>
        <w:t>This prospectus supplement should be read in conjunction with the Prospectus, which is to be delivered with this prospectus supplement. This prospectus supplement updates, amends and supplements the information included or incorporated by reference in the Prospectus. If there is any inconsistency between the information in the Prospectus and this prospectus supplement, you should rely on the information in this prospectus supplement.</w:t>
      </w:r>
    </w:p>
    <w:p>
      <w:pPr>
        <w:spacing w:after="0" w:line="84" w:lineRule="exact"/>
        <w:rPr>
          <w:sz w:val="24"/>
          <w:szCs w:val="24"/>
          <w:color w:val="auto"/>
        </w:rPr>
      </w:pPr>
    </w:p>
    <w:p>
      <w:pPr>
        <w:ind w:right="560" w:firstLine="318"/>
        <w:spacing w:after="0" w:line="264" w:lineRule="auto"/>
        <w:rPr>
          <w:sz w:val="20"/>
          <w:szCs w:val="20"/>
          <w:color w:val="auto"/>
        </w:rPr>
      </w:pPr>
      <w:r>
        <w:rPr>
          <w:rFonts w:ascii="Arial" w:cs="Arial" w:eastAsia="Arial" w:hAnsi="Arial"/>
          <w:sz w:val="18"/>
          <w:szCs w:val="18"/>
          <w:color w:val="auto"/>
        </w:rPr>
        <w:t>This prospectus supplement is not complete without, and may not be delivered or utilized except in connection with, the Prospectus, including any amendments or supplements to it.</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223" w:lineRule="exact"/>
        <w:rPr>
          <w:sz w:val="24"/>
          <w:szCs w:val="24"/>
          <w:color w:val="auto"/>
        </w:rPr>
      </w:pPr>
    </w:p>
    <w:p>
      <w:pPr>
        <w:ind w:left="640"/>
        <w:spacing w:after="0"/>
        <w:rPr>
          <w:sz w:val="20"/>
          <w:szCs w:val="20"/>
          <w:color w:val="auto"/>
        </w:rPr>
      </w:pPr>
      <w:r>
        <w:rPr>
          <w:rFonts w:ascii="Arial" w:cs="Arial" w:eastAsia="Arial" w:hAnsi="Arial"/>
          <w:sz w:val="18"/>
          <w:szCs w:val="18"/>
          <w:color w:val="auto"/>
        </w:rPr>
        <w:t>On August 10, 2020, we filed a Quarterly Report on Form 10-Q with the SEC. The Form 10-Q is attached hereto.</w:t>
      </w:r>
    </w:p>
    <w:p>
      <w:pPr>
        <w:spacing w:after="0" w:line="238" w:lineRule="exact"/>
        <w:rPr>
          <w:sz w:val="24"/>
          <w:szCs w:val="24"/>
          <w:color w:val="auto"/>
        </w:rPr>
      </w:pPr>
    </w:p>
    <w:p>
      <w:pPr>
        <w:ind w:right="400" w:firstLine="318"/>
        <w:spacing w:after="0" w:line="271" w:lineRule="auto"/>
        <w:rPr>
          <w:sz w:val="20"/>
          <w:szCs w:val="20"/>
          <w:color w:val="auto"/>
        </w:rPr>
      </w:pPr>
      <w:r>
        <w:rPr>
          <w:rFonts w:ascii="Arial" w:cs="Arial" w:eastAsia="Arial" w:hAnsi="Arial"/>
          <w:sz w:val="18"/>
          <w:szCs w:val="18"/>
          <w:b w:val="1"/>
          <w:bCs w:val="1"/>
          <w:color w:val="auto"/>
        </w:rPr>
        <w:t>We are an “emerging growth company,” as defined under the federal securities laws, and, as such, may elect to comply with certain reduced public company reporting requirements for future filings.</w:t>
      </w:r>
    </w:p>
    <w:p>
      <w:pPr>
        <w:spacing w:after="0" w:line="116" w:lineRule="exact"/>
        <w:rPr>
          <w:sz w:val="24"/>
          <w:szCs w:val="24"/>
          <w:color w:val="auto"/>
        </w:rPr>
      </w:pPr>
    </w:p>
    <w:p>
      <w:pPr>
        <w:ind w:right="360" w:firstLine="318"/>
        <w:spacing w:after="0" w:line="271"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a high degree of risk. Before buying any securities, you should carefully read the discussion of the risks of investing in our securities in the section titled “</w:t>
      </w:r>
      <w:hyperlink w:anchor="page39">
        <w:r>
          <w:rPr>
            <w:rFonts w:ascii="Arial" w:cs="Arial" w:eastAsia="Arial" w:hAnsi="Arial"/>
            <w:sz w:val="18"/>
            <w:szCs w:val="18"/>
            <w:b w:val="1"/>
            <w:bCs w:val="1"/>
            <w:i w:val="1"/>
            <w:iCs w:val="1"/>
            <w:u w:val="single" w:color="auto"/>
            <w:color w:val="0000FF"/>
          </w:rPr>
          <w:t>Risk Factors</w:t>
        </w:r>
      </w:hyperlink>
      <w:r>
        <w:rPr>
          <w:rFonts w:ascii="Arial" w:cs="Arial" w:eastAsia="Arial" w:hAnsi="Arial"/>
          <w:sz w:val="18"/>
          <w:szCs w:val="18"/>
          <w:b w:val="1"/>
          <w:bCs w:val="1"/>
          <w:color w:val="auto"/>
        </w:rPr>
        <w:t>” beginning on page 6 of the Prospectus.</w:t>
      </w:r>
    </w:p>
    <w:p>
      <w:pPr>
        <w:spacing w:after="0" w:line="116" w:lineRule="exact"/>
        <w:rPr>
          <w:sz w:val="24"/>
          <w:szCs w:val="24"/>
          <w:color w:val="auto"/>
        </w:rPr>
      </w:pPr>
    </w:p>
    <w:p>
      <w:pPr>
        <w:ind w:right="220" w:firstLine="318"/>
        <w:spacing w:after="0" w:line="271" w:lineRule="auto"/>
        <w:rPr>
          <w:sz w:val="20"/>
          <w:szCs w:val="20"/>
          <w:color w:val="auto"/>
        </w:rPr>
      </w:pPr>
      <w:r>
        <w:rPr>
          <w:rFonts w:ascii="Arial" w:cs="Arial" w:eastAsia="Arial" w:hAnsi="Arial"/>
          <w:sz w:val="18"/>
          <w:szCs w:val="18"/>
          <w:b w:val="1"/>
          <w:bCs w:val="1"/>
          <w:color w:val="auto"/>
        </w:rPr>
        <w:t>You should rely only on the information contained in the Prospectus, this prospectus supplement or any prospectus supplement or amendment hereto. We have not authorized anyone to provide you with different information.</w:t>
      </w:r>
    </w:p>
    <w:p>
      <w:pPr>
        <w:spacing w:after="0" w:line="116" w:lineRule="exact"/>
        <w:rPr>
          <w:sz w:val="24"/>
          <w:szCs w:val="24"/>
          <w:color w:val="auto"/>
        </w:rPr>
      </w:pPr>
    </w:p>
    <w:p>
      <w:pPr>
        <w:ind w:right="680" w:firstLine="318"/>
        <w:spacing w:after="0" w:line="301"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3024505</wp:posOffset>
            </wp:positionH>
            <wp:positionV relativeFrom="paragraph">
              <wp:posOffset>87630</wp:posOffset>
            </wp:positionV>
            <wp:extent cx="1102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The date of this prospectus supplement is August 10, 2021.</w:t>
      </w:r>
    </w:p>
    <w:p>
      <w:pPr>
        <w:sectPr>
          <w:pgSz w:w="11900" w:h="16838" w:orient="portrait"/>
          <w:cols w:equalWidth="0" w:num="1">
            <w:col w:w="11240"/>
          </w:cols>
          <w:pgMar w:left="320" w:top="1181" w:right="3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207010</wp:posOffset>
            </wp:positionH>
            <wp:positionV relativeFrom="page">
              <wp:posOffset>476250</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501015</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34"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SECURITIES AND EXCHANGE COMMISSION</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120015</wp:posOffset>
            </wp:positionV>
            <wp:extent cx="1194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FORM 10-Q</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(Mark One)</w:t>
      </w:r>
    </w:p>
    <w:p>
      <w:pPr>
        <w:spacing w:after="0" w:line="217" w:lineRule="exact"/>
        <w:rPr>
          <w:sz w:val="20"/>
          <w:szCs w:val="20"/>
          <w:color w:val="auto"/>
        </w:rPr>
      </w:pPr>
    </w:p>
    <w:p>
      <w:pPr>
        <w:ind w:left="1120" w:hanging="456"/>
        <w:spacing w:after="0"/>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51" w:lineRule="exact"/>
        <w:rPr>
          <w:sz w:val="20"/>
          <w:szCs w:val="20"/>
          <w:color w:val="auto"/>
        </w:rPr>
      </w:pPr>
    </w:p>
    <w:p>
      <w:pPr>
        <w:ind w:left="1120" w:hanging="454"/>
        <w:spacing w:after="0"/>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70"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For the transition period from _________ to _________</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Commission File Number 001-39434</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NAUTILUS BIOTECHNOLOGY, INC.</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53" w:lineRule="exact"/>
        <w:rPr>
          <w:sz w:val="20"/>
          <w:szCs w:val="20"/>
          <w:color w:val="auto"/>
        </w:rPr>
      </w:pPr>
    </w:p>
    <w:tbl>
      <w:tblPr>
        <w:tblLayout w:type="fixed"/>
        <w:tblInd w:w="740" w:type="dxa"/>
        <w:tblCellMar>
          <w:top w:w="0" w:type="dxa"/>
          <w:left w:w="0" w:type="dxa"/>
          <w:bottom w:w="0" w:type="dxa"/>
          <w:right w:w="0" w:type="dxa"/>
        </w:tblCellMar>
      </w:tblPr>
      <w:tr>
        <w:trPr>
          <w:trHeight w:val="184"/>
        </w:trPr>
        <w:tc>
          <w:tcPr>
            <w:tcW w:w="3120" w:type="dxa"/>
            <w:vAlign w:val="bottom"/>
          </w:tcPr>
          <w:p>
            <w:pPr>
              <w:jc w:val="center"/>
              <w:ind w:right="189"/>
              <w:spacing w:after="0"/>
              <w:rPr>
                <w:sz w:val="20"/>
                <w:szCs w:val="20"/>
                <w:color w:val="auto"/>
              </w:rPr>
            </w:pPr>
            <w:r>
              <w:rPr>
                <w:rFonts w:ascii="Arial" w:cs="Arial" w:eastAsia="Arial" w:hAnsi="Arial"/>
                <w:sz w:val="14"/>
                <w:szCs w:val="14"/>
                <w:b w:val="1"/>
                <w:bCs w:val="1"/>
                <w:color w:val="auto"/>
                <w:w w:val="94"/>
              </w:rPr>
              <w:t>Delaware</w:t>
            </w:r>
          </w:p>
        </w:tc>
        <w:tc>
          <w:tcPr>
            <w:tcW w:w="5740" w:type="dxa"/>
            <w:vAlign w:val="bottom"/>
          </w:tcPr>
          <w:p>
            <w:pPr>
              <w:jc w:val="right"/>
              <w:ind w:right="109"/>
              <w:spacing w:after="0"/>
              <w:rPr>
                <w:sz w:val="20"/>
                <w:szCs w:val="20"/>
                <w:color w:val="auto"/>
              </w:rPr>
            </w:pPr>
            <w:r>
              <w:rPr>
                <w:rFonts w:ascii="Arial" w:cs="Arial" w:eastAsia="Arial" w:hAnsi="Arial"/>
                <w:sz w:val="14"/>
                <w:szCs w:val="14"/>
                <w:b w:val="1"/>
                <w:bCs w:val="1"/>
                <w:color w:val="auto"/>
              </w:rPr>
              <w:t>98-1541723</w:t>
            </w:r>
          </w:p>
        </w:tc>
      </w:tr>
      <w:tr>
        <w:trPr>
          <w:trHeight w:val="144"/>
        </w:trPr>
        <w:tc>
          <w:tcPr>
            <w:tcW w:w="3120" w:type="dxa"/>
            <w:vAlign w:val="bottom"/>
          </w:tcPr>
          <w:p>
            <w:pPr>
              <w:jc w:val="center"/>
              <w:ind w:right="209"/>
              <w:spacing w:after="0" w:line="143" w:lineRule="exact"/>
              <w:rPr>
                <w:sz w:val="20"/>
                <w:szCs w:val="20"/>
                <w:color w:val="auto"/>
              </w:rPr>
            </w:pPr>
            <w:r>
              <w:rPr>
                <w:rFonts w:ascii="Arial" w:cs="Arial" w:eastAsia="Arial" w:hAnsi="Arial"/>
                <w:sz w:val="14"/>
                <w:szCs w:val="14"/>
                <w:color w:val="auto"/>
                <w:w w:val="93"/>
              </w:rPr>
              <w:t>(State or other jurisdiction of</w:t>
            </w:r>
          </w:p>
        </w:tc>
        <w:tc>
          <w:tcPr>
            <w:tcW w:w="5740" w:type="dxa"/>
            <w:vAlign w:val="bottom"/>
          </w:tcPr>
          <w:p>
            <w:pPr>
              <w:jc w:val="center"/>
              <w:ind w:left="4629"/>
              <w:spacing w:after="0" w:line="143" w:lineRule="exact"/>
              <w:rPr>
                <w:sz w:val="20"/>
                <w:szCs w:val="20"/>
                <w:color w:val="auto"/>
              </w:rPr>
            </w:pPr>
            <w:r>
              <w:rPr>
                <w:rFonts w:ascii="Arial" w:cs="Arial" w:eastAsia="Arial" w:hAnsi="Arial"/>
                <w:sz w:val="14"/>
                <w:szCs w:val="14"/>
                <w:color w:val="auto"/>
                <w:w w:val="93"/>
              </w:rPr>
              <w:t>(I.R.S. Employer</w:t>
            </w:r>
          </w:p>
        </w:tc>
      </w:tr>
      <w:tr>
        <w:trPr>
          <w:trHeight w:val="180"/>
        </w:trPr>
        <w:tc>
          <w:tcPr>
            <w:tcW w:w="3120" w:type="dxa"/>
            <w:vAlign w:val="bottom"/>
          </w:tcPr>
          <w:p>
            <w:pPr>
              <w:jc w:val="center"/>
              <w:ind w:right="189"/>
              <w:spacing w:after="0"/>
              <w:rPr>
                <w:sz w:val="20"/>
                <w:szCs w:val="20"/>
                <w:color w:val="auto"/>
              </w:rPr>
            </w:pPr>
            <w:r>
              <w:rPr>
                <w:rFonts w:ascii="Arial" w:cs="Arial" w:eastAsia="Arial" w:hAnsi="Arial"/>
                <w:sz w:val="14"/>
                <w:szCs w:val="14"/>
                <w:color w:val="auto"/>
                <w:w w:val="93"/>
              </w:rPr>
              <w:t>incorporation or organization)</w:t>
            </w:r>
          </w:p>
        </w:tc>
        <w:tc>
          <w:tcPr>
            <w:tcW w:w="5740" w:type="dxa"/>
            <w:vAlign w:val="bottom"/>
          </w:tcPr>
          <w:p>
            <w:pPr>
              <w:jc w:val="center"/>
              <w:ind w:left="4629"/>
              <w:spacing w:after="0"/>
              <w:rPr>
                <w:sz w:val="20"/>
                <w:szCs w:val="20"/>
                <w:color w:val="auto"/>
              </w:rPr>
            </w:pPr>
            <w:r>
              <w:rPr>
                <w:rFonts w:ascii="Arial" w:cs="Arial" w:eastAsia="Arial" w:hAnsi="Arial"/>
                <w:sz w:val="14"/>
                <w:szCs w:val="14"/>
                <w:color w:val="auto"/>
                <w:w w:val="95"/>
              </w:rPr>
              <w:t>Identification No.)</w:t>
            </w:r>
          </w:p>
        </w:tc>
      </w:tr>
      <w:tr>
        <w:trPr>
          <w:trHeight w:val="750"/>
        </w:trPr>
        <w:tc>
          <w:tcPr>
            <w:tcW w:w="3120" w:type="dxa"/>
            <w:vAlign w:val="bottom"/>
          </w:tcPr>
          <w:p>
            <w:pPr>
              <w:jc w:val="center"/>
              <w:ind w:right="209"/>
              <w:spacing w:after="0"/>
              <w:rPr>
                <w:sz w:val="20"/>
                <w:szCs w:val="20"/>
                <w:color w:val="auto"/>
              </w:rPr>
            </w:pPr>
            <w:r>
              <w:rPr>
                <w:rFonts w:ascii="Arial" w:cs="Arial" w:eastAsia="Arial" w:hAnsi="Arial"/>
                <w:sz w:val="14"/>
                <w:szCs w:val="14"/>
                <w:b w:val="1"/>
                <w:bCs w:val="1"/>
                <w:color w:val="auto"/>
                <w:w w:val="89"/>
              </w:rPr>
              <w:t>425 Pontius Ave N, Ste 202 Seattle, Washington</w:t>
            </w:r>
          </w:p>
        </w:tc>
        <w:tc>
          <w:tcPr>
            <w:tcW w:w="5740" w:type="dxa"/>
            <w:vAlign w:val="bottom"/>
          </w:tcPr>
          <w:p>
            <w:pPr>
              <w:jc w:val="right"/>
              <w:ind w:right="269"/>
              <w:spacing w:after="0"/>
              <w:rPr>
                <w:sz w:val="20"/>
                <w:szCs w:val="20"/>
                <w:color w:val="auto"/>
              </w:rPr>
            </w:pPr>
            <w:r>
              <w:rPr>
                <w:rFonts w:ascii="Arial" w:cs="Arial" w:eastAsia="Arial" w:hAnsi="Arial"/>
                <w:sz w:val="14"/>
                <w:szCs w:val="14"/>
                <w:b w:val="1"/>
                <w:bCs w:val="1"/>
                <w:color w:val="auto"/>
              </w:rPr>
              <w:t>98109</w:t>
            </w:r>
          </w:p>
        </w:tc>
      </w:tr>
      <w:tr>
        <w:trPr>
          <w:trHeight w:val="358"/>
        </w:trPr>
        <w:tc>
          <w:tcPr>
            <w:tcW w:w="3120" w:type="dxa"/>
            <w:vAlign w:val="bottom"/>
          </w:tcPr>
          <w:p>
            <w:pPr>
              <w:jc w:val="center"/>
              <w:ind w:right="209"/>
              <w:spacing w:after="0"/>
              <w:rPr>
                <w:sz w:val="20"/>
                <w:szCs w:val="20"/>
                <w:color w:val="auto"/>
              </w:rPr>
            </w:pPr>
            <w:r>
              <w:rPr>
                <w:rFonts w:ascii="Arial" w:cs="Arial" w:eastAsia="Arial" w:hAnsi="Arial"/>
                <w:sz w:val="14"/>
                <w:szCs w:val="14"/>
                <w:color w:val="auto"/>
                <w:w w:val="93"/>
              </w:rPr>
              <w:t>(Address of principal executive offices)</w:t>
            </w:r>
          </w:p>
        </w:tc>
        <w:tc>
          <w:tcPr>
            <w:tcW w:w="5740" w:type="dxa"/>
            <w:vAlign w:val="bottom"/>
          </w:tcPr>
          <w:p>
            <w:pPr>
              <w:jc w:val="center"/>
              <w:ind w:left="4649"/>
              <w:spacing w:after="0"/>
              <w:rPr>
                <w:sz w:val="20"/>
                <w:szCs w:val="20"/>
                <w:color w:val="auto"/>
              </w:rPr>
            </w:pPr>
            <w:r>
              <w:rPr>
                <w:rFonts w:ascii="Arial" w:cs="Arial" w:eastAsia="Arial" w:hAnsi="Arial"/>
                <w:sz w:val="14"/>
                <w:szCs w:val="14"/>
                <w:color w:val="auto"/>
                <w:w w:val="93"/>
              </w:rPr>
              <w:t>(Zip Code)</w:t>
            </w:r>
          </w:p>
        </w:tc>
      </w:tr>
      <w:tr>
        <w:trPr>
          <w:trHeight w:val="199"/>
        </w:trPr>
        <w:tc>
          <w:tcPr>
            <w:tcW w:w="3120" w:type="dxa"/>
            <w:vAlign w:val="bottom"/>
          </w:tcPr>
          <w:p>
            <w:pPr>
              <w:spacing w:after="0"/>
              <w:rPr>
                <w:sz w:val="17"/>
                <w:szCs w:val="17"/>
                <w:color w:val="auto"/>
              </w:rPr>
            </w:pPr>
          </w:p>
        </w:tc>
        <w:tc>
          <w:tcPr>
            <w:tcW w:w="5740" w:type="dxa"/>
            <w:vAlign w:val="bottom"/>
          </w:tcPr>
          <w:p>
            <w:pPr>
              <w:jc w:val="right"/>
              <w:ind w:right="3469"/>
              <w:spacing w:after="0"/>
              <w:rPr>
                <w:sz w:val="20"/>
                <w:szCs w:val="20"/>
                <w:color w:val="auto"/>
              </w:rPr>
            </w:pPr>
            <w:r>
              <w:rPr>
                <w:rFonts w:ascii="Arial" w:cs="Arial" w:eastAsia="Arial" w:hAnsi="Arial"/>
                <w:sz w:val="14"/>
                <w:szCs w:val="14"/>
                <w:b w:val="1"/>
                <w:bCs w:val="1"/>
                <w:color w:val="auto"/>
              </w:rPr>
              <w:t>(206) 333-2001</w:t>
            </w:r>
          </w:p>
        </w:tc>
      </w:tr>
      <w:tr>
        <w:trPr>
          <w:trHeight w:val="358"/>
        </w:trPr>
        <w:tc>
          <w:tcPr>
            <w:tcW w:w="3120" w:type="dxa"/>
            <w:vAlign w:val="bottom"/>
          </w:tcPr>
          <w:p>
            <w:pPr>
              <w:spacing w:after="0"/>
              <w:rPr>
                <w:sz w:val="24"/>
                <w:szCs w:val="24"/>
                <w:color w:val="auto"/>
              </w:rPr>
            </w:pPr>
          </w:p>
        </w:tc>
        <w:tc>
          <w:tcPr>
            <w:tcW w:w="5740" w:type="dxa"/>
            <w:vAlign w:val="bottom"/>
          </w:tcPr>
          <w:p>
            <w:pPr>
              <w:jc w:val="center"/>
              <w:ind w:right="2129"/>
              <w:spacing w:after="0"/>
              <w:rPr>
                <w:sz w:val="20"/>
                <w:szCs w:val="20"/>
                <w:color w:val="auto"/>
              </w:rPr>
            </w:pPr>
            <w:r>
              <w:rPr>
                <w:rFonts w:ascii="Arial" w:cs="Arial" w:eastAsia="Arial" w:hAnsi="Arial"/>
                <w:sz w:val="14"/>
                <w:szCs w:val="14"/>
                <w:color w:val="auto"/>
                <w:w w:val="90"/>
              </w:rPr>
              <w:t>(Registrant's telephone number, including area code)</w:t>
            </w:r>
          </w:p>
        </w:tc>
      </w:tr>
    </w:tbl>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70"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360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6"/>
              </w:rPr>
              <w:t>Title of each class</w:t>
            </w:r>
          </w:p>
        </w:tc>
        <w:tc>
          <w:tcPr>
            <w:tcW w:w="21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Trading Symbol(s)</w:t>
            </w:r>
          </w:p>
        </w:tc>
        <w:tc>
          <w:tcPr>
            <w:tcW w:w="3900" w:type="dxa"/>
            <w:vAlign w:val="bottom"/>
            <w:tcBorders>
              <w:bottom w:val="single" w:sz="8" w:color="auto"/>
            </w:tcBorders>
          </w:tcPr>
          <w:p>
            <w:pPr>
              <w:jc w:val="center"/>
              <w:ind w:left="101"/>
              <w:spacing w:after="0"/>
              <w:rPr>
                <w:sz w:val="20"/>
                <w:szCs w:val="20"/>
                <w:color w:val="auto"/>
              </w:rPr>
            </w:pPr>
            <w:r>
              <w:rPr>
                <w:rFonts w:ascii="Arial" w:cs="Arial" w:eastAsia="Arial" w:hAnsi="Arial"/>
                <w:sz w:val="18"/>
                <w:szCs w:val="18"/>
                <w:b w:val="1"/>
                <w:bCs w:val="1"/>
                <w:color w:val="auto"/>
                <w:w w:val="86"/>
              </w:rPr>
              <w:t>Name of each exchange on which registered</w:t>
            </w:r>
          </w:p>
        </w:tc>
      </w:tr>
      <w:tr>
        <w:trPr>
          <w:trHeight w:val="218"/>
        </w:trPr>
        <w:tc>
          <w:tcPr>
            <w:tcW w:w="3600" w:type="dxa"/>
            <w:vAlign w:val="bottom"/>
          </w:tcPr>
          <w:p>
            <w:pPr>
              <w:jc w:val="center"/>
              <w:ind w:right="52"/>
              <w:spacing w:after="0"/>
              <w:rPr>
                <w:sz w:val="20"/>
                <w:szCs w:val="20"/>
                <w:color w:val="auto"/>
              </w:rPr>
            </w:pPr>
            <w:r>
              <w:rPr>
                <w:rFonts w:ascii="Arial" w:cs="Arial" w:eastAsia="Arial" w:hAnsi="Arial"/>
                <w:sz w:val="18"/>
                <w:szCs w:val="18"/>
                <w:color w:val="auto"/>
                <w:w w:val="87"/>
              </w:rPr>
              <w:t>Common Stock, par value $0.0001 per share</w:t>
            </w:r>
          </w:p>
        </w:tc>
        <w:tc>
          <w:tcPr>
            <w:tcW w:w="2120" w:type="dxa"/>
            <w:vAlign w:val="bottom"/>
          </w:tcPr>
          <w:p>
            <w:pPr>
              <w:ind w:left="900"/>
              <w:spacing w:after="0"/>
              <w:rPr>
                <w:sz w:val="20"/>
                <w:szCs w:val="20"/>
                <w:color w:val="auto"/>
              </w:rPr>
            </w:pPr>
            <w:r>
              <w:rPr>
                <w:rFonts w:ascii="Arial" w:cs="Arial" w:eastAsia="Arial" w:hAnsi="Arial"/>
                <w:sz w:val="14"/>
                <w:szCs w:val="14"/>
                <w:color w:val="auto"/>
              </w:rPr>
              <w:t>NAUT</w:t>
            </w:r>
          </w:p>
        </w:tc>
        <w:tc>
          <w:tcPr>
            <w:tcW w:w="3900" w:type="dxa"/>
            <w:vAlign w:val="bottom"/>
          </w:tcPr>
          <w:p>
            <w:pPr>
              <w:jc w:val="center"/>
              <w:ind w:left="121"/>
              <w:spacing w:after="0"/>
              <w:rPr>
                <w:sz w:val="20"/>
                <w:szCs w:val="20"/>
                <w:color w:val="auto"/>
              </w:rPr>
            </w:pPr>
            <w:r>
              <w:rPr>
                <w:rFonts w:ascii="Arial" w:cs="Arial" w:eastAsia="Arial" w:hAnsi="Arial"/>
                <w:sz w:val="14"/>
                <w:szCs w:val="14"/>
                <w:color w:val="auto"/>
                <w:w w:val="92"/>
              </w:rPr>
              <w:t>The Nasdaq Stock Market LLC</w:t>
            </w:r>
          </w:p>
        </w:tc>
      </w:tr>
    </w:tbl>
    <w:p>
      <w:pPr>
        <w:spacing w:after="0" w:line="307" w:lineRule="exact"/>
        <w:rPr>
          <w:sz w:val="20"/>
          <w:szCs w:val="20"/>
          <w:color w:val="auto"/>
        </w:rPr>
      </w:pPr>
    </w:p>
    <w:p>
      <w:pPr>
        <w:ind w:right="120" w:firstLine="318"/>
        <w:spacing w:after="0" w:line="20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0"/>
          <w:szCs w:val="20"/>
          <w:color w:val="auto"/>
        </w:rPr>
      </w:pPr>
    </w:p>
    <w:p>
      <w:pPr>
        <w:ind w:right="180" w:firstLine="318"/>
        <w:spacing w:after="0" w:line="30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7"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1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60" w:type="dxa"/>
            <w:vAlign w:val="bottom"/>
          </w:tcPr>
          <w:p>
            <w:pPr>
              <w:ind w:left="260"/>
              <w:spacing w:after="0"/>
              <w:rPr>
                <w:sz w:val="20"/>
                <w:szCs w:val="20"/>
                <w:color w:val="auto"/>
              </w:rPr>
            </w:pPr>
            <w:r>
              <w:rPr>
                <w:rFonts w:ascii="Arial" w:cs="Arial" w:eastAsia="Arial" w:hAnsi="Arial"/>
                <w:sz w:val="14"/>
                <w:szCs w:val="14"/>
                <w:color w:val="auto"/>
              </w:rPr>
              <w:t>o</w:t>
            </w:r>
          </w:p>
        </w:tc>
        <w:tc>
          <w:tcPr>
            <w:tcW w:w="5160" w:type="dxa"/>
            <w:vAlign w:val="bottom"/>
          </w:tcPr>
          <w:p>
            <w:pPr>
              <w:ind w:left="3300"/>
              <w:spacing w:after="0"/>
              <w:rPr>
                <w:sz w:val="20"/>
                <w:szCs w:val="20"/>
                <w:color w:val="auto"/>
              </w:rPr>
            </w:pPr>
            <w:r>
              <w:rPr>
                <w:rFonts w:ascii="Arial" w:cs="Arial" w:eastAsia="Arial" w:hAnsi="Arial"/>
                <w:sz w:val="14"/>
                <w:szCs w:val="14"/>
                <w:color w:val="auto"/>
              </w:rPr>
              <w:t>Accelerated filer</w:t>
            </w:r>
          </w:p>
        </w:tc>
        <w:tc>
          <w:tcPr>
            <w:tcW w:w="440" w:type="dxa"/>
            <w:vAlign w:val="bottom"/>
          </w:tcPr>
          <w:p>
            <w:pPr>
              <w:ind w:left="300"/>
              <w:spacing w:after="0"/>
              <w:rPr>
                <w:sz w:val="20"/>
                <w:szCs w:val="20"/>
                <w:color w:val="auto"/>
              </w:rPr>
            </w:pPr>
            <w:r>
              <w:rPr>
                <w:rFonts w:ascii="Arial" w:cs="Arial" w:eastAsia="Arial" w:hAnsi="Arial"/>
                <w:sz w:val="14"/>
                <w:szCs w:val="14"/>
                <w:color w:val="auto"/>
              </w:rPr>
              <w:t>o</w:t>
            </w:r>
          </w:p>
        </w:tc>
      </w:tr>
      <w:tr>
        <w:trPr>
          <w:trHeight w:val="219"/>
        </w:trPr>
        <w:tc>
          <w:tcPr>
            <w:tcW w:w="1540" w:type="dxa"/>
            <w:vAlign w:val="bottom"/>
          </w:tcPr>
          <w:p>
            <w:pPr>
              <w:spacing w:after="0"/>
              <w:rPr>
                <w:sz w:val="20"/>
                <w:szCs w:val="20"/>
                <w:color w:val="auto"/>
              </w:rPr>
            </w:pPr>
            <w:r>
              <w:rPr>
                <w:rFonts w:ascii="Arial" w:cs="Arial" w:eastAsia="Arial" w:hAnsi="Arial"/>
                <w:sz w:val="14"/>
                <w:szCs w:val="14"/>
                <w:color w:val="auto"/>
              </w:rPr>
              <w:t>Non-accelerated filer</w:t>
            </w:r>
          </w:p>
        </w:tc>
        <w:tc>
          <w:tcPr>
            <w:tcW w:w="366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300"/>
              <w:spacing w:after="0"/>
              <w:rPr>
                <w:sz w:val="20"/>
                <w:szCs w:val="20"/>
                <w:color w:val="auto"/>
              </w:rPr>
            </w:pPr>
            <w:r>
              <w:rPr>
                <w:rFonts w:ascii="Arial" w:cs="Arial" w:eastAsia="Arial" w:hAnsi="Arial"/>
                <w:sz w:val="14"/>
                <w:szCs w:val="14"/>
                <w:color w:val="auto"/>
              </w:rPr>
              <w:t>Smaller reporting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1"/>
        </w:trPr>
        <w:tc>
          <w:tcPr>
            <w:tcW w:w="15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5160" w:type="dxa"/>
            <w:vAlign w:val="bottom"/>
          </w:tcPr>
          <w:p>
            <w:pPr>
              <w:ind w:left="3300"/>
              <w:spacing w:after="0"/>
              <w:rPr>
                <w:sz w:val="20"/>
                <w:szCs w:val="20"/>
                <w:color w:val="auto"/>
              </w:rPr>
            </w:pPr>
            <w:r>
              <w:rPr>
                <w:rFonts w:ascii="Arial" w:cs="Arial" w:eastAsia="Arial" w:hAnsi="Arial"/>
                <w:sz w:val="14"/>
                <w:szCs w:val="14"/>
                <w:color w:val="auto"/>
              </w:rPr>
              <w:t>Emerging growth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2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28" w:lineRule="exact"/>
        <w:rPr>
          <w:sz w:val="20"/>
          <w:szCs w:val="20"/>
          <w:color w:val="auto"/>
        </w:rPr>
      </w:pPr>
    </w:p>
    <w:p>
      <w:pPr>
        <w:ind w:right="1520" w:firstLine="318"/>
        <w:spacing w:after="0" w:line="473" w:lineRule="auto"/>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 No x As of July 31, 2021, the registrant had 124,094,390 shares of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7134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-68580</wp:posOffset>
            </wp:positionV>
            <wp:extent cx="71348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180"/>
          </w:cols>
          <w:pgMar w:left="320" w:top="907" w:right="399" w:bottom="1440" w:gutter="0" w:footer="0" w:header="0"/>
        </w:sectPr>
      </w:pPr>
    </w:p>
    <w:bookmarkStart w:id="2" w:name="page3"/>
    <w:bookmarkEnd w:id="2"/>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60" w:type="dxa"/>
            <w:vAlign w:val="bottom"/>
            <w:gridSpan w:val="12"/>
          </w:tcPr>
          <w:p>
            <w:pPr>
              <w:jc w:val="center"/>
              <w:ind w:right="2460"/>
              <w:spacing w:after="0"/>
              <w:rPr>
                <w:sz w:val="20"/>
                <w:szCs w:val="20"/>
                <w:color w:val="auto"/>
              </w:rPr>
            </w:pPr>
            <w:r>
              <w:rPr>
                <w:rFonts w:ascii="Arial" w:cs="Arial" w:eastAsia="Arial" w:hAnsi="Arial"/>
                <w:sz w:val="18"/>
                <w:szCs w:val="18"/>
                <w:b w:val="1"/>
                <w:bCs w:val="1"/>
                <w:color w:val="auto"/>
                <w:w w:val="99"/>
              </w:rPr>
              <w:t>NAUTILUS BIOTECHNOLOGY, INC.</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60" w:type="dxa"/>
            <w:vAlign w:val="bottom"/>
            <w:gridSpan w:val="12"/>
          </w:tcPr>
          <w:p>
            <w:pPr>
              <w:jc w:val="center"/>
              <w:ind w:right="2460"/>
              <w:spacing w:after="0"/>
              <w:rPr>
                <w:sz w:val="20"/>
                <w:szCs w:val="20"/>
                <w:color w:val="auto"/>
              </w:rPr>
            </w:pPr>
            <w:r>
              <w:rPr>
                <w:rFonts w:ascii="Arial" w:cs="Arial" w:eastAsia="Arial" w:hAnsi="Arial"/>
                <w:sz w:val="18"/>
                <w:szCs w:val="18"/>
                <w:b w:val="1"/>
                <w:bCs w:val="1"/>
                <w:color w:val="auto"/>
                <w:w w:val="96"/>
              </w:rPr>
              <w:t>TABLE OF CONTENTS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418"/>
        </w:trPr>
        <w:tc>
          <w:tcPr>
            <w:tcW w:w="2840" w:type="dxa"/>
            <w:vAlign w:val="bottom"/>
            <w:gridSpan w:val="10"/>
          </w:tcPr>
          <w:p>
            <w:pPr>
              <w:spacing w:after="0"/>
              <w:rPr>
                <w:rFonts w:ascii="Arial" w:cs="Arial" w:eastAsia="Arial" w:hAnsi="Arial"/>
                <w:sz w:val="18"/>
                <w:szCs w:val="18"/>
                <w:color w:val="0000FF"/>
                <w:w w:val="96"/>
              </w:rPr>
            </w:pPr>
            <w:hyperlink w:anchor="page5">
              <w:r>
                <w:rPr>
                  <w:rFonts w:ascii="Arial" w:cs="Arial" w:eastAsia="Arial" w:hAnsi="Arial"/>
                  <w:sz w:val="18"/>
                  <w:szCs w:val="18"/>
                  <w:color w:val="0000FF"/>
                  <w:w w:val="96"/>
                </w:rPr>
                <w:t>PART I. FINANCIAL INFORMATION</w:t>
              </w:r>
            </w:hyperlink>
          </w:p>
        </w:tc>
        <w:tc>
          <w:tcPr>
            <w:tcW w:w="7520" w:type="dxa"/>
            <w:vAlign w:val="bottom"/>
            <w:gridSpan w:val="13"/>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gridSpan w:val="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iii</w:t>
              </w:r>
            </w:hyperlink>
          </w:p>
        </w:tc>
        <w:tc>
          <w:tcPr>
            <w:tcW w:w="0" w:type="dxa"/>
            <w:vAlign w:val="bottom"/>
          </w:tcPr>
          <w:p>
            <w:pPr>
              <w:spacing w:after="0"/>
              <w:rPr>
                <w:sz w:val="1"/>
                <w:szCs w:val="1"/>
                <w:color w:val="auto"/>
              </w:rPr>
            </w:pPr>
          </w:p>
        </w:tc>
      </w:tr>
      <w:tr>
        <w:trPr>
          <w:trHeight w:val="457"/>
        </w:trPr>
        <w:tc>
          <w:tcPr>
            <w:tcW w:w="10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42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3"/>
              </w:rPr>
            </w:pPr>
            <w:hyperlink w:anchor="page5">
              <w:r>
                <w:rPr>
                  <w:rFonts w:ascii="Arial" w:cs="Arial" w:eastAsia="Arial" w:hAnsi="Arial"/>
                  <w:sz w:val="18"/>
                  <w:szCs w:val="18"/>
                  <w:color w:val="0000FF"/>
                  <w:w w:val="83"/>
                </w:rPr>
                <w:t>Financial Statements</w:t>
              </w:r>
            </w:hyperlink>
          </w:p>
        </w:tc>
        <w:tc>
          <w:tcPr>
            <w:tcW w:w="340" w:type="dxa"/>
            <w:vAlign w:val="bottom"/>
            <w:tcBorders>
              <w:top w:val="single" w:sz="8" w:color="0000FF"/>
            </w:tcBorders>
            <w:gridSpan w:val="3"/>
          </w:tcPr>
          <w:p>
            <w:pPr>
              <w:spacing w:after="0"/>
              <w:rPr>
                <w:sz w:val="24"/>
                <w:szCs w:val="24"/>
                <w:color w:val="auto"/>
              </w:rPr>
            </w:pPr>
          </w:p>
        </w:tc>
        <w:tc>
          <w:tcPr>
            <w:tcW w:w="7520" w:type="dxa"/>
            <w:vAlign w:val="bottom"/>
            <w:gridSpan w:val="13"/>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80" w:type="dxa"/>
            <w:vAlign w:val="bottom"/>
          </w:tcPr>
          <w:p>
            <w:pPr>
              <w:spacing w:after="0"/>
              <w:rPr>
                <w:sz w:val="22"/>
                <w:szCs w:val="22"/>
                <w:color w:val="auto"/>
              </w:rPr>
            </w:pPr>
          </w:p>
        </w:tc>
        <w:tc>
          <w:tcPr>
            <w:tcW w:w="9280" w:type="dxa"/>
            <w:vAlign w:val="bottom"/>
            <w:gridSpan w:val="2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Financial Statements (Unaudited)</w:t>
              </w:r>
            </w:hyperlink>
          </w:p>
        </w:tc>
        <w:tc>
          <w:tcPr>
            <w:tcW w:w="320" w:type="dxa"/>
            <w:vAlign w:val="bottom"/>
          </w:tcPr>
          <w:p>
            <w:pPr>
              <w:spacing w:after="0"/>
              <w:rPr>
                <w:sz w:val="22"/>
                <w:szCs w:val="22"/>
                <w:color w:val="auto"/>
              </w:rPr>
            </w:pPr>
          </w:p>
        </w:tc>
        <w:tc>
          <w:tcPr>
            <w:tcW w:w="400" w:type="dxa"/>
            <w:vAlign w:val="bottom"/>
            <w:gridSpan w:val="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iii</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080" w:type="dxa"/>
            <w:vAlign w:val="bottom"/>
          </w:tcPr>
          <w:p>
            <w:pPr>
              <w:spacing w:after="0"/>
              <w:rPr>
                <w:sz w:val="22"/>
                <w:szCs w:val="22"/>
                <w:color w:val="auto"/>
              </w:rPr>
            </w:pPr>
          </w:p>
        </w:tc>
        <w:tc>
          <w:tcPr>
            <w:tcW w:w="9280" w:type="dxa"/>
            <w:vAlign w:val="bottom"/>
            <w:gridSpan w:val="2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 as of June 30, 2021 and December 31, 2020 (unaudited)</w:t>
              </w:r>
            </w:hyperlink>
          </w:p>
        </w:tc>
        <w:tc>
          <w:tcPr>
            <w:tcW w:w="400" w:type="dxa"/>
            <w:vAlign w:val="bottom"/>
            <w:gridSpan w:val="2"/>
          </w:tcPr>
          <w:p>
            <w:pPr>
              <w:jc w:val="center"/>
              <w:ind w:left="232"/>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1</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080" w:type="dxa"/>
            <w:vAlign w:val="bottom"/>
          </w:tcPr>
          <w:p>
            <w:pPr>
              <w:spacing w:after="0"/>
              <w:rPr>
                <w:sz w:val="22"/>
                <w:szCs w:val="22"/>
                <w:color w:val="auto"/>
              </w:rPr>
            </w:pPr>
          </w:p>
        </w:tc>
        <w:tc>
          <w:tcPr>
            <w:tcW w:w="9280" w:type="dxa"/>
            <w:vAlign w:val="bottom"/>
            <w:gridSpan w:val="22"/>
          </w:tcPr>
          <w:p>
            <w:pPr>
              <w:spacing w:after="0"/>
              <w:rPr>
                <w:rFonts w:ascii="Arial" w:cs="Arial" w:eastAsia="Arial" w:hAnsi="Arial"/>
                <w:sz w:val="18"/>
                <w:szCs w:val="18"/>
                <w:color w:val="0000FF"/>
                <w:w w:val="92"/>
              </w:rPr>
            </w:pPr>
            <w:hyperlink w:anchor="page6">
              <w:r>
                <w:rPr>
                  <w:rFonts w:ascii="Arial" w:cs="Arial" w:eastAsia="Arial" w:hAnsi="Arial"/>
                  <w:sz w:val="18"/>
                  <w:szCs w:val="18"/>
                  <w:color w:val="0000FF"/>
                  <w:w w:val="92"/>
                </w:rPr>
                <w:t>Condensed Consolidated Statements of Operations for the Three and Six Months Ended June 30, 2021 and 2020 (unaudited)</w:t>
              </w:r>
            </w:hyperlink>
          </w:p>
        </w:tc>
        <w:tc>
          <w:tcPr>
            <w:tcW w:w="400" w:type="dxa"/>
            <w:vAlign w:val="bottom"/>
            <w:gridSpan w:val="2"/>
          </w:tcPr>
          <w:p>
            <w:pPr>
              <w:jc w:val="center"/>
              <w:ind w:left="232"/>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2</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080" w:type="dxa"/>
            <w:vAlign w:val="bottom"/>
          </w:tcPr>
          <w:p>
            <w:pPr>
              <w:spacing w:after="0"/>
              <w:rPr>
                <w:sz w:val="22"/>
                <w:szCs w:val="22"/>
                <w:color w:val="auto"/>
              </w:rPr>
            </w:pPr>
          </w:p>
        </w:tc>
        <w:tc>
          <w:tcPr>
            <w:tcW w:w="8740" w:type="dxa"/>
            <w:vAlign w:val="bottom"/>
            <w:gridSpan w:val="20"/>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Condensed Consolidated Statements of Comprehensive Loss for the Three and Six Months Ended June 30, 2021 and 2020</w:t>
              </w:r>
            </w:hyperlink>
          </w:p>
        </w:tc>
        <w:tc>
          <w:tcPr>
            <w:tcW w:w="540" w:type="dxa"/>
            <w:vAlign w:val="bottom"/>
            <w:gridSpan w:val="2"/>
          </w:tcPr>
          <w:p>
            <w:pPr>
              <w:spacing w:after="0"/>
              <w:rPr>
                <w:sz w:val="22"/>
                <w:szCs w:val="22"/>
                <w:color w:val="auto"/>
              </w:rPr>
            </w:pPr>
          </w:p>
        </w:tc>
        <w:tc>
          <w:tcPr>
            <w:tcW w:w="320" w:type="dxa"/>
            <w:vAlign w:val="bottom"/>
            <w:vMerge w:val="restart"/>
          </w:tcPr>
          <w:p>
            <w:pPr>
              <w:spacing w:after="0"/>
              <w:rPr>
                <w:sz w:val="22"/>
                <w:szCs w:val="22"/>
                <w:color w:val="auto"/>
              </w:rPr>
            </w:pPr>
          </w:p>
        </w:tc>
        <w:tc>
          <w:tcPr>
            <w:tcW w:w="80" w:type="dxa"/>
            <w:vAlign w:val="bottom"/>
            <w:vMerge w:val="restart"/>
          </w:tcPr>
          <w:p>
            <w:pPr>
              <w:jc w:val="center"/>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3</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080" w:type="dxa"/>
            <w:vAlign w:val="bottom"/>
          </w:tcPr>
          <w:p>
            <w:pPr>
              <w:spacing w:after="0"/>
              <w:rPr>
                <w:sz w:val="13"/>
                <w:szCs w:val="13"/>
                <w:color w:val="auto"/>
              </w:rPr>
            </w:pPr>
          </w:p>
        </w:tc>
        <w:tc>
          <w:tcPr>
            <w:tcW w:w="760" w:type="dxa"/>
            <w:vAlign w:val="bottom"/>
            <w:tcBorders>
              <w:top w:val="single" w:sz="8" w:color="0000FF"/>
            </w:tcBorders>
            <w:gridSpan w:val="2"/>
          </w:tcPr>
          <w:p>
            <w:pPr>
              <w:spacing w:after="0" w:line="152" w:lineRule="exact"/>
              <w:rPr>
                <w:rFonts w:ascii="Arial" w:cs="Arial" w:eastAsia="Arial" w:hAnsi="Arial"/>
                <w:sz w:val="17"/>
                <w:szCs w:val="17"/>
                <w:color w:val="0000FF"/>
                <w:w w:val="86"/>
              </w:rPr>
            </w:pPr>
            <w:hyperlink w:anchor="page7">
              <w:r>
                <w:rPr>
                  <w:rFonts w:ascii="Arial" w:cs="Arial" w:eastAsia="Arial" w:hAnsi="Arial"/>
                  <w:sz w:val="17"/>
                  <w:szCs w:val="17"/>
                  <w:color w:val="0000FF"/>
                  <w:w w:val="86"/>
                </w:rPr>
                <w:t>(unaudited)</w:t>
              </w:r>
            </w:hyperlink>
          </w:p>
        </w:tc>
        <w:tc>
          <w:tcPr>
            <w:tcW w:w="7840" w:type="dxa"/>
            <w:vAlign w:val="bottom"/>
            <w:tcBorders>
              <w:top w:val="single" w:sz="8" w:color="0000FF"/>
            </w:tcBorders>
            <w:gridSpan w:val="17"/>
          </w:tcPr>
          <w:p>
            <w:pPr>
              <w:spacing w:after="0"/>
              <w:rPr>
                <w:sz w:val="13"/>
                <w:szCs w:val="13"/>
                <w:color w:val="auto"/>
              </w:rPr>
            </w:pPr>
          </w:p>
        </w:tc>
        <w:tc>
          <w:tcPr>
            <w:tcW w:w="52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080" w:type="dxa"/>
            <w:vAlign w:val="bottom"/>
          </w:tcPr>
          <w:p>
            <w:pPr>
              <w:spacing w:after="0"/>
              <w:rPr>
                <w:sz w:val="22"/>
                <w:szCs w:val="22"/>
                <w:color w:val="auto"/>
              </w:rPr>
            </w:pPr>
          </w:p>
        </w:tc>
        <w:tc>
          <w:tcPr>
            <w:tcW w:w="9280" w:type="dxa"/>
            <w:vAlign w:val="bottom"/>
            <w:gridSpan w:val="22"/>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Condensed Consolidated Statements of Redeemable Convertible Preferred Stock and Stockholders’ Equity (Deficit) for the Three</w:t>
              </w:r>
            </w:hyperlink>
          </w:p>
        </w:tc>
        <w:tc>
          <w:tcPr>
            <w:tcW w:w="400" w:type="dxa"/>
            <w:vAlign w:val="bottom"/>
            <w:gridSpan w:val="2"/>
            <w:vMerge w:val="restart"/>
          </w:tcPr>
          <w:p>
            <w:pPr>
              <w:jc w:val="center"/>
              <w:ind w:left="232"/>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4</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080" w:type="dxa"/>
            <w:vAlign w:val="bottom"/>
          </w:tcPr>
          <w:p>
            <w:pPr>
              <w:spacing w:after="0"/>
              <w:rPr>
                <w:sz w:val="13"/>
                <w:szCs w:val="13"/>
                <w:color w:val="auto"/>
              </w:rPr>
            </w:pPr>
          </w:p>
        </w:tc>
        <w:tc>
          <w:tcPr>
            <w:tcW w:w="9120" w:type="dxa"/>
            <w:vAlign w:val="bottom"/>
            <w:tcBorders>
              <w:top w:val="single" w:sz="8" w:color="0000FF"/>
            </w:tcBorders>
            <w:gridSpan w:val="21"/>
          </w:tcPr>
          <w:p>
            <w:pPr>
              <w:spacing w:after="0" w:line="152" w:lineRule="exact"/>
              <w:rPr>
                <w:rFonts w:ascii="Arial" w:cs="Arial" w:eastAsia="Arial" w:hAnsi="Arial"/>
                <w:sz w:val="17"/>
                <w:szCs w:val="17"/>
                <w:color w:val="0000FF"/>
              </w:rPr>
            </w:pPr>
            <w:hyperlink w:anchor="page8">
              <w:r>
                <w:rPr>
                  <w:rFonts w:ascii="Arial" w:cs="Arial" w:eastAsia="Arial" w:hAnsi="Arial"/>
                  <w:sz w:val="17"/>
                  <w:szCs w:val="17"/>
                  <w:color w:val="0000FF"/>
                </w:rPr>
                <w:t>and Six Months Ended June 30, 2021 and 2020 (unaudited)</w:t>
              </w:r>
            </w:hyperlink>
          </w:p>
        </w:tc>
        <w:tc>
          <w:tcPr>
            <w:tcW w:w="160" w:type="dxa"/>
            <w:vAlign w:val="bottom"/>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080" w:type="dxa"/>
            <w:vAlign w:val="bottom"/>
          </w:tcPr>
          <w:p>
            <w:pPr>
              <w:spacing w:after="0"/>
              <w:rPr>
                <w:sz w:val="22"/>
                <w:szCs w:val="22"/>
                <w:color w:val="auto"/>
              </w:rPr>
            </w:pPr>
          </w:p>
        </w:tc>
        <w:tc>
          <w:tcPr>
            <w:tcW w:w="9280" w:type="dxa"/>
            <w:vAlign w:val="bottom"/>
            <w:gridSpan w:val="22"/>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Condensed Consolidated Statements of Cash Flows for the Six Months Ended June 30, 2021 and 2020 (unaudited)</w:t>
              </w:r>
            </w:hyperlink>
          </w:p>
        </w:tc>
        <w:tc>
          <w:tcPr>
            <w:tcW w:w="400" w:type="dxa"/>
            <w:vAlign w:val="bottom"/>
            <w:gridSpan w:val="2"/>
          </w:tcPr>
          <w:p>
            <w:pPr>
              <w:jc w:val="center"/>
              <w:ind w:left="232"/>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6</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080" w:type="dxa"/>
            <w:vAlign w:val="bottom"/>
          </w:tcPr>
          <w:p>
            <w:pPr>
              <w:spacing w:after="0"/>
              <w:rPr>
                <w:sz w:val="22"/>
                <w:szCs w:val="22"/>
                <w:color w:val="auto"/>
              </w:rPr>
            </w:pPr>
          </w:p>
        </w:tc>
        <w:tc>
          <w:tcPr>
            <w:tcW w:w="8040" w:type="dxa"/>
            <w:vAlign w:val="bottom"/>
            <w:gridSpan w:val="18"/>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Notes to Condensed Consolidated Financial Statements (unaudited)</w:t>
              </w:r>
            </w:hyperlink>
          </w:p>
        </w:tc>
        <w:tc>
          <w:tcPr>
            <w:tcW w:w="1240" w:type="dxa"/>
            <w:vAlign w:val="bottom"/>
            <w:gridSpan w:val="4"/>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jc w:val="center"/>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7</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080" w:type="dxa"/>
            <w:vAlign w:val="bottom"/>
          </w:tcPr>
          <w:p>
            <w:pPr>
              <w:spacing w:after="0"/>
              <w:rPr>
                <w:sz w:val="20"/>
                <w:szCs w:val="20"/>
                <w:color w:val="auto"/>
              </w:rPr>
            </w:pPr>
            <w:r>
              <w:rPr>
                <w:rFonts w:ascii="Arial" w:cs="Arial" w:eastAsia="Arial" w:hAnsi="Arial"/>
                <w:sz w:val="18"/>
                <w:szCs w:val="18"/>
                <w:color w:val="auto"/>
              </w:rPr>
              <w:t>Item 2.</w:t>
            </w:r>
          </w:p>
        </w:tc>
        <w:tc>
          <w:tcPr>
            <w:tcW w:w="9280" w:type="dxa"/>
            <w:vAlign w:val="bottom"/>
            <w:gridSpan w:val="22"/>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Management's Discussion and Analysis of Financial Condition and Results of Operations</w:t>
              </w:r>
            </w:hyperlink>
          </w:p>
        </w:tc>
        <w:tc>
          <w:tcPr>
            <w:tcW w:w="720" w:type="dxa"/>
            <w:vAlign w:val="bottom"/>
            <w:gridSpan w:val="3"/>
          </w:tcPr>
          <w:p>
            <w:pPr>
              <w:jc w:val="center"/>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22</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line="205" w:lineRule="exact"/>
              <w:rPr>
                <w:sz w:val="20"/>
                <w:szCs w:val="20"/>
                <w:color w:val="auto"/>
              </w:rPr>
            </w:pPr>
            <w:r>
              <w:rPr>
                <w:rFonts w:ascii="Arial" w:cs="Arial" w:eastAsia="Arial" w:hAnsi="Arial"/>
                <w:sz w:val="18"/>
                <w:szCs w:val="18"/>
                <w:color w:val="auto"/>
              </w:rPr>
              <w:t>Item 3.</w:t>
            </w:r>
          </w:p>
        </w:tc>
        <w:tc>
          <w:tcPr>
            <w:tcW w:w="4240" w:type="dxa"/>
            <w:vAlign w:val="bottom"/>
            <w:gridSpan w:val="14"/>
          </w:tcPr>
          <w:p>
            <w:pPr>
              <w:spacing w:after="0" w:line="205" w:lineRule="exact"/>
              <w:rPr>
                <w:rFonts w:ascii="Arial" w:cs="Arial" w:eastAsia="Arial" w:hAnsi="Arial"/>
                <w:sz w:val="18"/>
                <w:szCs w:val="18"/>
                <w:color w:val="0000FF"/>
                <w:w w:val="89"/>
              </w:rPr>
            </w:pPr>
            <w:hyperlink w:anchor="page36">
              <w:r>
                <w:rPr>
                  <w:rFonts w:ascii="Arial" w:cs="Arial" w:eastAsia="Arial" w:hAnsi="Arial"/>
                  <w:sz w:val="18"/>
                  <w:szCs w:val="18"/>
                  <w:color w:val="0000FF"/>
                  <w:w w:val="89"/>
                </w:rPr>
                <w:t>Quantitative and Qualitative Disclosures About Market Risk</w:t>
              </w:r>
            </w:hyperlink>
          </w:p>
        </w:tc>
        <w:tc>
          <w:tcPr>
            <w:tcW w:w="2020" w:type="dxa"/>
            <w:vAlign w:val="bottom"/>
            <w:gridSpan w:val="2"/>
          </w:tcPr>
          <w:p>
            <w:pPr>
              <w:spacing w:after="0"/>
              <w:rPr>
                <w:sz w:val="17"/>
                <w:szCs w:val="17"/>
                <w:color w:val="auto"/>
              </w:rPr>
            </w:pPr>
          </w:p>
        </w:tc>
        <w:tc>
          <w:tcPr>
            <w:tcW w:w="3020" w:type="dxa"/>
            <w:vAlign w:val="bottom"/>
            <w:gridSpan w:val="6"/>
          </w:tcPr>
          <w:p>
            <w:pPr>
              <w:spacing w:after="0"/>
              <w:rPr>
                <w:sz w:val="17"/>
                <w:szCs w:val="17"/>
                <w:color w:val="auto"/>
              </w:rPr>
            </w:pPr>
          </w:p>
        </w:tc>
        <w:tc>
          <w:tcPr>
            <w:tcW w:w="720" w:type="dxa"/>
            <w:vAlign w:val="bottom"/>
            <w:gridSpan w:val="3"/>
          </w:tcPr>
          <w:p>
            <w:pPr>
              <w:jc w:val="center"/>
              <w:spacing w:after="0" w:line="205" w:lineRule="exact"/>
              <w:rPr>
                <w:rFonts w:ascii="Arial" w:cs="Arial" w:eastAsia="Arial" w:hAnsi="Arial"/>
                <w:sz w:val="18"/>
                <w:szCs w:val="18"/>
                <w:color w:val="0000FF"/>
                <w:w w:val="89"/>
              </w:rPr>
            </w:pPr>
            <w:hyperlink w:anchor="page36">
              <w:r>
                <w:rPr>
                  <w:rFonts w:ascii="Arial" w:cs="Arial" w:eastAsia="Arial" w:hAnsi="Arial"/>
                  <w:sz w:val="18"/>
                  <w:szCs w:val="18"/>
                  <w:color w:val="0000FF"/>
                  <w:w w:val="89"/>
                </w:rPr>
                <w:t>32</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line="205" w:lineRule="exact"/>
              <w:rPr>
                <w:sz w:val="20"/>
                <w:szCs w:val="20"/>
                <w:color w:val="auto"/>
              </w:rPr>
            </w:pPr>
            <w:r>
              <w:rPr>
                <w:rFonts w:ascii="Arial" w:cs="Arial" w:eastAsia="Arial" w:hAnsi="Arial"/>
                <w:sz w:val="18"/>
                <w:szCs w:val="18"/>
                <w:color w:val="auto"/>
              </w:rPr>
              <w:t>Item 4.</w:t>
            </w:r>
          </w:p>
        </w:tc>
        <w:tc>
          <w:tcPr>
            <w:tcW w:w="1680" w:type="dxa"/>
            <w:vAlign w:val="bottom"/>
            <w:gridSpan w:val="8"/>
          </w:tcPr>
          <w:p>
            <w:pPr>
              <w:spacing w:after="0" w:line="205" w:lineRule="exact"/>
              <w:rPr>
                <w:rFonts w:ascii="Arial" w:cs="Arial" w:eastAsia="Arial" w:hAnsi="Arial"/>
                <w:sz w:val="18"/>
                <w:szCs w:val="18"/>
                <w:color w:val="0000FF"/>
                <w:w w:val="83"/>
              </w:rPr>
            </w:pPr>
            <w:hyperlink w:anchor="page37">
              <w:r>
                <w:rPr>
                  <w:rFonts w:ascii="Arial" w:cs="Arial" w:eastAsia="Arial" w:hAnsi="Arial"/>
                  <w:sz w:val="18"/>
                  <w:szCs w:val="18"/>
                  <w:color w:val="0000FF"/>
                  <w:w w:val="83"/>
                </w:rPr>
                <w:t>Controls and Procedures</w:t>
              </w:r>
            </w:hyperlink>
          </w:p>
        </w:tc>
        <w:tc>
          <w:tcPr>
            <w:tcW w:w="2560" w:type="dxa"/>
            <w:vAlign w:val="bottom"/>
            <w:gridSpan w:val="6"/>
          </w:tcPr>
          <w:p>
            <w:pPr>
              <w:spacing w:after="0"/>
              <w:rPr>
                <w:sz w:val="17"/>
                <w:szCs w:val="17"/>
                <w:color w:val="auto"/>
              </w:rPr>
            </w:pPr>
          </w:p>
        </w:tc>
        <w:tc>
          <w:tcPr>
            <w:tcW w:w="5040" w:type="dxa"/>
            <w:vAlign w:val="bottom"/>
            <w:gridSpan w:val="8"/>
          </w:tcPr>
          <w:p>
            <w:pPr>
              <w:spacing w:after="0"/>
              <w:rPr>
                <w:sz w:val="17"/>
                <w:szCs w:val="17"/>
                <w:color w:val="auto"/>
              </w:rPr>
            </w:pPr>
          </w:p>
        </w:tc>
        <w:tc>
          <w:tcPr>
            <w:tcW w:w="720" w:type="dxa"/>
            <w:vAlign w:val="bottom"/>
            <w:gridSpan w:val="3"/>
          </w:tcPr>
          <w:p>
            <w:pPr>
              <w:jc w:val="center"/>
              <w:spacing w:after="0" w:line="205" w:lineRule="exact"/>
              <w:rPr>
                <w:rFonts w:ascii="Arial" w:cs="Arial" w:eastAsia="Arial" w:hAnsi="Arial"/>
                <w:sz w:val="18"/>
                <w:szCs w:val="18"/>
                <w:color w:val="0000FF"/>
                <w:w w:val="89"/>
              </w:rPr>
            </w:pPr>
            <w:hyperlink w:anchor="page37">
              <w:r>
                <w:rPr>
                  <w:rFonts w:ascii="Arial" w:cs="Arial" w:eastAsia="Arial" w:hAnsi="Arial"/>
                  <w:sz w:val="18"/>
                  <w:szCs w:val="18"/>
                  <w:color w:val="0000FF"/>
                  <w:w w:val="89"/>
                </w:rPr>
                <w:t>33</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5060" w:type="dxa"/>
            <w:vAlign w:val="bottom"/>
            <w:gridSpan w:val="9"/>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10360" w:type="dxa"/>
            <w:vAlign w:val="bottom"/>
            <w:gridSpan w:val="2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PART II - OTHER INFORMATION</w:t>
              </w:r>
            </w:hyperlink>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10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500" w:type="dxa"/>
            <w:vAlign w:val="bottom"/>
            <w:tcBorders>
              <w:top w:val="single" w:sz="8" w:color="0000FF"/>
            </w:tcBorders>
            <w:gridSpan w:val="7"/>
          </w:tcPr>
          <w:p>
            <w:pPr>
              <w:spacing w:after="0"/>
              <w:rPr>
                <w:rFonts w:ascii="Arial" w:cs="Arial" w:eastAsia="Arial" w:hAnsi="Arial"/>
                <w:sz w:val="18"/>
                <w:szCs w:val="18"/>
                <w:color w:val="0000FF"/>
                <w:w w:val="99"/>
              </w:rPr>
            </w:pPr>
            <w:hyperlink w:anchor="page39">
              <w:r>
                <w:rPr>
                  <w:rFonts w:ascii="Arial" w:cs="Arial" w:eastAsia="Arial" w:hAnsi="Arial"/>
                  <w:sz w:val="18"/>
                  <w:szCs w:val="18"/>
                  <w:color w:val="0000FF"/>
                  <w:w w:val="99"/>
                </w:rPr>
                <w:t>Legal Proceedings</w:t>
              </w:r>
            </w:hyperlink>
          </w:p>
        </w:tc>
        <w:tc>
          <w:tcPr>
            <w:tcW w:w="720" w:type="dxa"/>
            <w:vAlign w:val="bottom"/>
            <w:gridSpan w:val="3"/>
          </w:tcPr>
          <w:p>
            <w:pPr>
              <w:spacing w:after="0"/>
              <w:rPr>
                <w:sz w:val="24"/>
                <w:szCs w:val="24"/>
                <w:color w:val="auto"/>
              </w:rPr>
            </w:pPr>
          </w:p>
        </w:tc>
        <w:tc>
          <w:tcPr>
            <w:tcW w:w="7060" w:type="dxa"/>
            <w:vAlign w:val="bottom"/>
            <w:gridSpan w:val="12"/>
          </w:tcPr>
          <w:p>
            <w:pPr>
              <w:spacing w:after="0"/>
              <w:rPr>
                <w:sz w:val="24"/>
                <w:szCs w:val="24"/>
                <w:color w:val="auto"/>
              </w:rPr>
            </w:pPr>
          </w:p>
        </w:tc>
        <w:tc>
          <w:tcPr>
            <w:tcW w:w="720" w:type="dxa"/>
            <w:vAlign w:val="bottom"/>
            <w:gridSpan w:val="3"/>
          </w:tcPr>
          <w:p>
            <w:pPr>
              <w:jc w:val="center"/>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34</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5060" w:type="dxa"/>
            <w:vAlign w:val="bottom"/>
            <w:gridSpan w:val="9"/>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line="205" w:lineRule="exact"/>
              <w:rPr>
                <w:sz w:val="20"/>
                <w:szCs w:val="20"/>
                <w:color w:val="auto"/>
              </w:rPr>
            </w:pPr>
            <w:r>
              <w:rPr>
                <w:rFonts w:ascii="Arial" w:cs="Arial" w:eastAsia="Arial" w:hAnsi="Arial"/>
                <w:sz w:val="18"/>
                <w:szCs w:val="18"/>
                <w:color w:val="auto"/>
              </w:rPr>
              <w:t>Item 1A.</w:t>
            </w:r>
          </w:p>
        </w:tc>
        <w:tc>
          <w:tcPr>
            <w:tcW w:w="840" w:type="dxa"/>
            <w:vAlign w:val="bottom"/>
            <w:gridSpan w:val="3"/>
          </w:tcPr>
          <w:p>
            <w:pPr>
              <w:spacing w:after="0" w:line="205" w:lineRule="exact"/>
              <w:rPr>
                <w:rFonts w:ascii="Arial" w:cs="Arial" w:eastAsia="Arial" w:hAnsi="Arial"/>
                <w:sz w:val="18"/>
                <w:szCs w:val="18"/>
                <w:color w:val="0000FF"/>
                <w:w w:val="81"/>
              </w:rPr>
            </w:pPr>
            <w:hyperlink w:anchor="page39">
              <w:r>
                <w:rPr>
                  <w:rFonts w:ascii="Arial" w:cs="Arial" w:eastAsia="Arial" w:hAnsi="Arial"/>
                  <w:sz w:val="18"/>
                  <w:szCs w:val="18"/>
                  <w:color w:val="0000FF"/>
                  <w:w w:val="81"/>
                </w:rPr>
                <w:t>Risk Factors</w:t>
              </w:r>
            </w:hyperlink>
          </w:p>
        </w:tc>
        <w:tc>
          <w:tcPr>
            <w:tcW w:w="1380" w:type="dxa"/>
            <w:vAlign w:val="bottom"/>
            <w:gridSpan w:val="7"/>
          </w:tcPr>
          <w:p>
            <w:pPr>
              <w:spacing w:after="0"/>
              <w:rPr>
                <w:sz w:val="17"/>
                <w:szCs w:val="17"/>
                <w:color w:val="auto"/>
              </w:rPr>
            </w:pPr>
          </w:p>
        </w:tc>
        <w:tc>
          <w:tcPr>
            <w:tcW w:w="7060" w:type="dxa"/>
            <w:vAlign w:val="bottom"/>
            <w:gridSpan w:val="12"/>
          </w:tcPr>
          <w:p>
            <w:pPr>
              <w:spacing w:after="0"/>
              <w:rPr>
                <w:sz w:val="17"/>
                <w:szCs w:val="17"/>
                <w:color w:val="auto"/>
              </w:rPr>
            </w:pPr>
          </w:p>
        </w:tc>
        <w:tc>
          <w:tcPr>
            <w:tcW w:w="720" w:type="dxa"/>
            <w:vAlign w:val="bottom"/>
            <w:gridSpan w:val="3"/>
          </w:tcPr>
          <w:p>
            <w:pPr>
              <w:jc w:val="center"/>
              <w:spacing w:after="0" w:line="205" w:lineRule="exact"/>
              <w:rPr>
                <w:rFonts w:ascii="Arial" w:cs="Arial" w:eastAsia="Arial" w:hAnsi="Arial"/>
                <w:sz w:val="18"/>
                <w:szCs w:val="18"/>
                <w:color w:val="0000FF"/>
                <w:w w:val="89"/>
              </w:rPr>
            </w:pPr>
            <w:hyperlink w:anchor="page39">
              <w:r>
                <w:rPr>
                  <w:rFonts w:ascii="Arial" w:cs="Arial" w:eastAsia="Arial" w:hAnsi="Arial"/>
                  <w:sz w:val="18"/>
                  <w:szCs w:val="18"/>
                  <w:color w:val="0000FF"/>
                  <w:w w:val="89"/>
                </w:rPr>
                <w:t>34</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5060" w:type="dxa"/>
            <w:vAlign w:val="bottom"/>
            <w:gridSpan w:val="9"/>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line="205" w:lineRule="exact"/>
              <w:rPr>
                <w:sz w:val="20"/>
                <w:szCs w:val="20"/>
                <w:color w:val="auto"/>
              </w:rPr>
            </w:pPr>
            <w:r>
              <w:rPr>
                <w:rFonts w:ascii="Arial" w:cs="Arial" w:eastAsia="Arial" w:hAnsi="Arial"/>
                <w:sz w:val="18"/>
                <w:szCs w:val="18"/>
                <w:color w:val="auto"/>
              </w:rPr>
              <w:t>Item 2.</w:t>
            </w:r>
          </w:p>
        </w:tc>
        <w:tc>
          <w:tcPr>
            <w:tcW w:w="4220" w:type="dxa"/>
            <w:vAlign w:val="bottom"/>
            <w:gridSpan w:val="13"/>
          </w:tcPr>
          <w:p>
            <w:pPr>
              <w:spacing w:after="0" w:line="205" w:lineRule="exact"/>
              <w:rPr>
                <w:rFonts w:ascii="Arial" w:cs="Arial" w:eastAsia="Arial" w:hAnsi="Arial"/>
                <w:sz w:val="18"/>
                <w:szCs w:val="18"/>
                <w:color w:val="0000FF"/>
                <w:w w:val="86"/>
              </w:rPr>
            </w:pPr>
            <w:hyperlink w:anchor="page77">
              <w:r>
                <w:rPr>
                  <w:rFonts w:ascii="Arial" w:cs="Arial" w:eastAsia="Arial" w:hAnsi="Arial"/>
                  <w:sz w:val="18"/>
                  <w:szCs w:val="18"/>
                  <w:color w:val="0000FF"/>
                  <w:w w:val="86"/>
                </w:rPr>
                <w:t>Unregistered Sales of Equity Securities and Use of Proceeds</w:t>
              </w:r>
            </w:hyperlink>
          </w:p>
        </w:tc>
        <w:tc>
          <w:tcPr>
            <w:tcW w:w="5060" w:type="dxa"/>
            <w:vAlign w:val="bottom"/>
            <w:gridSpan w:val="9"/>
          </w:tcPr>
          <w:p>
            <w:pPr>
              <w:spacing w:after="0"/>
              <w:rPr>
                <w:sz w:val="17"/>
                <w:szCs w:val="17"/>
                <w:color w:val="auto"/>
              </w:rPr>
            </w:pPr>
          </w:p>
        </w:tc>
        <w:tc>
          <w:tcPr>
            <w:tcW w:w="720" w:type="dxa"/>
            <w:vAlign w:val="bottom"/>
            <w:gridSpan w:val="3"/>
          </w:tcPr>
          <w:p>
            <w:pPr>
              <w:jc w:val="center"/>
              <w:spacing w:after="0" w:line="205" w:lineRule="exact"/>
              <w:rPr>
                <w:rFonts w:ascii="Arial" w:cs="Arial" w:eastAsia="Arial" w:hAnsi="Arial"/>
                <w:sz w:val="18"/>
                <w:szCs w:val="18"/>
                <w:color w:val="0000FF"/>
                <w:w w:val="89"/>
              </w:rPr>
            </w:pPr>
            <w:hyperlink w:anchor="page77">
              <w:r>
                <w:rPr>
                  <w:rFonts w:ascii="Arial" w:cs="Arial" w:eastAsia="Arial" w:hAnsi="Arial"/>
                  <w:sz w:val="18"/>
                  <w:szCs w:val="18"/>
                  <w:color w:val="0000FF"/>
                  <w:w w:val="89"/>
                </w:rPr>
                <w:t>73</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5060" w:type="dxa"/>
            <w:vAlign w:val="bottom"/>
            <w:gridSpan w:val="9"/>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line="205" w:lineRule="exact"/>
              <w:rPr>
                <w:sz w:val="20"/>
                <w:szCs w:val="20"/>
                <w:color w:val="auto"/>
              </w:rPr>
            </w:pPr>
            <w:r>
              <w:rPr>
                <w:rFonts w:ascii="Arial" w:cs="Arial" w:eastAsia="Arial" w:hAnsi="Arial"/>
                <w:sz w:val="18"/>
                <w:szCs w:val="18"/>
                <w:color w:val="auto"/>
              </w:rPr>
              <w:t>Item 3.</w:t>
            </w:r>
          </w:p>
        </w:tc>
        <w:tc>
          <w:tcPr>
            <w:tcW w:w="4220" w:type="dxa"/>
            <w:vAlign w:val="bottom"/>
            <w:gridSpan w:val="13"/>
          </w:tcPr>
          <w:p>
            <w:pPr>
              <w:spacing w:after="0" w:line="205" w:lineRule="exact"/>
              <w:rPr>
                <w:rFonts w:ascii="Arial" w:cs="Arial" w:eastAsia="Arial" w:hAnsi="Arial"/>
                <w:sz w:val="18"/>
                <w:szCs w:val="18"/>
                <w:color w:val="0000FF"/>
              </w:rPr>
            </w:pPr>
            <w:hyperlink w:anchor="page78">
              <w:r>
                <w:rPr>
                  <w:rFonts w:ascii="Arial" w:cs="Arial" w:eastAsia="Arial" w:hAnsi="Arial"/>
                  <w:sz w:val="18"/>
                  <w:szCs w:val="18"/>
                  <w:color w:val="0000FF"/>
                </w:rPr>
                <w:t>Defaults Upon Senior Securities</w:t>
              </w:r>
            </w:hyperlink>
          </w:p>
        </w:tc>
        <w:tc>
          <w:tcPr>
            <w:tcW w:w="5060" w:type="dxa"/>
            <w:vAlign w:val="bottom"/>
            <w:gridSpan w:val="9"/>
          </w:tcPr>
          <w:p>
            <w:pPr>
              <w:spacing w:after="0"/>
              <w:rPr>
                <w:sz w:val="17"/>
                <w:szCs w:val="17"/>
                <w:color w:val="auto"/>
              </w:rPr>
            </w:pPr>
          </w:p>
        </w:tc>
        <w:tc>
          <w:tcPr>
            <w:tcW w:w="720" w:type="dxa"/>
            <w:vAlign w:val="bottom"/>
            <w:gridSpan w:val="3"/>
          </w:tcPr>
          <w:p>
            <w:pPr>
              <w:jc w:val="center"/>
              <w:spacing w:after="0" w:line="205" w:lineRule="exact"/>
              <w:rPr>
                <w:rFonts w:ascii="Arial" w:cs="Arial" w:eastAsia="Arial" w:hAnsi="Arial"/>
                <w:sz w:val="18"/>
                <w:szCs w:val="18"/>
                <w:color w:val="0000FF"/>
                <w:w w:val="89"/>
              </w:rPr>
            </w:pPr>
            <w:hyperlink w:anchor="page78">
              <w:r>
                <w:rPr>
                  <w:rFonts w:ascii="Arial" w:cs="Arial" w:eastAsia="Arial" w:hAnsi="Arial"/>
                  <w:sz w:val="18"/>
                  <w:szCs w:val="18"/>
                  <w:color w:val="0000FF"/>
                  <w:w w:val="89"/>
                </w:rPr>
                <w:t>73</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8040" w:type="dxa"/>
            <w:vAlign w:val="bottom"/>
            <w:gridSpan w:val="18"/>
            <w:shd w:val="clear" w:color="auto" w:fill="0000FF"/>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line="205" w:lineRule="exact"/>
              <w:rPr>
                <w:sz w:val="20"/>
                <w:szCs w:val="20"/>
                <w:color w:val="auto"/>
              </w:rPr>
            </w:pPr>
            <w:r>
              <w:rPr>
                <w:rFonts w:ascii="Arial" w:cs="Arial" w:eastAsia="Arial" w:hAnsi="Arial"/>
                <w:sz w:val="18"/>
                <w:szCs w:val="18"/>
                <w:color w:val="auto"/>
              </w:rPr>
              <w:t>Item 4.</w:t>
            </w:r>
          </w:p>
        </w:tc>
        <w:tc>
          <w:tcPr>
            <w:tcW w:w="9280" w:type="dxa"/>
            <w:vAlign w:val="bottom"/>
            <w:gridSpan w:val="22"/>
          </w:tcPr>
          <w:p>
            <w:pPr>
              <w:spacing w:after="0" w:line="205" w:lineRule="exact"/>
              <w:rPr>
                <w:rFonts w:ascii="Arial" w:cs="Arial" w:eastAsia="Arial" w:hAnsi="Arial"/>
                <w:sz w:val="18"/>
                <w:szCs w:val="18"/>
                <w:color w:val="0000FF"/>
              </w:rPr>
            </w:pPr>
            <w:hyperlink w:anchor="page78">
              <w:r>
                <w:rPr>
                  <w:rFonts w:ascii="Arial" w:cs="Arial" w:eastAsia="Arial" w:hAnsi="Arial"/>
                  <w:sz w:val="18"/>
                  <w:szCs w:val="18"/>
                  <w:color w:val="0000FF"/>
                </w:rPr>
                <w:t>Mine Safety Disclosures</w:t>
              </w:r>
            </w:hyperlink>
          </w:p>
        </w:tc>
        <w:tc>
          <w:tcPr>
            <w:tcW w:w="720" w:type="dxa"/>
            <w:vAlign w:val="bottom"/>
            <w:gridSpan w:val="3"/>
          </w:tcPr>
          <w:p>
            <w:pPr>
              <w:jc w:val="center"/>
              <w:spacing w:after="0" w:line="205" w:lineRule="exact"/>
              <w:rPr>
                <w:rFonts w:ascii="Arial" w:cs="Arial" w:eastAsia="Arial" w:hAnsi="Arial"/>
                <w:sz w:val="18"/>
                <w:szCs w:val="18"/>
                <w:color w:val="0000FF"/>
                <w:w w:val="89"/>
              </w:rPr>
            </w:pPr>
            <w:hyperlink w:anchor="page78">
              <w:r>
                <w:rPr>
                  <w:rFonts w:ascii="Arial" w:cs="Arial" w:eastAsia="Arial" w:hAnsi="Arial"/>
                  <w:sz w:val="18"/>
                  <w:szCs w:val="18"/>
                  <w:color w:val="0000FF"/>
                  <w:w w:val="89"/>
                </w:rPr>
                <w:t>73</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8040" w:type="dxa"/>
            <w:vAlign w:val="bottom"/>
            <w:gridSpan w:val="18"/>
            <w:shd w:val="clear" w:color="auto" w:fill="0000FF"/>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line="205" w:lineRule="exact"/>
              <w:rPr>
                <w:sz w:val="20"/>
                <w:szCs w:val="20"/>
                <w:color w:val="auto"/>
              </w:rPr>
            </w:pPr>
            <w:r>
              <w:rPr>
                <w:rFonts w:ascii="Arial" w:cs="Arial" w:eastAsia="Arial" w:hAnsi="Arial"/>
                <w:sz w:val="18"/>
                <w:szCs w:val="18"/>
                <w:color w:val="auto"/>
              </w:rPr>
              <w:t>Item 5.</w:t>
            </w:r>
          </w:p>
        </w:tc>
        <w:tc>
          <w:tcPr>
            <w:tcW w:w="1240" w:type="dxa"/>
            <w:vAlign w:val="bottom"/>
            <w:gridSpan w:val="4"/>
          </w:tcPr>
          <w:p>
            <w:pPr>
              <w:spacing w:after="0" w:line="205" w:lineRule="exact"/>
              <w:rPr>
                <w:rFonts w:ascii="Arial" w:cs="Arial" w:eastAsia="Arial" w:hAnsi="Arial"/>
                <w:sz w:val="18"/>
                <w:szCs w:val="18"/>
                <w:color w:val="0000FF"/>
                <w:w w:val="87"/>
              </w:rPr>
            </w:pPr>
            <w:hyperlink w:anchor="page78">
              <w:r>
                <w:rPr>
                  <w:rFonts w:ascii="Arial" w:cs="Arial" w:eastAsia="Arial" w:hAnsi="Arial"/>
                  <w:sz w:val="18"/>
                  <w:szCs w:val="18"/>
                  <w:color w:val="0000FF"/>
                  <w:w w:val="87"/>
                </w:rPr>
                <w:t>Other Information</w:t>
              </w:r>
            </w:hyperlink>
          </w:p>
        </w:tc>
        <w:tc>
          <w:tcPr>
            <w:tcW w:w="8040" w:type="dxa"/>
            <w:vAlign w:val="bottom"/>
            <w:gridSpan w:val="18"/>
          </w:tcPr>
          <w:p>
            <w:pPr>
              <w:spacing w:after="0"/>
              <w:rPr>
                <w:sz w:val="17"/>
                <w:szCs w:val="17"/>
                <w:color w:val="auto"/>
              </w:rPr>
            </w:pPr>
          </w:p>
        </w:tc>
        <w:tc>
          <w:tcPr>
            <w:tcW w:w="720" w:type="dxa"/>
            <w:vAlign w:val="bottom"/>
            <w:gridSpan w:val="3"/>
          </w:tcPr>
          <w:p>
            <w:pPr>
              <w:jc w:val="center"/>
              <w:spacing w:after="0" w:line="205" w:lineRule="exact"/>
              <w:rPr>
                <w:rFonts w:ascii="Arial" w:cs="Arial" w:eastAsia="Arial" w:hAnsi="Arial"/>
                <w:sz w:val="18"/>
                <w:szCs w:val="18"/>
                <w:color w:val="0000FF"/>
                <w:w w:val="89"/>
              </w:rPr>
            </w:pPr>
            <w:hyperlink w:anchor="page78">
              <w:r>
                <w:rPr>
                  <w:rFonts w:ascii="Arial" w:cs="Arial" w:eastAsia="Arial" w:hAnsi="Arial"/>
                  <w:sz w:val="18"/>
                  <w:szCs w:val="18"/>
                  <w:color w:val="0000FF"/>
                  <w:w w:val="89"/>
                </w:rPr>
                <w:t>73</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8040" w:type="dxa"/>
            <w:vAlign w:val="bottom"/>
            <w:gridSpan w:val="18"/>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80" w:type="dxa"/>
            <w:vAlign w:val="bottom"/>
          </w:tcPr>
          <w:p>
            <w:pPr>
              <w:spacing w:after="0" w:line="205" w:lineRule="exact"/>
              <w:rPr>
                <w:sz w:val="20"/>
                <w:szCs w:val="20"/>
                <w:color w:val="auto"/>
              </w:rPr>
            </w:pPr>
            <w:r>
              <w:rPr>
                <w:rFonts w:ascii="Arial" w:cs="Arial" w:eastAsia="Arial" w:hAnsi="Arial"/>
                <w:sz w:val="18"/>
                <w:szCs w:val="18"/>
                <w:color w:val="auto"/>
              </w:rPr>
              <w:t>Item 6.</w:t>
            </w:r>
          </w:p>
        </w:tc>
        <w:tc>
          <w:tcPr>
            <w:tcW w:w="540" w:type="dxa"/>
            <w:vAlign w:val="bottom"/>
          </w:tcPr>
          <w:p>
            <w:pPr>
              <w:spacing w:after="0" w:line="205" w:lineRule="exact"/>
              <w:rPr>
                <w:rFonts w:ascii="Arial" w:cs="Arial" w:eastAsia="Arial" w:hAnsi="Arial"/>
                <w:sz w:val="18"/>
                <w:szCs w:val="18"/>
                <w:color w:val="0000FF"/>
                <w:w w:val="82"/>
              </w:rPr>
            </w:pPr>
            <w:hyperlink w:anchor="page78">
              <w:r>
                <w:rPr>
                  <w:rFonts w:ascii="Arial" w:cs="Arial" w:eastAsia="Arial" w:hAnsi="Arial"/>
                  <w:sz w:val="18"/>
                  <w:szCs w:val="18"/>
                  <w:color w:val="0000FF"/>
                  <w:w w:val="82"/>
                </w:rPr>
                <w:t>Exhibits</w:t>
              </w:r>
            </w:hyperlink>
          </w:p>
        </w:tc>
        <w:tc>
          <w:tcPr>
            <w:tcW w:w="700" w:type="dxa"/>
            <w:vAlign w:val="bottom"/>
            <w:gridSpan w:val="3"/>
          </w:tcPr>
          <w:p>
            <w:pPr>
              <w:spacing w:after="0"/>
              <w:rPr>
                <w:sz w:val="17"/>
                <w:szCs w:val="17"/>
                <w:color w:val="auto"/>
              </w:rPr>
            </w:pPr>
          </w:p>
        </w:tc>
        <w:tc>
          <w:tcPr>
            <w:tcW w:w="8040" w:type="dxa"/>
            <w:vAlign w:val="bottom"/>
            <w:gridSpan w:val="18"/>
          </w:tcPr>
          <w:p>
            <w:pPr>
              <w:spacing w:after="0"/>
              <w:rPr>
                <w:sz w:val="17"/>
                <w:szCs w:val="17"/>
                <w:color w:val="auto"/>
              </w:rPr>
            </w:pPr>
          </w:p>
        </w:tc>
        <w:tc>
          <w:tcPr>
            <w:tcW w:w="720" w:type="dxa"/>
            <w:vAlign w:val="bottom"/>
            <w:gridSpan w:val="3"/>
          </w:tcPr>
          <w:p>
            <w:pPr>
              <w:jc w:val="center"/>
              <w:spacing w:after="0" w:line="205" w:lineRule="exact"/>
              <w:rPr>
                <w:rFonts w:ascii="Arial" w:cs="Arial" w:eastAsia="Arial" w:hAnsi="Arial"/>
                <w:sz w:val="18"/>
                <w:szCs w:val="18"/>
                <w:color w:val="0000FF"/>
                <w:w w:val="89"/>
              </w:rPr>
            </w:pPr>
            <w:hyperlink w:anchor="page78">
              <w:r>
                <w:rPr>
                  <w:rFonts w:ascii="Arial" w:cs="Arial" w:eastAsia="Arial" w:hAnsi="Arial"/>
                  <w:sz w:val="18"/>
                  <w:szCs w:val="18"/>
                  <w:color w:val="0000FF"/>
                  <w:w w:val="89"/>
                </w:rPr>
                <w:t>74</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740" w:type="dxa"/>
            <w:vAlign w:val="bottom"/>
            <w:gridSpan w:val="21"/>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10360" w:type="dxa"/>
            <w:vAlign w:val="bottom"/>
            <w:gridSpan w:val="23"/>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SIGNATURES</w:t>
              </w:r>
            </w:hyperlink>
          </w:p>
        </w:tc>
        <w:tc>
          <w:tcPr>
            <w:tcW w:w="720" w:type="dxa"/>
            <w:vAlign w:val="bottom"/>
            <w:gridSpan w:val="3"/>
          </w:tcPr>
          <w:p>
            <w:pPr>
              <w:jc w:val="center"/>
              <w:spacing w:after="0"/>
              <w:rPr>
                <w:rFonts w:ascii="Arial" w:cs="Arial" w:eastAsia="Arial" w:hAnsi="Arial"/>
                <w:sz w:val="18"/>
                <w:szCs w:val="18"/>
                <w:color w:val="0000FF"/>
                <w:w w:val="89"/>
              </w:rPr>
            </w:pPr>
            <w:hyperlink w:anchor="page80">
              <w:r>
                <w:rPr>
                  <w:rFonts w:ascii="Arial" w:cs="Arial" w:eastAsia="Arial" w:hAnsi="Arial"/>
                  <w:sz w:val="18"/>
                  <w:szCs w:val="18"/>
                  <w:color w:val="0000FF"/>
                  <w:w w:val="89"/>
                </w:rPr>
                <w:t>76</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40" w:top="1440" w:right="479" w:bottom="1440" w:gutter="0" w:footer="0" w:header="0"/>
        </w:sectPr>
      </w:pPr>
    </w:p>
    <w:bookmarkStart w:id="3" w:name="page4"/>
    <w:bookmarkEnd w:id="3"/>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0" w:lineRule="exact"/>
        <w:rPr>
          <w:sz w:val="20"/>
          <w:szCs w:val="20"/>
          <w:color w:val="auto"/>
        </w:rPr>
      </w:pPr>
    </w:p>
    <w:p>
      <w:pPr>
        <w:jc w:val="both"/>
        <w:ind w:right="40" w:firstLine="318"/>
        <w:spacing w:after="0" w:line="250"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The forward-looking statements are contained principally in the section entitled “Risk Factors” and “Management’s Discussion and Analysis of Financial Condition and Results of Operations.” Forward-looking statements include, but are not limited to, statements concerning the following:</w:t>
      </w:r>
    </w:p>
    <w:p>
      <w:pPr>
        <w:spacing w:after="0" w:line="141" w:lineRule="exact"/>
        <w:rPr>
          <w:sz w:val="20"/>
          <w:szCs w:val="20"/>
          <w:color w:val="auto"/>
        </w:rPr>
      </w:pPr>
    </w:p>
    <w:p>
      <w:pPr>
        <w:ind w:right="620" w:firstLine="324"/>
        <w:spacing w:after="0" w:line="264" w:lineRule="auto"/>
        <w:tabs>
          <w:tab w:leader="none" w:pos="631"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the success of our proteomics platform (the “Nautilus Platform”), which remains in the development stage and subject to scientific and technical validation;</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and progress of the development of the Nautilus Platform;</w:t>
      </w:r>
    </w:p>
    <w:p>
      <w:pPr>
        <w:spacing w:after="0" w:line="164" w:lineRule="exact"/>
        <w:rPr>
          <w:rFonts w:ascii="Arial" w:cs="Arial" w:eastAsia="Arial" w:hAnsi="Arial"/>
          <w:sz w:val="18"/>
          <w:szCs w:val="18"/>
          <w:color w:val="auto"/>
        </w:rPr>
      </w:pPr>
    </w:p>
    <w:p>
      <w:pPr>
        <w:ind w:right="220" w:firstLine="324"/>
        <w:spacing w:after="0" w:line="264" w:lineRule="auto"/>
        <w:tabs>
          <w:tab w:leader="none" w:pos="631"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our addressable market, market growth, future revenue, key performance indicators, expenses, capital requirements and needs for additional financing;</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rate and degree of market acceptance of the Nautilus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Nautilus Platform on the field of proteomics and the size and growth of the addressable proteomics market;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and grow our business and commercialize our Nautilus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three phase commercial launch plan;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the Nautilus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or defend claims of infringement;</w:t>
      </w:r>
    </w:p>
    <w:p>
      <w:pPr>
        <w:spacing w:after="0" w:line="164" w:lineRule="exact"/>
        <w:rPr>
          <w:rFonts w:ascii="Arial" w:cs="Arial" w:eastAsia="Arial" w:hAnsi="Arial"/>
          <w:sz w:val="18"/>
          <w:szCs w:val="18"/>
          <w:color w:val="auto"/>
        </w:rPr>
      </w:pPr>
    </w:p>
    <w:p>
      <w:pPr>
        <w:ind w:right="200" w:firstLine="324"/>
        <w:spacing w:after="0" w:line="264" w:lineRule="auto"/>
        <w:tabs>
          <w:tab w:leader="none" w:pos="631"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related to the Business Combination, as defined in Part I, Item 1, Note 3, “Reverse Recapitalization,” in our notes to condensed consolidated financial statements in this Quarterly Report on Form 10-Q;</w:t>
      </w:r>
    </w:p>
    <w:p>
      <w:pPr>
        <w:spacing w:after="0" w:line="127" w:lineRule="exact"/>
        <w:rPr>
          <w:rFonts w:ascii="Arial" w:cs="Arial" w:eastAsia="Arial" w:hAnsi="Arial"/>
          <w:sz w:val="18"/>
          <w:szCs w:val="18"/>
          <w:color w:val="auto"/>
        </w:rPr>
      </w:pPr>
    </w:p>
    <w:p>
      <w:pPr>
        <w:ind w:firstLine="324"/>
        <w:spacing w:after="0" w:line="264" w:lineRule="auto"/>
        <w:tabs>
          <w:tab w:leader="none" w:pos="631"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the Business Combination, which may be affected by, among other things, competition, our ability to grow and manage future growth effectively, and our ability to retain our key employees;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use of proceeds from the Business Combination;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third-party manufacturers and suppliers;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or other key personnel;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commercialize new products;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about market trends;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local, regional, national and international economic conditions and events;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COVID-19 on the foregoing;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60"/>
          </w:cols>
          <w:pgMar w:left="320" w:top="1440" w:right="419" w:bottom="1440" w:gutter="0" w:footer="0" w:header="0"/>
        </w:sectPr>
      </w:pPr>
    </w:p>
    <w:bookmarkStart w:id="4" w:name="page5"/>
    <w:bookmarkEnd w:id="4"/>
    <w:p>
      <w:pPr>
        <w:spacing w:after="0" w:line="119"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including but not limited to those detailed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64" w:lineRule="exact"/>
        <w:rPr>
          <w:sz w:val="20"/>
          <w:szCs w:val="20"/>
          <w:color w:val="auto"/>
        </w:rPr>
      </w:pPr>
    </w:p>
    <w:p>
      <w:pPr>
        <w:jc w:val="both"/>
        <w:ind w:right="440" w:firstLine="318"/>
        <w:spacing w:after="0" w:line="255" w:lineRule="auto"/>
        <w:rPr>
          <w:sz w:val="20"/>
          <w:szCs w:val="20"/>
          <w:color w:val="auto"/>
        </w:rPr>
      </w:pPr>
      <w:r>
        <w:rPr>
          <w:rFonts w:ascii="Arial" w:cs="Arial" w:eastAsia="Arial" w:hAnsi="Arial"/>
          <w:sz w:val="18"/>
          <w:szCs w:val="18"/>
          <w:color w:val="auto"/>
        </w:rPr>
        <w:t>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35" w:lineRule="exact"/>
        <w:rPr>
          <w:sz w:val="20"/>
          <w:szCs w:val="20"/>
          <w:color w:val="auto"/>
        </w:rPr>
      </w:pPr>
    </w:p>
    <w:p>
      <w:pPr>
        <w:ind w:right="200" w:firstLine="318"/>
        <w:spacing w:after="0" w:line="305" w:lineRule="auto"/>
        <w:rPr>
          <w:sz w:val="20"/>
          <w:szCs w:val="20"/>
          <w:color w:val="auto"/>
        </w:rPr>
      </w:pPr>
      <w:r>
        <w:rPr>
          <w:rFonts w:ascii="Arial" w:cs="Arial" w:eastAsia="Arial" w:hAnsi="Arial"/>
          <w:sz w:val="15"/>
          <w:szCs w:val="15"/>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Quarterly Report on Form 10-Q.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01" w:lineRule="exact"/>
        <w:rPr>
          <w:sz w:val="20"/>
          <w:szCs w:val="20"/>
          <w:color w:val="auto"/>
        </w:rPr>
      </w:pPr>
    </w:p>
    <w:p>
      <w:pPr>
        <w:ind w:right="100" w:firstLine="318"/>
        <w:spacing w:after="0" w:line="277" w:lineRule="auto"/>
        <w:rPr>
          <w:sz w:val="20"/>
          <w:szCs w:val="20"/>
          <w:color w:val="auto"/>
        </w:rPr>
      </w:pPr>
      <w:r>
        <w:rPr>
          <w:rFonts w:ascii="Arial" w:cs="Arial" w:eastAsia="Arial" w:hAnsi="Arial"/>
          <w:sz w:val="17"/>
          <w:szCs w:val="17"/>
          <w:color w:val="auto"/>
        </w:rPr>
        <w:t>The forward-looking statements made in this Quarterly Report on Form 10-Q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118"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This Quarterly Report on Form 10-Q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98"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This Quarterly Report on Form 10-Q contains references to trademarks and service marks belonging to other entities. Solely for convenience, trademarks and trade names referred to in this Quarterly Report on Form 10-Q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 FINANCIAL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20"/>
          </w:cols>
          <w:pgMar w:left="320" w:top="1440" w:right="359" w:bottom="1440" w:gutter="0" w:footer="0" w:header="0"/>
        </w:sectPr>
      </w:pPr>
    </w:p>
    <w:bookmarkStart w:id="5" w:name="page6"/>
    <w:bookmarkEnd w:id="5"/>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Condensed Consolidated Balance Sheets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As of June 30, 2021 and December 31,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32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320" w:type="dxa"/>
            <w:vAlign w:val="bottom"/>
          </w:tcPr>
          <w:p>
            <w:pPr>
              <w:jc w:val="right"/>
              <w:ind w:right="27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4"/>
        </w:trPr>
        <w:tc>
          <w:tcPr>
            <w:tcW w:w="8020" w:type="dxa"/>
            <w:vAlign w:val="bottom"/>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7"/>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288,387</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36,607</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40"/>
              <w:spacing w:after="0" w:line="205" w:lineRule="exact"/>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77,659</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 term assets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240"/>
              <w:spacing w:after="0" w:line="204" w:lineRule="exact"/>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393,275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85,011</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Liabilities, Redeemable Convertible Preferred Stock, and Stockholders’ Equity (Deficit)</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operating lease liability</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18"/>
        </w:trPr>
        <w:tc>
          <w:tcPr>
            <w:tcW w:w="8020" w:type="dxa"/>
            <w:vAlign w:val="bottom"/>
          </w:tcPr>
          <w:p>
            <w:pPr>
              <w:ind w:left="240"/>
              <w:spacing w:after="0" w:line="204" w:lineRule="exact"/>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liability, net of current portion</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18"/>
        </w:trPr>
        <w:tc>
          <w:tcPr>
            <w:tcW w:w="802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6,314</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2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Commitments and contingencies (Note 10)</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8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020" w:type="dxa"/>
            <w:vAlign w:val="bottom"/>
          </w:tcPr>
          <w:p>
            <w:pPr>
              <w:ind w:left="20"/>
              <w:spacing w:after="0" w:line="173" w:lineRule="exact"/>
              <w:rPr>
                <w:sz w:val="20"/>
                <w:szCs w:val="20"/>
                <w:color w:val="auto"/>
              </w:rPr>
            </w:pPr>
            <w:r>
              <w:rPr>
                <w:rFonts w:ascii="Arial" w:cs="Arial" w:eastAsia="Arial" w:hAnsi="Arial"/>
                <w:sz w:val="18"/>
                <w:szCs w:val="18"/>
                <w:color w:val="auto"/>
                <w:w w:val="90"/>
              </w:rPr>
              <w:t>Series Seed redeemable convertible preferred stock - par value $0.0001, 0 and 13,174,805 shares authorized,</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tcPr>
          <w:p>
            <w:pPr>
              <w:ind w:left="180"/>
              <w:spacing w:after="0" w:line="172" w:lineRule="exact"/>
              <w:rPr>
                <w:sz w:val="20"/>
                <w:szCs w:val="20"/>
                <w:color w:val="auto"/>
              </w:rPr>
            </w:pPr>
            <w:r>
              <w:rPr>
                <w:rFonts w:ascii="Arial" w:cs="Arial" w:eastAsia="Arial" w:hAnsi="Arial"/>
                <w:sz w:val="18"/>
                <w:szCs w:val="18"/>
                <w:color w:val="auto"/>
                <w:w w:val="88"/>
              </w:rPr>
              <w:t>issued and outstanding as of June 30, 2021 and December 31, 2020, respectively (liquidation preference of $0</w:t>
            </w:r>
          </w:p>
        </w:tc>
        <w:tc>
          <w:tcPr>
            <w:tcW w:w="320" w:type="dxa"/>
            <w:vAlign w:val="bottom"/>
          </w:tcPr>
          <w:p>
            <w:pPr>
              <w:spacing w:after="0"/>
              <w:rPr>
                <w:sz w:val="14"/>
                <w:szCs w:val="14"/>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24"/>
        </w:trPr>
        <w:tc>
          <w:tcPr>
            <w:tcW w:w="8020" w:type="dxa"/>
            <w:vAlign w:val="bottom"/>
          </w:tcPr>
          <w:p>
            <w:pPr>
              <w:ind w:left="180"/>
              <w:spacing w:after="0"/>
              <w:rPr>
                <w:sz w:val="20"/>
                <w:szCs w:val="20"/>
                <w:color w:val="auto"/>
              </w:rPr>
            </w:pPr>
            <w:r>
              <w:rPr>
                <w:rFonts w:ascii="Arial" w:cs="Arial" w:eastAsia="Arial" w:hAnsi="Arial"/>
                <w:sz w:val="18"/>
                <w:szCs w:val="18"/>
                <w:color w:val="auto"/>
              </w:rPr>
              <w:t>and $7,263 as of June 30, 2021 and December 31, 2020, respectively)</w:t>
            </w:r>
          </w:p>
        </w:tc>
        <w:tc>
          <w:tcPr>
            <w:tcW w:w="32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0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88"/>
              </w:rPr>
              <w:t>Series A redeemable convertible preferred stock - par value $0.0001, 0 and 16,836,436 shares authorized, issued</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180"/>
              <w:spacing w:after="0" w:line="172" w:lineRule="exact"/>
              <w:rPr>
                <w:sz w:val="20"/>
                <w:szCs w:val="20"/>
                <w:color w:val="auto"/>
              </w:rPr>
            </w:pPr>
            <w:r>
              <w:rPr>
                <w:rFonts w:ascii="Arial" w:cs="Arial" w:eastAsia="Arial" w:hAnsi="Arial"/>
                <w:sz w:val="18"/>
                <w:szCs w:val="18"/>
                <w:color w:val="auto"/>
                <w:w w:val="91"/>
              </w:rPr>
              <w:t>and outstanding as of June 30, 2021 and December 31, 2020, respectively (liquidation preference of $0 and</w:t>
            </w:r>
          </w:p>
        </w:tc>
        <w:tc>
          <w:tcPr>
            <w:tcW w:w="3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27,067</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$27,200 as of June 30, 2021 and December 31, 2020, respectively)</w:t>
            </w:r>
          </w:p>
        </w:tc>
        <w:tc>
          <w:tcPr>
            <w:tcW w:w="32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020" w:type="dxa"/>
            <w:vAlign w:val="bottom"/>
          </w:tcPr>
          <w:p>
            <w:pPr>
              <w:ind w:left="20"/>
              <w:spacing w:after="0" w:line="173" w:lineRule="exact"/>
              <w:rPr>
                <w:sz w:val="20"/>
                <w:szCs w:val="20"/>
                <w:color w:val="auto"/>
              </w:rPr>
            </w:pPr>
            <w:r>
              <w:rPr>
                <w:rFonts w:ascii="Arial" w:cs="Arial" w:eastAsia="Arial" w:hAnsi="Arial"/>
                <w:sz w:val="18"/>
                <w:szCs w:val="18"/>
                <w:color w:val="auto"/>
                <w:w w:val="89"/>
              </w:rPr>
              <w:t>Series B redeemable convertible preferred stock - par value $0.0001, 0 and 22,527,535 shares authorized as of</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tcPr>
          <w:p>
            <w:pPr>
              <w:ind w:left="180"/>
              <w:spacing w:after="0" w:line="172" w:lineRule="exact"/>
              <w:rPr>
                <w:sz w:val="20"/>
                <w:szCs w:val="20"/>
                <w:color w:val="auto"/>
              </w:rPr>
            </w:pPr>
            <w:r>
              <w:rPr>
                <w:rFonts w:ascii="Arial" w:cs="Arial" w:eastAsia="Arial" w:hAnsi="Arial"/>
                <w:sz w:val="18"/>
                <w:szCs w:val="18"/>
                <w:color w:val="auto"/>
                <w:w w:val="90"/>
              </w:rPr>
              <w:t>June 30, 2021 and December 31, 2020, respectively; 0 and 22,164,724 shares issued and outstanding as of</w:t>
            </w: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020" w:type="dxa"/>
            <w:vAlign w:val="bottom"/>
          </w:tcPr>
          <w:p>
            <w:pPr>
              <w:ind w:left="180"/>
              <w:spacing w:after="0" w:line="172" w:lineRule="exact"/>
              <w:rPr>
                <w:sz w:val="20"/>
                <w:szCs w:val="20"/>
                <w:color w:val="auto"/>
              </w:rPr>
            </w:pPr>
            <w:r>
              <w:rPr>
                <w:rFonts w:ascii="Arial" w:cs="Arial" w:eastAsia="Arial" w:hAnsi="Arial"/>
                <w:sz w:val="18"/>
                <w:szCs w:val="18"/>
                <w:color w:val="auto"/>
                <w:w w:val="90"/>
              </w:rPr>
              <w:t>June 30, 2021 and December 31, 2020, respectively (liquidation preference of $0 and $76,060 as of June 30,</w:t>
            </w:r>
          </w:p>
        </w:tc>
        <w:tc>
          <w:tcPr>
            <w:tcW w:w="320" w:type="dxa"/>
            <w:vAlign w:val="bottom"/>
          </w:tcPr>
          <w:p>
            <w:pPr>
              <w:spacing w:after="0"/>
              <w:rPr>
                <w:sz w:val="14"/>
                <w:szCs w:val="14"/>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75,857</w:t>
            </w:r>
          </w:p>
        </w:tc>
        <w:tc>
          <w:tcPr>
            <w:tcW w:w="0" w:type="dxa"/>
            <w:vAlign w:val="bottom"/>
          </w:tcPr>
          <w:p>
            <w:pPr>
              <w:spacing w:after="0"/>
              <w:rPr>
                <w:sz w:val="1"/>
                <w:szCs w:val="1"/>
                <w:color w:val="auto"/>
              </w:rPr>
            </w:pPr>
          </w:p>
        </w:tc>
      </w:tr>
      <w:tr>
        <w:trPr>
          <w:trHeight w:val="224"/>
        </w:trPr>
        <w:tc>
          <w:tcPr>
            <w:tcW w:w="8020" w:type="dxa"/>
            <w:vAlign w:val="bottom"/>
          </w:tcPr>
          <w:p>
            <w:pPr>
              <w:ind w:left="180"/>
              <w:spacing w:after="0"/>
              <w:rPr>
                <w:sz w:val="20"/>
                <w:szCs w:val="20"/>
                <w:color w:val="auto"/>
              </w:rPr>
            </w:pPr>
            <w:r>
              <w:rPr>
                <w:rFonts w:ascii="Arial" w:cs="Arial" w:eastAsia="Arial" w:hAnsi="Arial"/>
                <w:sz w:val="18"/>
                <w:szCs w:val="18"/>
                <w:color w:val="auto"/>
              </w:rPr>
              <w:t>2021 and December 31, 2020, respectively)</w:t>
            </w:r>
          </w:p>
        </w:tc>
        <w:tc>
          <w:tcPr>
            <w:tcW w:w="32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80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020" w:type="dxa"/>
            <w:vAlign w:val="bottom"/>
            <w:shd w:val="clear" w:color="auto" w:fill="CCEEFF"/>
          </w:tcPr>
          <w:p>
            <w:pPr>
              <w:ind w:left="100"/>
              <w:spacing w:after="0" w:line="174" w:lineRule="exact"/>
              <w:rPr>
                <w:sz w:val="20"/>
                <w:szCs w:val="20"/>
                <w:color w:val="auto"/>
              </w:rPr>
            </w:pPr>
            <w:r>
              <w:rPr>
                <w:rFonts w:ascii="Arial" w:cs="Arial" w:eastAsia="Arial" w:hAnsi="Arial"/>
                <w:sz w:val="18"/>
                <w:szCs w:val="18"/>
                <w:color w:val="auto"/>
                <w:w w:val="88"/>
              </w:rPr>
              <w:t>Preferred stock, $0.0001 par value, 200,000,000 and 0 shares authorized, issued and outstanding as of June 30,</w:t>
            </w:r>
          </w:p>
        </w:tc>
        <w:tc>
          <w:tcPr>
            <w:tcW w:w="32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2021 and December 31, 2020, respectively</w:t>
            </w:r>
          </w:p>
        </w:tc>
        <w:tc>
          <w:tcPr>
            <w:tcW w:w="32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020" w:type="dxa"/>
            <w:vAlign w:val="bottom"/>
          </w:tcPr>
          <w:p>
            <w:pPr>
              <w:ind w:left="100"/>
              <w:spacing w:after="0" w:line="173" w:lineRule="exact"/>
              <w:rPr>
                <w:sz w:val="20"/>
                <w:szCs w:val="20"/>
                <w:color w:val="auto"/>
              </w:rPr>
            </w:pPr>
            <w:r>
              <w:rPr>
                <w:rFonts w:ascii="Arial" w:cs="Arial" w:eastAsia="Arial" w:hAnsi="Arial"/>
                <w:sz w:val="18"/>
                <w:szCs w:val="18"/>
                <w:color w:val="auto"/>
                <w:w w:val="90"/>
              </w:rPr>
              <w:t>Common stock, $0.0001 par value, 1,000,000,000 and 98,672,620 shares authorized as of June 30, 2021 and</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20" w:type="dxa"/>
            <w:vAlign w:val="bottom"/>
          </w:tcPr>
          <w:p>
            <w:pPr>
              <w:ind w:left="260"/>
              <w:spacing w:after="0" w:line="172" w:lineRule="exact"/>
              <w:rPr>
                <w:sz w:val="20"/>
                <w:szCs w:val="20"/>
                <w:color w:val="auto"/>
              </w:rPr>
            </w:pPr>
            <w:r>
              <w:rPr>
                <w:rFonts w:ascii="Arial" w:cs="Arial" w:eastAsia="Arial" w:hAnsi="Arial"/>
                <w:sz w:val="18"/>
                <w:szCs w:val="18"/>
                <w:color w:val="auto"/>
                <w:w w:val="88"/>
              </w:rPr>
              <w:t>December 31, 2020, respectively; 124,094,390 and 33,069,513 shares issued and outstanding as of June 30,</w:t>
            </w:r>
          </w:p>
        </w:tc>
        <w:tc>
          <w:tcPr>
            <w:tcW w:w="3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8020" w:type="dxa"/>
            <w:vAlign w:val="bottom"/>
          </w:tcPr>
          <w:p>
            <w:pPr>
              <w:ind w:left="260"/>
              <w:spacing w:after="0"/>
              <w:rPr>
                <w:sz w:val="20"/>
                <w:szCs w:val="20"/>
                <w:color w:val="auto"/>
              </w:rPr>
            </w:pPr>
            <w:r>
              <w:rPr>
                <w:rFonts w:ascii="Arial" w:cs="Arial" w:eastAsia="Arial" w:hAnsi="Arial"/>
                <w:sz w:val="18"/>
                <w:szCs w:val="18"/>
                <w:color w:val="auto"/>
              </w:rPr>
              <w:t>2021 and December 31, 2020, respectively</w:t>
            </w:r>
          </w:p>
        </w:tc>
        <w:tc>
          <w:tcPr>
            <w:tcW w:w="3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Accumulated other comprehensive income (loss)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(49,447)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(30,325)</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240"/>
              <w:spacing w:after="0" w:line="204" w:lineRule="exact"/>
              <w:rPr>
                <w:sz w:val="20"/>
                <w:szCs w:val="20"/>
                <w:color w:val="auto"/>
              </w:rPr>
            </w:pPr>
            <w:r>
              <w:rPr>
                <w:rFonts w:ascii="Arial" w:cs="Arial" w:eastAsia="Arial" w:hAnsi="Arial"/>
                <w:sz w:val="18"/>
                <w:szCs w:val="18"/>
                <w:color w:val="auto"/>
              </w:rPr>
              <w:t>Total stockholders’ equity (deficit)</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390,044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(29,721)</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redeemable convertible preferred stock and stockholders’ equity (deficit)</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393,275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85,011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78" w:right="339" w:bottom="1440" w:gutter="0" w:footer="0" w:header="0"/>
        </w:sectPr>
      </w:pPr>
    </w:p>
    <w:bookmarkStart w:id="6" w:name="page7"/>
    <w:bookmarkEnd w:id="6"/>
    <w:p>
      <w:pPr>
        <w:ind w:left="20"/>
        <w:spacing w:after="0"/>
        <w:rPr>
          <w:sz w:val="20"/>
          <w:szCs w:val="20"/>
          <w:color w:val="auto"/>
        </w:rPr>
      </w:pPr>
      <w:r>
        <w:rPr>
          <w:rFonts w:ascii="Arial" w:cs="Arial" w:eastAsia="Arial" w:hAnsi="Arial"/>
          <w:sz w:val="21"/>
          <w:szCs w:val="21"/>
          <w:b w:val="1"/>
          <w:bCs w:val="1"/>
          <w:color w:val="auto"/>
        </w:rPr>
        <w:t>Nautilus Biotechnology, Inc.</w:t>
      </w:r>
    </w:p>
    <w:p>
      <w:pPr>
        <w:ind w:left="20"/>
        <w:spacing w:after="0" w:line="210" w:lineRule="auto"/>
        <w:rPr>
          <w:sz w:val="20"/>
          <w:szCs w:val="20"/>
          <w:color w:val="auto"/>
        </w:rPr>
      </w:pPr>
      <w:r>
        <w:rPr>
          <w:rFonts w:ascii="Arial" w:cs="Arial" w:eastAsia="Arial" w:hAnsi="Arial"/>
          <w:sz w:val="21"/>
          <w:szCs w:val="21"/>
          <w:b w:val="1"/>
          <w:bCs w:val="1"/>
          <w:color w:val="auto"/>
        </w:rPr>
        <w:t>Condensed Consolidated Statements of Operations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Three and Six Months Ended June 30, 2021 and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134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4"/>
          </w:tcPr>
          <w:p>
            <w:pPr>
              <w:jc w:val="right"/>
              <w:ind w:right="57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6"/>
        </w:trPr>
        <w:tc>
          <w:tcPr>
            <w:tcW w:w="49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9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6,380</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2,751</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11,215</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5,221</w:t>
            </w:r>
          </w:p>
        </w:tc>
        <w:tc>
          <w:tcPr>
            <w:tcW w:w="0" w:type="dxa"/>
            <w:vAlign w:val="bottom"/>
          </w:tcPr>
          <w:p>
            <w:pPr>
              <w:spacing w:after="0"/>
              <w:rPr>
                <w:sz w:val="1"/>
                <w:szCs w:val="1"/>
                <w:color w:val="auto"/>
              </w:rPr>
            </w:pPr>
          </w:p>
        </w:tc>
      </w:tr>
      <w:tr>
        <w:trPr>
          <w:trHeight w:val="22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18"/>
        </w:trPr>
        <w:tc>
          <w:tcPr>
            <w:tcW w:w="4960" w:type="dxa"/>
            <w:vAlign w:val="bottom"/>
          </w:tcPr>
          <w:p>
            <w:pPr>
              <w:ind w:left="240"/>
              <w:spacing w:after="0" w:line="204" w:lineRule="exact"/>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6,397</w:t>
            </w:r>
          </w:p>
        </w:tc>
        <w:tc>
          <w:tcPr>
            <w:tcW w:w="0" w:type="dxa"/>
            <w:vAlign w:val="bottom"/>
          </w:tcPr>
          <w:p>
            <w:pPr>
              <w:spacing w:after="0"/>
              <w:rPr>
                <w:sz w:val="1"/>
                <w:szCs w:val="1"/>
                <w:color w:val="auto"/>
              </w:rPr>
            </w:pPr>
          </w:p>
        </w:tc>
      </w:tr>
      <w:tr>
        <w:trPr>
          <w:trHeight w:val="22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8"/>
        </w:trPr>
        <w:tc>
          <w:tcPr>
            <w:tcW w:w="49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(6,289)</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960" w:type="dxa"/>
            <w:vAlign w:val="bottom"/>
            <w:shd w:val="clear" w:color="auto" w:fill="CCEEFF"/>
          </w:tcPr>
          <w:p>
            <w:pPr>
              <w:ind w:left="20"/>
              <w:spacing w:after="0" w:line="140" w:lineRule="exact"/>
              <w:rPr>
                <w:sz w:val="20"/>
                <w:szCs w:val="20"/>
                <w:color w:val="auto"/>
              </w:rPr>
            </w:pPr>
            <w:r>
              <w:rPr>
                <w:rFonts w:ascii="Arial" w:cs="Arial" w:eastAsia="Arial" w:hAnsi="Arial"/>
                <w:sz w:val="15"/>
                <w:szCs w:val="15"/>
                <w:color w:val="auto"/>
              </w:rPr>
              <w:t>Net loss per share attributable to common stockholders, basic and</w:t>
            </w:r>
          </w:p>
        </w:tc>
        <w:tc>
          <w:tcPr>
            <w:tcW w:w="34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8"/>
        </w:trPr>
        <w:tc>
          <w:tcPr>
            <w:tcW w:w="4960" w:type="dxa"/>
            <w:vAlign w:val="bottom"/>
            <w:tcBorders>
              <w:bottom w:val="single" w:sz="8" w:color="CCEEFF"/>
            </w:tcBorders>
            <w:shd w:val="clear" w:color="auto" w:fill="CCEEFF"/>
          </w:tcPr>
          <w:p>
            <w:pPr>
              <w:ind w:left="20"/>
              <w:spacing w:after="0" w:line="198"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line="160" w:lineRule="exact"/>
              <w:rPr>
                <w:sz w:val="20"/>
                <w:szCs w:val="20"/>
                <w:color w:val="auto"/>
              </w:rPr>
            </w:pPr>
            <w:r>
              <w:rPr>
                <w:rFonts w:ascii="Arial" w:cs="Arial" w:eastAsia="Arial" w:hAnsi="Arial"/>
                <w:sz w:val="18"/>
                <w:szCs w:val="18"/>
                <w:color w:val="auto"/>
                <w:w w:val="97"/>
              </w:rPr>
              <w:t>Weighted-average shares used in computing net loss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9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55,070,480</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28,184,532</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44,096,149</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27,321,614</w:t>
            </w:r>
          </w:p>
        </w:tc>
        <w:tc>
          <w:tcPr>
            <w:tcW w:w="0" w:type="dxa"/>
            <w:vAlign w:val="bottom"/>
          </w:tcPr>
          <w:p>
            <w:pPr>
              <w:spacing w:after="0"/>
              <w:rPr>
                <w:sz w:val="1"/>
                <w:szCs w:val="1"/>
                <w:color w:val="auto"/>
              </w:rPr>
            </w:pPr>
          </w:p>
        </w:tc>
      </w:tr>
      <w:tr>
        <w:trPr>
          <w:trHeight w:val="198"/>
        </w:trPr>
        <w:tc>
          <w:tcPr>
            <w:tcW w:w="4960" w:type="dxa"/>
            <w:vAlign w:val="bottom"/>
          </w:tcPr>
          <w:p>
            <w:pPr>
              <w:ind w:left="180"/>
              <w:spacing w:after="0" w:line="198" w:lineRule="exact"/>
              <w:rPr>
                <w:sz w:val="20"/>
                <w:szCs w:val="20"/>
                <w:color w:val="auto"/>
              </w:rPr>
            </w:pPr>
            <w:r>
              <w:rPr>
                <w:rFonts w:ascii="Arial" w:cs="Arial" w:eastAsia="Arial" w:hAnsi="Arial"/>
                <w:sz w:val="18"/>
                <w:szCs w:val="18"/>
                <w:color w:val="auto"/>
              </w:rPr>
              <w:t>attributable to common stockholders, basic and diluted</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320" w:top="146" w:right="559" w:bottom="1440" w:gutter="0" w:footer="0" w:header="0"/>
        </w:sectPr>
      </w:pPr>
    </w:p>
    <w:bookmarkStart w:id="7" w:name="page8"/>
    <w:bookmarkEnd w:id="7"/>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Condensed Consolidated Statements of Comprehensive Loss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Three and Six Months Ended June 30, 2021 and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Six Months Ended June 30,</w:t>
            </w:r>
          </w:p>
        </w:tc>
      </w:tr>
      <w:tr>
        <w:trPr>
          <w:trHeight w:val="185"/>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19"/>
        </w:trPr>
        <w:tc>
          <w:tcPr>
            <w:tcW w:w="49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w:t>
            </w:r>
          </w:p>
        </w:tc>
      </w:tr>
      <w:tr>
        <w:trPr>
          <w:trHeight w:val="225"/>
        </w:trPr>
        <w:tc>
          <w:tcPr>
            <w:tcW w:w="498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6"/>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(loss) gain on securities available-for-sale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8"/>
        </w:trPr>
        <w:tc>
          <w:tcPr>
            <w:tcW w:w="498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8"/>
                <w:szCs w:val="18"/>
                <w:color w:val="auto"/>
              </w:rPr>
              <w:t>Total other comprehensive (loss) income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320" w:top="178" w:right="559" w:bottom="1440" w:gutter="0" w:footer="0" w:header="0"/>
        </w:sectPr>
      </w:pPr>
    </w:p>
    <w:bookmarkStart w:id="8" w:name="page9"/>
    <w:bookmarkEnd w:id="8"/>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Condensed Consolidated Statements of Redeemable Convertible Preferred Stock and Stockholders’ Equity (Deficit)</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Three and Six Months Ended June 30, 2021 and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74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Three Months Ended June 30,</w:t>
            </w: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40" w:type="dxa"/>
            <w:vAlign w:val="bottom"/>
            <w:gridSpan w:val="13"/>
            <w:vMerge w:val="restart"/>
          </w:tcPr>
          <w:p>
            <w:pPr>
              <w:jc w:val="center"/>
              <w:ind w:right="440"/>
              <w:spacing w:after="0"/>
              <w:rPr>
                <w:sz w:val="20"/>
                <w:szCs w:val="20"/>
                <w:color w:val="auto"/>
              </w:rPr>
            </w:pPr>
            <w:r>
              <w:rPr>
                <w:rFonts w:ascii="Arial" w:cs="Arial" w:eastAsia="Arial" w:hAnsi="Arial"/>
                <w:sz w:val="12"/>
                <w:szCs w:val="12"/>
                <w:b w:val="1"/>
                <w:bCs w:val="1"/>
                <w:color w:val="auto"/>
                <w:w w:val="92"/>
              </w:rPr>
              <w:t>Redeemable Convertible Preferred Stock</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60" w:type="dxa"/>
            <w:vAlign w:val="bottom"/>
            <w:tcBorders>
              <w:top w:val="single" w:sz="8" w:color="auto"/>
              <w:bottom w:val="single" w:sz="8" w:color="auto"/>
            </w:tcBorders>
          </w:tcPr>
          <w:p>
            <w:pPr>
              <w:spacing w:after="0" w:line="86" w:lineRule="exact"/>
              <w:rPr>
                <w:sz w:val="20"/>
                <w:szCs w:val="20"/>
                <w:color w:val="auto"/>
              </w:rPr>
            </w:pPr>
            <w:r>
              <w:rPr>
                <w:rFonts w:ascii="Arial" w:cs="Arial" w:eastAsia="Arial" w:hAnsi="Arial"/>
                <w:sz w:val="9"/>
                <w:szCs w:val="9"/>
                <w:b w:val="1"/>
                <w:bCs w:val="1"/>
                <w:i w:val="1"/>
                <w:iCs w:val="1"/>
                <w:color w:val="auto"/>
              </w:rPr>
              <w:t>2021</w:t>
            </w:r>
          </w:p>
        </w:tc>
        <w:tc>
          <w:tcPr>
            <w:tcW w:w="13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40" w:type="dxa"/>
            <w:vAlign w:val="bottom"/>
            <w:gridSpan w:val="13"/>
            <w:vMerge w:val="continue"/>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92"/>
              </w:rPr>
              <w:t>Accumulated</w:t>
            </w: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jc w:val="center"/>
              <w:ind w:right="72"/>
              <w:spacing w:after="0" w:line="100"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line="20" w:lineRule="exact"/>
              <w:rPr>
                <w:sz w:val="1"/>
                <w:szCs w:val="1"/>
                <w:color w:val="auto"/>
              </w:rPr>
            </w:pPr>
          </w:p>
        </w:tc>
      </w:tr>
      <w:tr>
        <w:trPr>
          <w:trHeight w:val="59"/>
        </w:trPr>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gridSpan w:val="3"/>
            <w:vMerge w:val="restart"/>
          </w:tcPr>
          <w:p>
            <w:pPr>
              <w:jc w:val="right"/>
              <w:spacing w:after="0" w:line="134" w:lineRule="exact"/>
              <w:rPr>
                <w:sz w:val="20"/>
                <w:szCs w:val="20"/>
                <w:color w:val="auto"/>
              </w:rPr>
            </w:pPr>
            <w:r>
              <w:rPr>
                <w:rFonts w:ascii="Arial" w:cs="Arial" w:eastAsia="Arial" w:hAnsi="Arial"/>
                <w:sz w:val="12"/>
                <w:szCs w:val="12"/>
                <w:b w:val="1"/>
                <w:bCs w:val="1"/>
                <w:color w:val="auto"/>
              </w:rPr>
              <w:t>Series Seed</w:t>
            </w: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5"/>
            <w:vMerge w:val="restart"/>
          </w:tcPr>
          <w:p>
            <w:pPr>
              <w:jc w:val="center"/>
              <w:ind w:left="411"/>
              <w:spacing w:after="0" w:line="134" w:lineRule="exact"/>
              <w:rPr>
                <w:sz w:val="20"/>
                <w:szCs w:val="20"/>
                <w:color w:val="auto"/>
              </w:rPr>
            </w:pPr>
            <w:r>
              <w:rPr>
                <w:rFonts w:ascii="Arial" w:cs="Arial" w:eastAsia="Arial" w:hAnsi="Arial"/>
                <w:sz w:val="12"/>
                <w:szCs w:val="12"/>
                <w:b w:val="1"/>
                <w:bCs w:val="1"/>
                <w:color w:val="auto"/>
                <w:w w:val="91"/>
              </w:rPr>
              <w:t>Series A</w:t>
            </w: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gridSpan w:val="3"/>
            <w:vMerge w:val="restart"/>
          </w:tcPr>
          <w:p>
            <w:pPr>
              <w:jc w:val="right"/>
              <w:spacing w:after="0" w:line="134" w:lineRule="exact"/>
              <w:rPr>
                <w:sz w:val="20"/>
                <w:szCs w:val="20"/>
                <w:color w:val="auto"/>
              </w:rPr>
            </w:pPr>
            <w:r>
              <w:rPr>
                <w:rFonts w:ascii="Arial" w:cs="Arial" w:eastAsia="Arial" w:hAnsi="Arial"/>
                <w:sz w:val="12"/>
                <w:szCs w:val="12"/>
                <w:b w:val="1"/>
                <w:bCs w:val="1"/>
                <w:color w:val="auto"/>
              </w:rPr>
              <w:t>Series B</w:t>
            </w:r>
          </w:p>
        </w:tc>
        <w:tc>
          <w:tcPr>
            <w:tcW w:w="46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gridSpan w:val="5"/>
            <w:vMerge w:val="restart"/>
          </w:tcPr>
          <w:p>
            <w:pPr>
              <w:jc w:val="right"/>
              <w:spacing w:after="0" w:line="134" w:lineRule="exact"/>
              <w:rPr>
                <w:sz w:val="20"/>
                <w:szCs w:val="20"/>
                <w:color w:val="auto"/>
              </w:rPr>
            </w:pPr>
            <w:r>
              <w:rPr>
                <w:rFonts w:ascii="Arial" w:cs="Arial" w:eastAsia="Arial" w:hAnsi="Arial"/>
                <w:sz w:val="12"/>
                <w:szCs w:val="12"/>
                <w:b w:val="1"/>
                <w:bCs w:val="1"/>
                <w:color w:val="auto"/>
              </w:rPr>
              <w:t>Common Stock</w:t>
            </w: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gridSpan w:val="5"/>
            <w:vMerge w:val="continue"/>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120" w:type="dxa"/>
            <w:vAlign w:val="bottom"/>
            <w:gridSpan w:val="5"/>
            <w:vMerge w:val="continue"/>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gridSpan w:val="5"/>
            <w:vMerge w:val="restart"/>
          </w:tcPr>
          <w:p>
            <w:pPr>
              <w:jc w:val="center"/>
              <w:ind w:right="100"/>
              <w:spacing w:after="0" w:line="100" w:lineRule="exact"/>
              <w:rPr>
                <w:sz w:val="20"/>
                <w:szCs w:val="20"/>
                <w:color w:val="auto"/>
              </w:rPr>
            </w:pPr>
            <w:r>
              <w:rPr>
                <w:rFonts w:ascii="Arial" w:cs="Arial" w:eastAsia="Arial" w:hAnsi="Arial"/>
                <w:sz w:val="11"/>
                <w:szCs w:val="11"/>
                <w:b w:val="1"/>
                <w:bCs w:val="1"/>
                <w:color w:val="auto"/>
              </w:rPr>
              <w:t>Additional</w:t>
            </w:r>
          </w:p>
        </w:tc>
        <w:tc>
          <w:tcPr>
            <w:tcW w:w="80" w:type="dxa"/>
            <w:vAlign w:val="bottom"/>
          </w:tcPr>
          <w:p>
            <w:pPr>
              <w:spacing w:after="0"/>
              <w:rPr>
                <w:sz w:val="6"/>
                <w:szCs w:val="6"/>
                <w:color w:val="auto"/>
              </w:rPr>
            </w:pPr>
          </w:p>
        </w:tc>
        <w:tc>
          <w:tcPr>
            <w:tcW w:w="900" w:type="dxa"/>
            <w:vAlign w:val="bottom"/>
            <w:gridSpan w:val="2"/>
            <w:vMerge w:val="restart"/>
          </w:tcPr>
          <w:p>
            <w:pPr>
              <w:jc w:val="center"/>
              <w:ind w:right="160"/>
              <w:spacing w:after="0" w:line="100" w:lineRule="exact"/>
              <w:rPr>
                <w:sz w:val="20"/>
                <w:szCs w:val="20"/>
                <w:color w:val="auto"/>
              </w:rPr>
            </w:pPr>
            <w:r>
              <w:rPr>
                <w:rFonts w:ascii="Arial" w:cs="Arial" w:eastAsia="Arial" w:hAnsi="Arial"/>
                <w:sz w:val="11"/>
                <w:szCs w:val="11"/>
                <w:b w:val="1"/>
                <w:bCs w:val="1"/>
                <w:color w:val="auto"/>
              </w:rPr>
              <w:t>Other</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gridSpan w:val="5"/>
            <w:vMerge w:val="continue"/>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vMerge w:val="restart"/>
          </w:tcPr>
          <w:p>
            <w:pPr>
              <w:jc w:val="center"/>
              <w:ind w:right="72"/>
              <w:spacing w:after="0"/>
              <w:rPr>
                <w:sz w:val="20"/>
                <w:szCs w:val="20"/>
                <w:color w:val="auto"/>
              </w:rPr>
            </w:pPr>
            <w:r>
              <w:rPr>
                <w:rFonts w:ascii="Arial" w:cs="Arial" w:eastAsia="Arial" w:hAnsi="Arial"/>
                <w:sz w:val="12"/>
                <w:szCs w:val="12"/>
                <w:b w:val="1"/>
                <w:bCs w:val="1"/>
                <w:color w:val="auto"/>
                <w:w w:val="93"/>
              </w:rPr>
              <w:t>(Deficit)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740" w:type="dxa"/>
            <w:vAlign w:val="bottom"/>
            <w:gridSpan w:val="3"/>
          </w:tcPr>
          <w:p>
            <w:pPr>
              <w:spacing w:after="0" w:line="100" w:lineRule="exact"/>
              <w:rPr>
                <w:sz w:val="20"/>
                <w:szCs w:val="20"/>
                <w:color w:val="auto"/>
              </w:rPr>
            </w:pPr>
            <w:r>
              <w:rPr>
                <w:rFonts w:ascii="Arial" w:cs="Arial" w:eastAsia="Arial" w:hAnsi="Arial"/>
                <w:sz w:val="11"/>
                <w:szCs w:val="11"/>
                <w:i w:val="1"/>
                <w:iCs w:val="1"/>
                <w:color w:val="auto"/>
              </w:rPr>
              <w:t>(in thousands, except share</w:t>
            </w:r>
          </w:p>
        </w:tc>
        <w:tc>
          <w:tcPr>
            <w:tcW w:w="20" w:type="dxa"/>
            <w:vAlign w:val="bottom"/>
          </w:tcPr>
          <w:p>
            <w:pPr>
              <w:spacing w:after="0"/>
              <w:rPr>
                <w:sz w:val="8"/>
                <w:szCs w:val="8"/>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6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84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20" w:type="dxa"/>
            <w:vAlign w:val="bottom"/>
          </w:tcPr>
          <w:p>
            <w:pPr>
              <w:spacing w:after="0"/>
              <w:rPr>
                <w:sz w:val="8"/>
                <w:szCs w:val="8"/>
                <w:color w:val="auto"/>
              </w:rPr>
            </w:pPr>
          </w:p>
        </w:tc>
        <w:tc>
          <w:tcPr>
            <w:tcW w:w="64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8"/>
                <w:szCs w:val="8"/>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70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8"/>
                <w:szCs w:val="8"/>
                <w:color w:val="auto"/>
              </w:rPr>
            </w:pPr>
          </w:p>
        </w:tc>
        <w:tc>
          <w:tcPr>
            <w:tcW w:w="860" w:type="dxa"/>
            <w:vAlign w:val="bottom"/>
            <w:gridSpan w:val="4"/>
            <w:vMerge w:val="restart"/>
          </w:tcPr>
          <w:p>
            <w:pPr>
              <w:ind w:left="140"/>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600" w:type="dxa"/>
            <w:vAlign w:val="bottom"/>
            <w:gridSpan w:val="5"/>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8"/>
                <w:szCs w:val="8"/>
                <w:color w:val="auto"/>
              </w:rPr>
            </w:pPr>
          </w:p>
        </w:tc>
        <w:tc>
          <w:tcPr>
            <w:tcW w:w="640" w:type="dxa"/>
            <w:vAlign w:val="bottom"/>
            <w:gridSpan w:val="4"/>
          </w:tcPr>
          <w:p>
            <w:pPr>
              <w:jc w:val="center"/>
              <w:ind w:right="200"/>
              <w:spacing w:after="0" w:line="100" w:lineRule="exact"/>
              <w:rPr>
                <w:sz w:val="20"/>
                <w:szCs w:val="20"/>
                <w:color w:val="auto"/>
              </w:rPr>
            </w:pPr>
            <w:r>
              <w:rPr>
                <w:rFonts w:ascii="Arial" w:cs="Arial" w:eastAsia="Arial" w:hAnsi="Arial"/>
                <w:sz w:val="11"/>
                <w:szCs w:val="11"/>
                <w:b w:val="1"/>
                <w:bCs w:val="1"/>
                <w:color w:val="auto"/>
              </w:rPr>
              <w:t>Paid-in</w:t>
            </w:r>
          </w:p>
        </w:tc>
        <w:tc>
          <w:tcPr>
            <w:tcW w:w="980" w:type="dxa"/>
            <w:vAlign w:val="bottom"/>
            <w:gridSpan w:val="3"/>
          </w:tcPr>
          <w:p>
            <w:pPr>
              <w:jc w:val="center"/>
              <w:ind w:right="80"/>
              <w:spacing w:after="0" w:line="100" w:lineRule="exact"/>
              <w:rPr>
                <w:sz w:val="20"/>
                <w:szCs w:val="20"/>
                <w:color w:val="auto"/>
              </w:rPr>
            </w:pPr>
            <w:r>
              <w:rPr>
                <w:rFonts w:ascii="Arial" w:cs="Arial" w:eastAsia="Arial" w:hAnsi="Arial"/>
                <w:sz w:val="11"/>
                <w:szCs w:val="11"/>
                <w:b w:val="1"/>
                <w:bCs w:val="1"/>
                <w:color w:val="auto"/>
                <w:w w:val="99"/>
              </w:rPr>
              <w:t>Comprehensive</w:t>
            </w:r>
          </w:p>
        </w:tc>
        <w:tc>
          <w:tcPr>
            <w:tcW w:w="880" w:type="dxa"/>
            <w:vAlign w:val="bottom"/>
            <w:gridSpan w:val="3"/>
          </w:tcPr>
          <w:p>
            <w:pPr>
              <w:jc w:val="center"/>
              <w:ind w:right="60"/>
              <w:spacing w:after="0" w:line="100" w:lineRule="exact"/>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2"/>
                <w:szCs w:val="12"/>
                <w:i w:val="1"/>
                <w:iCs w:val="1"/>
                <w:color w:val="auto"/>
              </w:rPr>
              <w:t>amounts)</w:t>
            </w:r>
          </w:p>
        </w:tc>
        <w:tc>
          <w:tcPr>
            <w:tcW w:w="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00" w:type="dxa"/>
            <w:vAlign w:val="bottom"/>
            <w:tcBorders>
              <w:right w:val="single" w:sz="8" w:color="auto"/>
            </w:tcBorders>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60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99"/>
              </w:rPr>
              <w:t>Capital</w:t>
            </w:r>
          </w:p>
        </w:tc>
        <w:tc>
          <w:tcPr>
            <w:tcW w:w="98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0"/>
              </w:rPr>
              <w:t>Income (Loss)</w:t>
            </w:r>
          </w:p>
        </w:tc>
        <w:tc>
          <w:tcPr>
            <w:tcW w:w="16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Deficit</w:t>
            </w:r>
          </w:p>
        </w:tc>
        <w:tc>
          <w:tcPr>
            <w:tcW w:w="140" w:type="dxa"/>
            <w:vAlign w:val="bottom"/>
          </w:tcPr>
          <w:p>
            <w:pPr>
              <w:spacing w:after="0"/>
              <w:rPr>
                <w:sz w:val="14"/>
                <w:szCs w:val="14"/>
                <w:color w:val="auto"/>
              </w:rPr>
            </w:pPr>
          </w:p>
        </w:tc>
        <w:tc>
          <w:tcPr>
            <w:tcW w:w="680" w:type="dxa"/>
            <w:vAlign w:val="bottom"/>
          </w:tcPr>
          <w:p>
            <w:pPr>
              <w:jc w:val="center"/>
              <w:ind w:right="72"/>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205"/>
        </w:trPr>
        <w:tc>
          <w:tcPr>
            <w:tcW w:w="2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w w:val="94"/>
              </w:rPr>
              <w:t>Balances at March 31, 2021</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99"/>
              </w:rPr>
              <w:t>13,174,805</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5,494</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16,836,436</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w w:val="91"/>
              </w:rPr>
              <w:t>$ 27,067</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4"/>
                <w:szCs w:val="14"/>
                <w:color w:val="auto"/>
                <w:w w:val="96"/>
              </w:rPr>
              <w:t>22,164,724</w:t>
            </w: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91"/>
              </w:rPr>
              <w:t>$ 75,857</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33,069,513</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1,936</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(38,734)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(36,795)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40" w:type="dxa"/>
            <w:vAlign w:val="bottom"/>
            <w:gridSpan w:val="3"/>
          </w:tcPr>
          <w:p>
            <w:pPr>
              <w:spacing w:after="0" w:line="133" w:lineRule="exact"/>
              <w:rPr>
                <w:sz w:val="20"/>
                <w:szCs w:val="20"/>
                <w:color w:val="auto"/>
              </w:rPr>
            </w:pPr>
            <w:r>
              <w:rPr>
                <w:rFonts w:ascii="Arial" w:cs="Arial" w:eastAsia="Arial" w:hAnsi="Arial"/>
                <w:sz w:val="14"/>
                <w:szCs w:val="14"/>
                <w:color w:val="auto"/>
              </w:rPr>
              <w:t>Issuance of common stock</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40" w:type="dxa"/>
            <w:vAlign w:val="bottom"/>
            <w:gridSpan w:val="3"/>
          </w:tcPr>
          <w:p>
            <w:pPr>
              <w:ind w:left="160"/>
              <w:spacing w:after="0" w:line="133" w:lineRule="exact"/>
              <w:rPr>
                <w:sz w:val="20"/>
                <w:szCs w:val="20"/>
                <w:color w:val="auto"/>
              </w:rPr>
            </w:pPr>
            <w:r>
              <w:rPr>
                <w:rFonts w:ascii="Arial" w:cs="Arial" w:eastAsia="Arial" w:hAnsi="Arial"/>
                <w:sz w:val="14"/>
                <w:szCs w:val="14"/>
                <w:color w:val="auto"/>
              </w:rPr>
              <w:t>upon exercise of vested</w:t>
            </w:r>
          </w:p>
        </w:tc>
        <w:tc>
          <w:tcPr>
            <w:tcW w:w="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65,003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gridSpan w:val="4"/>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gridSpan w:val="3"/>
          </w:tcPr>
          <w:p>
            <w:pPr>
              <w:ind w:left="160"/>
              <w:spacing w:after="0"/>
              <w:rPr>
                <w:sz w:val="20"/>
                <w:szCs w:val="20"/>
                <w:color w:val="auto"/>
              </w:rPr>
            </w:pPr>
            <w:r>
              <w:rPr>
                <w:rFonts w:ascii="Arial" w:cs="Arial" w:eastAsia="Arial" w:hAnsi="Arial"/>
                <w:sz w:val="14"/>
                <w:szCs w:val="14"/>
                <w:color w:val="auto"/>
              </w:rPr>
              <w:t>stock options</w:t>
            </w:r>
          </w:p>
        </w:tc>
        <w:tc>
          <w:tcPr>
            <w:tcW w:w="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right w:val="single" w:sz="8" w:color="auto"/>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74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color w:val="auto"/>
              </w:rPr>
              <w:t>Issuance of common stock</w:t>
            </w: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17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w w:val="97"/>
              </w:rPr>
              <w:t>upon exercise of warrants</w:t>
            </w:r>
          </w:p>
        </w:tc>
        <w:tc>
          <w:tcPr>
            <w:tcW w:w="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62,772</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40" w:type="dxa"/>
            <w:vAlign w:val="bottom"/>
            <w:gridSpan w:val="3"/>
          </w:tcPr>
          <w:p>
            <w:pPr>
              <w:spacing w:after="0" w:line="133" w:lineRule="exact"/>
              <w:rPr>
                <w:sz w:val="20"/>
                <w:szCs w:val="20"/>
                <w:color w:val="auto"/>
              </w:rPr>
            </w:pPr>
            <w:r>
              <w:rPr>
                <w:rFonts w:ascii="Arial" w:cs="Arial" w:eastAsia="Arial" w:hAnsi="Arial"/>
                <w:sz w:val="14"/>
                <w:szCs w:val="14"/>
                <w:color w:val="auto"/>
              </w:rPr>
              <w:t>Conversion of redeemable</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40" w:type="dxa"/>
            <w:vAlign w:val="bottom"/>
            <w:gridSpan w:val="3"/>
          </w:tcPr>
          <w:p>
            <w:pPr>
              <w:ind w:left="160"/>
              <w:spacing w:after="0" w:line="133" w:lineRule="exact"/>
              <w:rPr>
                <w:sz w:val="20"/>
                <w:szCs w:val="20"/>
                <w:color w:val="auto"/>
              </w:rPr>
            </w:pPr>
            <w:r>
              <w:rPr>
                <w:rFonts w:ascii="Arial" w:cs="Arial" w:eastAsia="Arial" w:hAnsi="Arial"/>
                <w:sz w:val="14"/>
                <w:szCs w:val="14"/>
                <w:color w:val="auto"/>
                <w:w w:val="94"/>
              </w:rPr>
              <w:t>convertible preferred stock</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40" w:type="dxa"/>
            <w:vAlign w:val="bottom"/>
            <w:gridSpan w:val="3"/>
          </w:tcPr>
          <w:p>
            <w:pPr>
              <w:ind w:left="160"/>
              <w:spacing w:after="0" w:line="133" w:lineRule="exact"/>
              <w:rPr>
                <w:sz w:val="20"/>
                <w:szCs w:val="20"/>
                <w:color w:val="auto"/>
              </w:rPr>
            </w:pPr>
            <w:r>
              <w:rPr>
                <w:rFonts w:ascii="Arial" w:cs="Arial" w:eastAsia="Arial" w:hAnsi="Arial"/>
                <w:sz w:val="14"/>
                <w:szCs w:val="14"/>
                <w:color w:val="auto"/>
              </w:rPr>
              <w:t>into common stock in</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40" w:type="dxa"/>
            <w:vAlign w:val="bottom"/>
            <w:gridSpan w:val="3"/>
          </w:tcPr>
          <w:p>
            <w:pPr>
              <w:ind w:left="160"/>
              <w:spacing w:after="0" w:line="133" w:lineRule="exact"/>
              <w:rPr>
                <w:sz w:val="20"/>
                <w:szCs w:val="20"/>
                <w:color w:val="auto"/>
              </w:rPr>
            </w:pPr>
            <w:r>
              <w:rPr>
                <w:rFonts w:ascii="Arial" w:cs="Arial" w:eastAsia="Arial" w:hAnsi="Arial"/>
                <w:sz w:val="14"/>
                <w:szCs w:val="14"/>
                <w:color w:val="auto"/>
                <w:w w:val="91"/>
              </w:rPr>
              <w:t>connection with the reverse</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108,418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740" w:type="dxa"/>
            <w:vAlign w:val="bottom"/>
            <w:gridSpan w:val="3"/>
          </w:tcPr>
          <w:p>
            <w:pPr>
              <w:ind w:left="160"/>
              <w:spacing w:after="0"/>
              <w:rPr>
                <w:sz w:val="20"/>
                <w:szCs w:val="20"/>
                <w:color w:val="auto"/>
              </w:rPr>
            </w:pPr>
            <w:r>
              <w:rPr>
                <w:rFonts w:ascii="Arial" w:cs="Arial" w:eastAsia="Arial" w:hAnsi="Arial"/>
                <w:sz w:val="14"/>
                <w:szCs w:val="14"/>
                <w:color w:val="auto"/>
              </w:rPr>
              <w:t>recapitalization</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w w:val="93"/>
              </w:rPr>
              <w:t>(13,174,805)</w:t>
            </w:r>
          </w:p>
        </w:tc>
        <w:tc>
          <w:tcPr>
            <w:tcW w:w="8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(5,494)</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0"/>
              </w:rPr>
              <w:t>(16,836,436)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3"/>
          </w:tcPr>
          <w:p>
            <w:pPr>
              <w:ind w:left="80"/>
              <w:spacing w:after="0"/>
              <w:rPr>
                <w:sz w:val="20"/>
                <w:szCs w:val="20"/>
                <w:color w:val="auto"/>
              </w:rPr>
            </w:pPr>
            <w:r>
              <w:rPr>
                <w:rFonts w:ascii="Arial" w:cs="Arial" w:eastAsia="Arial" w:hAnsi="Arial"/>
                <w:sz w:val="14"/>
                <w:szCs w:val="14"/>
                <w:color w:val="auto"/>
                <w:w w:val="91"/>
              </w:rPr>
              <w:t>(27,067)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w w:val="90"/>
              </w:rPr>
              <w:t>(22,164,724)</w:t>
            </w:r>
          </w:p>
        </w:tc>
        <w:tc>
          <w:tcPr>
            <w:tcW w:w="80" w:type="dxa"/>
            <w:vAlign w:val="bottom"/>
          </w:tcPr>
          <w:p>
            <w:pPr>
              <w:spacing w:after="0"/>
              <w:rPr>
                <w:sz w:val="16"/>
                <w:szCs w:val="16"/>
                <w:color w:val="auto"/>
              </w:rPr>
            </w:pPr>
          </w:p>
        </w:tc>
        <w:tc>
          <w:tcPr>
            <w:tcW w:w="580" w:type="dxa"/>
            <w:vAlign w:val="bottom"/>
            <w:gridSpan w:val="2"/>
          </w:tcPr>
          <w:p>
            <w:pPr>
              <w:ind w:left="60"/>
              <w:spacing w:after="0"/>
              <w:rPr>
                <w:sz w:val="20"/>
                <w:szCs w:val="20"/>
                <w:color w:val="auto"/>
              </w:rPr>
            </w:pPr>
            <w:r>
              <w:rPr>
                <w:rFonts w:ascii="Arial" w:cs="Arial" w:eastAsia="Arial" w:hAnsi="Arial"/>
                <w:sz w:val="14"/>
                <w:szCs w:val="14"/>
                <w:color w:val="auto"/>
                <w:w w:val="95"/>
              </w:rPr>
              <w:t>(75,857)</w:t>
            </w: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9"/>
              </w:rPr>
              <w:t>52,175,965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4"/>
              </w:rPr>
              <w:t>108,411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1740" w:type="dxa"/>
            <w:vAlign w:val="bottom"/>
            <w:gridSpan w:val="3"/>
            <w:shd w:val="clear" w:color="auto" w:fill="CCEEFF"/>
          </w:tcPr>
          <w:p>
            <w:pPr>
              <w:spacing w:after="0" w:line="133" w:lineRule="exact"/>
              <w:rPr>
                <w:sz w:val="20"/>
                <w:szCs w:val="20"/>
                <w:color w:val="auto"/>
              </w:rPr>
            </w:pPr>
            <w:r>
              <w:rPr>
                <w:rFonts w:ascii="Arial" w:cs="Arial" w:eastAsia="Arial" w:hAnsi="Arial"/>
                <w:sz w:val="14"/>
                <w:szCs w:val="14"/>
                <w:color w:val="auto"/>
              </w:rPr>
              <w:t>Issuance of common stock</w:t>
            </w: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1740" w:type="dxa"/>
            <w:vAlign w:val="bottom"/>
            <w:gridSpan w:val="3"/>
            <w:shd w:val="clear" w:color="auto" w:fill="CCEEFF"/>
          </w:tcPr>
          <w:p>
            <w:pPr>
              <w:ind w:left="160"/>
              <w:spacing w:after="0" w:line="133" w:lineRule="exact"/>
              <w:rPr>
                <w:sz w:val="20"/>
                <w:szCs w:val="20"/>
                <w:color w:val="auto"/>
              </w:rPr>
            </w:pPr>
            <w:r>
              <w:rPr>
                <w:rFonts w:ascii="Arial" w:cs="Arial" w:eastAsia="Arial" w:hAnsi="Arial"/>
                <w:sz w:val="14"/>
                <w:szCs w:val="14"/>
                <w:color w:val="auto"/>
              </w:rPr>
              <w:t>upon the reverse</w:t>
            </w: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1740" w:type="dxa"/>
            <w:vAlign w:val="bottom"/>
            <w:gridSpan w:val="3"/>
            <w:shd w:val="clear" w:color="auto" w:fill="CCEEFF"/>
          </w:tcPr>
          <w:p>
            <w:pPr>
              <w:ind w:left="160"/>
              <w:spacing w:after="0" w:line="133" w:lineRule="exact"/>
              <w:rPr>
                <w:sz w:val="20"/>
                <w:szCs w:val="20"/>
                <w:color w:val="auto"/>
              </w:rPr>
            </w:pPr>
            <w:r>
              <w:rPr>
                <w:rFonts w:ascii="Arial" w:cs="Arial" w:eastAsia="Arial" w:hAnsi="Arial"/>
                <w:sz w:val="14"/>
                <w:szCs w:val="14"/>
                <w:color w:val="auto"/>
              </w:rPr>
              <w:t>recapitalization, net of</w:t>
            </w: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327,280</w:t>
            </w: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17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issuance costs</w:t>
            </w:r>
          </w:p>
        </w:tc>
        <w:tc>
          <w:tcPr>
            <w:tcW w:w="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38,721,137</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327,276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40" w:type="dxa"/>
            <w:vAlign w:val="bottom"/>
            <w:gridSpan w:val="3"/>
          </w:tcPr>
          <w:p>
            <w:pPr>
              <w:spacing w:after="0" w:line="133" w:lineRule="exact"/>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1,820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740" w:type="dxa"/>
            <w:vAlign w:val="bottom"/>
            <w:gridSpan w:val="3"/>
          </w:tcPr>
          <w:p>
            <w:pPr>
              <w:spacing w:after="0"/>
              <w:rPr>
                <w:sz w:val="20"/>
                <w:szCs w:val="20"/>
                <w:color w:val="auto"/>
              </w:rPr>
            </w:pPr>
            <w:r>
              <w:rPr>
                <w:rFonts w:ascii="Arial" w:cs="Arial" w:eastAsia="Arial" w:hAnsi="Arial"/>
                <w:sz w:val="14"/>
                <w:szCs w:val="14"/>
                <w:color w:val="auto"/>
              </w:rPr>
              <w:t>expense</w:t>
            </w:r>
          </w:p>
        </w:tc>
        <w:tc>
          <w:tcPr>
            <w:tcW w:w="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3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1,820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12"/>
        </w:trPr>
        <w:tc>
          <w:tcPr>
            <w:tcW w:w="2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Net loss</w:t>
            </w: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right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(10,713)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(10,713)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w w:val="99"/>
              </w:rPr>
              <w:t>Balances at June 30, 2021</w:t>
            </w:r>
          </w:p>
        </w:tc>
        <w:tc>
          <w:tcPr>
            <w:tcW w:w="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124,094,390</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93"/>
              </w:rPr>
              <w:t>$ 439,489</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(49,447)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390,044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2"/>
                <w:szCs w:val="12"/>
                <w:b w:val="1"/>
                <w:bCs w:val="1"/>
                <w:i w:val="1"/>
                <w:iCs w:val="1"/>
                <w:color w:val="auto"/>
              </w:rPr>
              <w:t>Three Months Ended June 30,</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174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40" w:type="dxa"/>
            <w:vAlign w:val="bottom"/>
            <w:gridSpan w:val="13"/>
            <w:vMerge w:val="restart"/>
          </w:tcPr>
          <w:p>
            <w:pPr>
              <w:jc w:val="center"/>
              <w:ind w:right="400"/>
              <w:spacing w:after="0"/>
              <w:rPr>
                <w:sz w:val="20"/>
                <w:szCs w:val="20"/>
                <w:color w:val="auto"/>
              </w:rPr>
            </w:pPr>
            <w:r>
              <w:rPr>
                <w:rFonts w:ascii="Arial" w:cs="Arial" w:eastAsia="Arial" w:hAnsi="Arial"/>
                <w:sz w:val="12"/>
                <w:szCs w:val="12"/>
                <w:b w:val="1"/>
                <w:bCs w:val="1"/>
                <w:color w:val="auto"/>
                <w:w w:val="92"/>
              </w:rPr>
              <w:t>Redeemable Convertible Preferred Stock</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40" w:type="dxa"/>
            <w:vAlign w:val="bottom"/>
            <w:gridSpan w:val="13"/>
            <w:vMerge w:val="continue"/>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560" w:type="dxa"/>
            <w:vAlign w:val="bottom"/>
            <w:tcBorders>
              <w:top w:val="single" w:sz="8" w:color="auto"/>
            </w:tcBorders>
            <w:gridSpan w:val="2"/>
          </w:tcPr>
          <w:p>
            <w:pPr>
              <w:spacing w:after="0" w:line="100" w:lineRule="exact"/>
              <w:rPr>
                <w:sz w:val="20"/>
                <w:szCs w:val="20"/>
                <w:color w:val="auto"/>
              </w:rPr>
            </w:pPr>
            <w:r>
              <w:rPr>
                <w:rFonts w:ascii="Arial" w:cs="Arial" w:eastAsia="Arial" w:hAnsi="Arial"/>
                <w:sz w:val="11"/>
                <w:szCs w:val="11"/>
                <w:b w:val="1"/>
                <w:bCs w:val="1"/>
                <w:i w:val="1"/>
                <w:iCs w:val="1"/>
                <w:color w:val="auto"/>
              </w:rPr>
              <w:t>2020</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40" w:type="dxa"/>
            <w:vAlign w:val="bottom"/>
            <w:gridSpan w:val="13"/>
            <w:vMerge w:val="continue"/>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92"/>
              </w:rPr>
              <w:t>Accumulated</w:t>
            </w: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vMerge w:val="restart"/>
          </w:tcPr>
          <w:p>
            <w:pPr>
              <w:jc w:val="center"/>
              <w:ind w:right="72"/>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line="20" w:lineRule="exact"/>
              <w:rPr>
                <w:sz w:val="1"/>
                <w:szCs w:val="1"/>
                <w:color w:val="auto"/>
              </w:rPr>
            </w:pPr>
          </w:p>
        </w:tc>
      </w:tr>
      <w:tr>
        <w:trPr>
          <w:trHeight w:val="59"/>
        </w:trPr>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gridSpan w:val="3"/>
            <w:vMerge w:val="restart"/>
          </w:tcPr>
          <w:p>
            <w:pPr>
              <w:jc w:val="right"/>
              <w:spacing w:after="0" w:line="134" w:lineRule="exact"/>
              <w:rPr>
                <w:sz w:val="20"/>
                <w:szCs w:val="20"/>
                <w:color w:val="auto"/>
              </w:rPr>
            </w:pPr>
            <w:r>
              <w:rPr>
                <w:rFonts w:ascii="Arial" w:cs="Arial" w:eastAsia="Arial" w:hAnsi="Arial"/>
                <w:sz w:val="12"/>
                <w:szCs w:val="12"/>
                <w:b w:val="1"/>
                <w:bCs w:val="1"/>
                <w:color w:val="auto"/>
              </w:rPr>
              <w:t>Series Seed</w:t>
            </w: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500" w:type="dxa"/>
            <w:vAlign w:val="bottom"/>
            <w:gridSpan w:val="8"/>
            <w:vMerge w:val="restart"/>
          </w:tcPr>
          <w:p>
            <w:pPr>
              <w:jc w:val="center"/>
              <w:ind w:right="60"/>
              <w:spacing w:after="0" w:line="134" w:lineRule="exact"/>
              <w:rPr>
                <w:sz w:val="20"/>
                <w:szCs w:val="20"/>
                <w:color w:val="auto"/>
              </w:rPr>
            </w:pPr>
            <w:r>
              <w:rPr>
                <w:rFonts w:ascii="Arial" w:cs="Arial" w:eastAsia="Arial" w:hAnsi="Arial"/>
                <w:sz w:val="12"/>
                <w:szCs w:val="12"/>
                <w:b w:val="1"/>
                <w:bCs w:val="1"/>
                <w:color w:val="auto"/>
                <w:w w:val="91"/>
              </w:rPr>
              <w:t>Series A</w:t>
            </w:r>
          </w:p>
        </w:tc>
        <w:tc>
          <w:tcPr>
            <w:tcW w:w="20" w:type="dxa"/>
            <w:vAlign w:val="bottom"/>
          </w:tcPr>
          <w:p>
            <w:pPr>
              <w:spacing w:after="0"/>
              <w:rPr>
                <w:sz w:val="5"/>
                <w:szCs w:val="5"/>
                <w:color w:val="auto"/>
              </w:rPr>
            </w:pPr>
          </w:p>
        </w:tc>
        <w:tc>
          <w:tcPr>
            <w:tcW w:w="960" w:type="dxa"/>
            <w:vAlign w:val="bottom"/>
            <w:gridSpan w:val="3"/>
            <w:vMerge w:val="restart"/>
          </w:tcPr>
          <w:p>
            <w:pPr>
              <w:jc w:val="right"/>
              <w:spacing w:after="0" w:line="134" w:lineRule="exact"/>
              <w:rPr>
                <w:sz w:val="20"/>
                <w:szCs w:val="20"/>
                <w:color w:val="auto"/>
              </w:rPr>
            </w:pPr>
            <w:r>
              <w:rPr>
                <w:rFonts w:ascii="Arial" w:cs="Arial" w:eastAsia="Arial" w:hAnsi="Arial"/>
                <w:sz w:val="12"/>
                <w:szCs w:val="12"/>
                <w:b w:val="1"/>
                <w:bCs w:val="1"/>
                <w:color w:val="auto"/>
              </w:rPr>
              <w:t>Series B</w:t>
            </w:r>
          </w:p>
        </w:tc>
        <w:tc>
          <w:tcPr>
            <w:tcW w:w="46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gridSpan w:val="5"/>
            <w:vMerge w:val="restart"/>
          </w:tcPr>
          <w:p>
            <w:pPr>
              <w:jc w:val="right"/>
              <w:spacing w:after="0" w:line="134" w:lineRule="exact"/>
              <w:rPr>
                <w:sz w:val="20"/>
                <w:szCs w:val="20"/>
                <w:color w:val="auto"/>
              </w:rPr>
            </w:pPr>
            <w:r>
              <w:rPr>
                <w:rFonts w:ascii="Arial" w:cs="Arial" w:eastAsia="Arial" w:hAnsi="Arial"/>
                <w:sz w:val="12"/>
                <w:szCs w:val="12"/>
                <w:b w:val="1"/>
                <w:bCs w:val="1"/>
                <w:color w:val="auto"/>
              </w:rPr>
              <w:t>Common Stock</w:t>
            </w: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500" w:type="dxa"/>
            <w:vAlign w:val="bottom"/>
            <w:gridSpan w:val="8"/>
            <w:vMerge w:val="continue"/>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120" w:type="dxa"/>
            <w:vAlign w:val="bottom"/>
            <w:gridSpan w:val="5"/>
            <w:vMerge w:val="continue"/>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gridSpan w:val="5"/>
            <w:vMerge w:val="restart"/>
          </w:tcPr>
          <w:p>
            <w:pPr>
              <w:jc w:val="center"/>
              <w:ind w:right="120"/>
              <w:spacing w:after="0" w:line="100" w:lineRule="exact"/>
              <w:rPr>
                <w:sz w:val="20"/>
                <w:szCs w:val="20"/>
                <w:color w:val="auto"/>
              </w:rPr>
            </w:pPr>
            <w:r>
              <w:rPr>
                <w:rFonts w:ascii="Arial" w:cs="Arial" w:eastAsia="Arial" w:hAnsi="Arial"/>
                <w:sz w:val="11"/>
                <w:szCs w:val="11"/>
                <w:b w:val="1"/>
                <w:bCs w:val="1"/>
                <w:color w:val="auto"/>
              </w:rPr>
              <w:t>Additional</w:t>
            </w:r>
          </w:p>
        </w:tc>
        <w:tc>
          <w:tcPr>
            <w:tcW w:w="80" w:type="dxa"/>
            <w:vAlign w:val="bottom"/>
          </w:tcPr>
          <w:p>
            <w:pPr>
              <w:spacing w:after="0"/>
              <w:rPr>
                <w:sz w:val="6"/>
                <w:szCs w:val="6"/>
                <w:color w:val="auto"/>
              </w:rPr>
            </w:pPr>
          </w:p>
        </w:tc>
        <w:tc>
          <w:tcPr>
            <w:tcW w:w="900" w:type="dxa"/>
            <w:vAlign w:val="bottom"/>
            <w:gridSpan w:val="2"/>
            <w:vMerge w:val="restart"/>
          </w:tcPr>
          <w:p>
            <w:pPr>
              <w:jc w:val="center"/>
              <w:ind w:right="180"/>
              <w:spacing w:after="0" w:line="100" w:lineRule="exact"/>
              <w:rPr>
                <w:sz w:val="20"/>
                <w:szCs w:val="20"/>
                <w:color w:val="auto"/>
              </w:rPr>
            </w:pPr>
            <w:r>
              <w:rPr>
                <w:rFonts w:ascii="Arial" w:cs="Arial" w:eastAsia="Arial" w:hAnsi="Arial"/>
                <w:sz w:val="11"/>
                <w:szCs w:val="11"/>
                <w:b w:val="1"/>
                <w:bCs w:val="1"/>
                <w:color w:val="auto"/>
              </w:rPr>
              <w:t>Other</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gridSpan w:val="5"/>
            <w:vMerge w:val="continue"/>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740" w:type="dxa"/>
            <w:vAlign w:val="bottom"/>
            <w:gridSpan w:val="3"/>
          </w:tcPr>
          <w:p>
            <w:pPr>
              <w:spacing w:after="0" w:line="100" w:lineRule="exact"/>
              <w:rPr>
                <w:sz w:val="20"/>
                <w:szCs w:val="20"/>
                <w:color w:val="auto"/>
              </w:rPr>
            </w:pPr>
            <w:r>
              <w:rPr>
                <w:rFonts w:ascii="Arial" w:cs="Arial" w:eastAsia="Arial" w:hAnsi="Arial"/>
                <w:sz w:val="11"/>
                <w:szCs w:val="11"/>
                <w:i w:val="1"/>
                <w:iCs w:val="1"/>
                <w:color w:val="auto"/>
              </w:rPr>
              <w:t>(in thousands, except share</w:t>
            </w:r>
          </w:p>
        </w:tc>
        <w:tc>
          <w:tcPr>
            <w:tcW w:w="20" w:type="dxa"/>
            <w:vAlign w:val="bottom"/>
          </w:tcPr>
          <w:p>
            <w:pPr>
              <w:spacing w:after="0"/>
              <w:rPr>
                <w:sz w:val="8"/>
                <w:szCs w:val="8"/>
                <w:color w:val="auto"/>
              </w:rPr>
            </w:pP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80" w:type="dxa"/>
            <w:vAlign w:val="bottom"/>
            <w:vMerge w:val="restart"/>
          </w:tcPr>
          <w:p>
            <w:pPr>
              <w:spacing w:after="0"/>
              <w:rPr>
                <w:sz w:val="8"/>
                <w:szCs w:val="8"/>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80" w:type="dxa"/>
            <w:vAlign w:val="bottom"/>
            <w:vMerge w:val="restart"/>
          </w:tcPr>
          <w:p>
            <w:pPr>
              <w:spacing w:after="0"/>
              <w:rPr>
                <w:sz w:val="8"/>
                <w:szCs w:val="8"/>
                <w:color w:val="auto"/>
              </w:rPr>
            </w:pPr>
          </w:p>
        </w:tc>
        <w:tc>
          <w:tcPr>
            <w:tcW w:w="7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6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restart"/>
          </w:tcPr>
          <w:p>
            <w:pPr>
              <w:jc w:val="right"/>
              <w:ind w:right="72"/>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80" w:type="dxa"/>
            <w:vAlign w:val="bottom"/>
            <w:vMerge w:val="restart"/>
          </w:tcPr>
          <w:p>
            <w:pPr>
              <w:spacing w:after="0"/>
              <w:rPr>
                <w:sz w:val="8"/>
                <w:szCs w:val="8"/>
                <w:color w:val="auto"/>
              </w:rPr>
            </w:pP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Borders>
              <w:right w:val="single" w:sz="8" w:color="auto"/>
            </w:tcBorders>
            <w:vMerge w:val="restart"/>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80" w:type="dxa"/>
            <w:vAlign w:val="bottom"/>
            <w:gridSpan w:val="2"/>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gridSpan w:val="2"/>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4"/>
          </w:tcPr>
          <w:p>
            <w:pPr>
              <w:jc w:val="center"/>
              <w:ind w:right="220"/>
              <w:spacing w:after="0" w:line="100" w:lineRule="exact"/>
              <w:rPr>
                <w:sz w:val="20"/>
                <w:szCs w:val="20"/>
                <w:color w:val="auto"/>
              </w:rPr>
            </w:pPr>
            <w:r>
              <w:rPr>
                <w:rFonts w:ascii="Arial" w:cs="Arial" w:eastAsia="Arial" w:hAnsi="Arial"/>
                <w:sz w:val="11"/>
                <w:szCs w:val="11"/>
                <w:b w:val="1"/>
                <w:bCs w:val="1"/>
                <w:color w:val="auto"/>
              </w:rPr>
              <w:t>Paid-in</w:t>
            </w:r>
          </w:p>
        </w:tc>
        <w:tc>
          <w:tcPr>
            <w:tcW w:w="980" w:type="dxa"/>
            <w:vAlign w:val="bottom"/>
            <w:gridSpan w:val="3"/>
          </w:tcPr>
          <w:p>
            <w:pPr>
              <w:jc w:val="center"/>
              <w:ind w:right="80"/>
              <w:spacing w:after="0" w:line="100" w:lineRule="exact"/>
              <w:rPr>
                <w:sz w:val="20"/>
                <w:szCs w:val="20"/>
                <w:color w:val="auto"/>
              </w:rPr>
            </w:pPr>
            <w:r>
              <w:rPr>
                <w:rFonts w:ascii="Arial" w:cs="Arial" w:eastAsia="Arial" w:hAnsi="Arial"/>
                <w:sz w:val="11"/>
                <w:szCs w:val="11"/>
                <w:b w:val="1"/>
                <w:bCs w:val="1"/>
                <w:color w:val="auto"/>
                <w:w w:val="99"/>
              </w:rPr>
              <w:t>Comprehensive</w:t>
            </w:r>
          </w:p>
        </w:tc>
        <w:tc>
          <w:tcPr>
            <w:tcW w:w="880" w:type="dxa"/>
            <w:vAlign w:val="bottom"/>
            <w:gridSpan w:val="3"/>
          </w:tcPr>
          <w:p>
            <w:pPr>
              <w:jc w:val="center"/>
              <w:ind w:right="60"/>
              <w:spacing w:after="0" w:line="100" w:lineRule="exact"/>
              <w:rPr>
                <w:sz w:val="20"/>
                <w:szCs w:val="20"/>
                <w:color w:val="auto"/>
              </w:rPr>
            </w:pPr>
            <w:r>
              <w:rPr>
                <w:rFonts w:ascii="Arial" w:cs="Arial" w:eastAsia="Arial" w:hAnsi="Arial"/>
                <w:sz w:val="11"/>
                <w:szCs w:val="11"/>
                <w:b w:val="1"/>
                <w:bCs w:val="1"/>
                <w:color w:val="auto"/>
              </w:rPr>
              <w:t>Accumulated</w:t>
            </w:r>
          </w:p>
        </w:tc>
        <w:tc>
          <w:tcPr>
            <w:tcW w:w="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i w:val="1"/>
                <w:iCs w:val="1"/>
                <w:color w:val="auto"/>
              </w:rPr>
              <w:t>amounts)</w:t>
            </w:r>
          </w:p>
        </w:tc>
        <w:tc>
          <w:tcPr>
            <w:tcW w:w="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8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CCEEFF"/>
              <w:right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gridSpan w:val="2"/>
            <w:vMerge w:val="continue"/>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gridSpan w:val="2"/>
            <w:vMerge w:val="continue"/>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2"/>
              <w:spacing w:after="0"/>
              <w:rPr>
                <w:sz w:val="20"/>
                <w:szCs w:val="20"/>
                <w:color w:val="auto"/>
              </w:rPr>
            </w:pPr>
            <w:r>
              <w:rPr>
                <w:rFonts w:ascii="Arial" w:cs="Arial" w:eastAsia="Arial" w:hAnsi="Arial"/>
                <w:sz w:val="12"/>
                <w:szCs w:val="12"/>
                <w:b w:val="1"/>
                <w:bCs w:val="1"/>
                <w:color w:val="auto"/>
                <w:w w:val="94"/>
              </w:rPr>
              <w:t>Capital</w:t>
            </w:r>
          </w:p>
        </w:tc>
        <w:tc>
          <w:tcPr>
            <w:tcW w:w="8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0"/>
              </w:rPr>
              <w:t>Income (Loss)</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0"/>
              <w:spacing w:after="0"/>
              <w:rPr>
                <w:sz w:val="20"/>
                <w:szCs w:val="20"/>
                <w:color w:val="auto"/>
              </w:rPr>
            </w:pPr>
            <w:r>
              <w:rPr>
                <w:rFonts w:ascii="Arial" w:cs="Arial" w:eastAsia="Arial" w:hAnsi="Arial"/>
                <w:sz w:val="12"/>
                <w:szCs w:val="12"/>
                <w:b w:val="1"/>
                <w:bCs w:val="1"/>
                <w:color w:val="auto"/>
                <w:w w:val="98"/>
              </w:rPr>
              <w:t>Deficit</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2"/>
              <w:spacing w:after="0"/>
              <w:rPr>
                <w:sz w:val="20"/>
                <w:szCs w:val="20"/>
                <w:color w:val="auto"/>
              </w:rPr>
            </w:pPr>
            <w:r>
              <w:rPr>
                <w:rFonts w:ascii="Arial" w:cs="Arial" w:eastAsia="Arial" w:hAnsi="Arial"/>
                <w:sz w:val="12"/>
                <w:szCs w:val="12"/>
                <w:b w:val="1"/>
                <w:bCs w:val="1"/>
                <w:color w:val="auto"/>
                <w:w w:val="92"/>
              </w:rPr>
              <w:t>Deficit</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w w:val="94"/>
              </w:rPr>
              <w:t>Balances at March 31, 2020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9"/>
              </w:rPr>
              <w:t>13,174,805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5,494</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16,836,436</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5"/>
              </w:rPr>
              <w:t>$ 27,067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32,932,218</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39"/>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(17,640)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(17,390)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40" w:type="dxa"/>
            <w:vAlign w:val="bottom"/>
            <w:gridSpan w:val="3"/>
          </w:tcPr>
          <w:p>
            <w:pPr>
              <w:spacing w:after="0" w:line="133" w:lineRule="exact"/>
              <w:rPr>
                <w:sz w:val="20"/>
                <w:szCs w:val="20"/>
                <w:color w:val="auto"/>
              </w:rPr>
            </w:pPr>
            <w:r>
              <w:rPr>
                <w:rFonts w:ascii="Arial" w:cs="Arial" w:eastAsia="Arial" w:hAnsi="Arial"/>
                <w:sz w:val="14"/>
                <w:szCs w:val="14"/>
                <w:color w:val="auto"/>
              </w:rPr>
              <w:t>Issuance of common stock</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40" w:type="dxa"/>
            <w:vAlign w:val="bottom"/>
            <w:gridSpan w:val="3"/>
          </w:tcPr>
          <w:p>
            <w:pPr>
              <w:ind w:left="160"/>
              <w:spacing w:after="0" w:line="133" w:lineRule="exact"/>
              <w:rPr>
                <w:sz w:val="20"/>
                <w:szCs w:val="20"/>
                <w:color w:val="auto"/>
              </w:rPr>
            </w:pPr>
            <w:r>
              <w:rPr>
                <w:rFonts w:ascii="Arial" w:cs="Arial" w:eastAsia="Arial" w:hAnsi="Arial"/>
                <w:sz w:val="14"/>
                <w:szCs w:val="14"/>
                <w:color w:val="auto"/>
              </w:rPr>
              <w:t>upon exercise of vested</w:t>
            </w:r>
          </w:p>
        </w:tc>
        <w:tc>
          <w:tcPr>
            <w:tcW w:w="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27,323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gridSpan w:val="4"/>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gridSpan w:val="3"/>
          </w:tcPr>
          <w:p>
            <w:pPr>
              <w:ind w:left="160"/>
              <w:spacing w:after="0"/>
              <w:rPr>
                <w:sz w:val="20"/>
                <w:szCs w:val="20"/>
                <w:color w:val="auto"/>
              </w:rPr>
            </w:pPr>
            <w:r>
              <w:rPr>
                <w:rFonts w:ascii="Arial" w:cs="Arial" w:eastAsia="Arial" w:hAnsi="Arial"/>
                <w:sz w:val="14"/>
                <w:szCs w:val="14"/>
                <w:color w:val="auto"/>
              </w:rPr>
              <w:t>stock options</w:t>
            </w:r>
          </w:p>
        </w:tc>
        <w:tc>
          <w:tcPr>
            <w:tcW w:w="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right w:val="single" w:sz="8" w:color="auto"/>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74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color w:val="auto"/>
              </w:rPr>
              <w:t>Issuance of redeemable</w:t>
            </w: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1740" w:type="dxa"/>
            <w:vAlign w:val="bottom"/>
            <w:gridSpan w:val="3"/>
            <w:shd w:val="clear" w:color="auto" w:fill="CCEEFF"/>
          </w:tcPr>
          <w:p>
            <w:pPr>
              <w:ind w:left="160"/>
              <w:spacing w:after="0" w:line="133" w:lineRule="exact"/>
              <w:rPr>
                <w:sz w:val="20"/>
                <w:szCs w:val="20"/>
                <w:color w:val="auto"/>
              </w:rPr>
            </w:pPr>
            <w:r>
              <w:rPr>
                <w:rFonts w:ascii="Arial" w:cs="Arial" w:eastAsia="Arial" w:hAnsi="Arial"/>
                <w:sz w:val="14"/>
                <w:szCs w:val="14"/>
                <w:color w:val="auto"/>
                <w:w w:val="92"/>
              </w:rPr>
              <w:t>convertible preferred stock,</w:t>
            </w: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1740" w:type="dxa"/>
            <w:vAlign w:val="bottom"/>
            <w:gridSpan w:val="3"/>
            <w:shd w:val="clear" w:color="auto" w:fill="CCEEFF"/>
          </w:tcPr>
          <w:p>
            <w:pPr>
              <w:ind w:left="160"/>
              <w:spacing w:after="0" w:line="133" w:lineRule="exact"/>
              <w:rPr>
                <w:sz w:val="20"/>
                <w:szCs w:val="20"/>
                <w:color w:val="auto"/>
              </w:rPr>
            </w:pPr>
            <w:r>
              <w:rPr>
                <w:rFonts w:ascii="Arial" w:cs="Arial" w:eastAsia="Arial" w:hAnsi="Arial"/>
                <w:sz w:val="14"/>
                <w:szCs w:val="14"/>
                <w:color w:val="auto"/>
              </w:rPr>
              <w:t>net of issuance costs of</w:t>
            </w: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17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$0.2 million</w:t>
            </w:r>
          </w:p>
        </w:tc>
        <w:tc>
          <w:tcPr>
            <w:tcW w:w="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9"/>
              </w:rPr>
              <w:t>22,164,724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75,857</w:t>
            </w:r>
          </w:p>
        </w:tc>
        <w:tc>
          <w:tcPr>
            <w:tcW w:w="12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3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40" w:type="dxa"/>
            <w:vAlign w:val="bottom"/>
            <w:gridSpan w:val="3"/>
          </w:tcPr>
          <w:p>
            <w:pPr>
              <w:spacing w:after="0" w:line="133" w:lineRule="exact"/>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740" w:type="dxa"/>
            <w:vAlign w:val="bottom"/>
            <w:gridSpan w:val="3"/>
          </w:tcPr>
          <w:p>
            <w:pPr>
              <w:spacing w:after="0"/>
              <w:rPr>
                <w:sz w:val="20"/>
                <w:szCs w:val="20"/>
                <w:color w:val="auto"/>
              </w:rPr>
            </w:pPr>
            <w:r>
              <w:rPr>
                <w:rFonts w:ascii="Arial" w:cs="Arial" w:eastAsia="Arial" w:hAnsi="Arial"/>
                <w:sz w:val="14"/>
                <w:szCs w:val="14"/>
                <w:color w:val="auto"/>
              </w:rPr>
              <w:t>expense</w:t>
            </w:r>
          </w:p>
        </w:tc>
        <w:tc>
          <w:tcPr>
            <w:tcW w:w="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3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12"/>
        </w:trPr>
        <w:tc>
          <w:tcPr>
            <w:tcW w:w="2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Net loss</w:t>
            </w:r>
          </w:p>
        </w:tc>
        <w:tc>
          <w:tcPr>
            <w:tcW w:w="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right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w w:val="99"/>
              </w:rPr>
              <w:t>Balances at June 30, 2020</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99"/>
              </w:rPr>
              <w:t>13,174,805</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5,494</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16,836,436</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w w:val="95"/>
              </w:rPr>
              <w:t>$ 27,067</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99"/>
              </w:rPr>
              <w:t>22,164,724</w:t>
            </w: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91"/>
              </w:rPr>
              <w:t>$ 75,857</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32,959,541</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0"/>
                <w:szCs w:val="10"/>
                <w:color w:val="auto"/>
                <w:w w:val="71"/>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(20,995)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(20,725)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78" w:right="339" w:bottom="1440" w:gutter="0" w:footer="0" w:header="0"/>
        </w:sectPr>
      </w:pPr>
    </w:p>
    <w:bookmarkStart w:id="9" w:name="page10"/>
    <w:bookmarkEnd w:id="9"/>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Condensed Consolidated Statements of Redeemable Convertible Preferred Stock and Stockholders’ Equity (Deficit)</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Three and Six Months Ended June 30, 2021 and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17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i w:val="1"/>
                <w:iCs w:val="1"/>
                <w:color w:val="auto"/>
                <w:w w:val="90"/>
              </w:rPr>
              <w:t>Six Months Ended June 30, 2021</w:t>
            </w:r>
          </w:p>
        </w:tc>
        <w:tc>
          <w:tcPr>
            <w:tcW w:w="4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40" w:type="dxa"/>
            <w:vAlign w:val="bottom"/>
            <w:gridSpan w:val="13"/>
            <w:vMerge w:val="restart"/>
          </w:tcPr>
          <w:p>
            <w:pPr>
              <w:jc w:val="center"/>
              <w:ind w:right="440"/>
              <w:spacing w:after="0"/>
              <w:rPr>
                <w:sz w:val="20"/>
                <w:szCs w:val="20"/>
                <w:color w:val="auto"/>
              </w:rPr>
            </w:pPr>
            <w:r>
              <w:rPr>
                <w:rFonts w:ascii="Arial" w:cs="Arial" w:eastAsia="Arial" w:hAnsi="Arial"/>
                <w:sz w:val="12"/>
                <w:szCs w:val="12"/>
                <w:b w:val="1"/>
                <w:bCs w:val="1"/>
                <w:color w:val="auto"/>
                <w:w w:val="92"/>
              </w:rPr>
              <w:t>Redeemable Convertible Preferred Stock</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92"/>
              </w:rPr>
              <w:t>Accumulated</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center"/>
              <w:ind w:right="71"/>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gridSpan w:val="13"/>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gridSpan w:val="3"/>
            <w:vMerge w:val="restart"/>
          </w:tcPr>
          <w:p>
            <w:pPr>
              <w:jc w:val="right"/>
              <w:spacing w:after="0" w:line="134" w:lineRule="exact"/>
              <w:rPr>
                <w:sz w:val="20"/>
                <w:szCs w:val="20"/>
                <w:color w:val="auto"/>
              </w:rPr>
            </w:pPr>
            <w:r>
              <w:rPr>
                <w:rFonts w:ascii="Arial" w:cs="Arial" w:eastAsia="Arial" w:hAnsi="Arial"/>
                <w:sz w:val="12"/>
                <w:szCs w:val="12"/>
                <w:b w:val="1"/>
                <w:bCs w:val="1"/>
                <w:color w:val="auto"/>
              </w:rPr>
              <w:t>Series Seed</w:t>
            </w: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5"/>
            <w:vMerge w:val="restart"/>
          </w:tcPr>
          <w:p>
            <w:pPr>
              <w:jc w:val="center"/>
              <w:ind w:left="411"/>
              <w:spacing w:after="0" w:line="134" w:lineRule="exact"/>
              <w:rPr>
                <w:sz w:val="20"/>
                <w:szCs w:val="20"/>
                <w:color w:val="auto"/>
              </w:rPr>
            </w:pPr>
            <w:r>
              <w:rPr>
                <w:rFonts w:ascii="Arial" w:cs="Arial" w:eastAsia="Arial" w:hAnsi="Arial"/>
                <w:sz w:val="12"/>
                <w:szCs w:val="12"/>
                <w:b w:val="1"/>
                <w:bCs w:val="1"/>
                <w:color w:val="auto"/>
                <w:w w:val="91"/>
              </w:rPr>
              <w:t>Series A</w:t>
            </w: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gridSpan w:val="3"/>
            <w:vMerge w:val="restart"/>
          </w:tcPr>
          <w:p>
            <w:pPr>
              <w:jc w:val="right"/>
              <w:spacing w:after="0" w:line="134" w:lineRule="exact"/>
              <w:rPr>
                <w:sz w:val="20"/>
                <w:szCs w:val="20"/>
                <w:color w:val="auto"/>
              </w:rPr>
            </w:pPr>
            <w:r>
              <w:rPr>
                <w:rFonts w:ascii="Arial" w:cs="Arial" w:eastAsia="Arial" w:hAnsi="Arial"/>
                <w:sz w:val="12"/>
                <w:szCs w:val="12"/>
                <w:b w:val="1"/>
                <w:bCs w:val="1"/>
                <w:color w:val="auto"/>
              </w:rPr>
              <w:t>Series B</w:t>
            </w:r>
          </w:p>
        </w:tc>
        <w:tc>
          <w:tcPr>
            <w:tcW w:w="46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gridSpan w:val="5"/>
            <w:vMerge w:val="restart"/>
          </w:tcPr>
          <w:p>
            <w:pPr>
              <w:jc w:val="right"/>
              <w:spacing w:after="0" w:line="134" w:lineRule="exact"/>
              <w:rPr>
                <w:sz w:val="20"/>
                <w:szCs w:val="20"/>
                <w:color w:val="auto"/>
              </w:rPr>
            </w:pPr>
            <w:r>
              <w:rPr>
                <w:rFonts w:ascii="Arial" w:cs="Arial" w:eastAsia="Arial" w:hAnsi="Arial"/>
                <w:sz w:val="12"/>
                <w:szCs w:val="12"/>
                <w:b w:val="1"/>
                <w:bCs w:val="1"/>
                <w:color w:val="auto"/>
              </w:rPr>
              <w:t>Common Stock</w:t>
            </w: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2"/>
            <w:vMerge w:val="restart"/>
          </w:tcPr>
          <w:p>
            <w:pPr>
              <w:jc w:val="center"/>
              <w:spacing w:after="0" w:line="134" w:lineRule="exact"/>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gridSpan w:val="5"/>
            <w:vMerge w:val="continue"/>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120" w:type="dxa"/>
            <w:vAlign w:val="bottom"/>
            <w:gridSpan w:val="5"/>
            <w:vMerge w:val="continue"/>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gridSpan w:val="5"/>
            <w:vMerge w:val="restart"/>
          </w:tcPr>
          <w:p>
            <w:pPr>
              <w:jc w:val="center"/>
              <w:ind w:right="100"/>
              <w:spacing w:after="0" w:line="100" w:lineRule="exact"/>
              <w:rPr>
                <w:sz w:val="20"/>
                <w:szCs w:val="20"/>
                <w:color w:val="auto"/>
              </w:rPr>
            </w:pPr>
            <w:r>
              <w:rPr>
                <w:rFonts w:ascii="Arial" w:cs="Arial" w:eastAsia="Arial" w:hAnsi="Arial"/>
                <w:sz w:val="11"/>
                <w:szCs w:val="11"/>
                <w:b w:val="1"/>
                <w:bCs w:val="1"/>
                <w:color w:val="auto"/>
              </w:rPr>
              <w:t>Additional</w:t>
            </w:r>
          </w:p>
        </w:tc>
        <w:tc>
          <w:tcPr>
            <w:tcW w:w="80" w:type="dxa"/>
            <w:vAlign w:val="bottom"/>
          </w:tcPr>
          <w:p>
            <w:pPr>
              <w:spacing w:after="0"/>
              <w:rPr>
                <w:sz w:val="6"/>
                <w:szCs w:val="6"/>
                <w:color w:val="auto"/>
              </w:rPr>
            </w:pPr>
          </w:p>
        </w:tc>
        <w:tc>
          <w:tcPr>
            <w:tcW w:w="900" w:type="dxa"/>
            <w:vAlign w:val="bottom"/>
            <w:gridSpan w:val="2"/>
            <w:vMerge w:val="restart"/>
          </w:tcPr>
          <w:p>
            <w:pPr>
              <w:jc w:val="center"/>
              <w:ind w:right="160"/>
              <w:spacing w:after="0" w:line="100" w:lineRule="exact"/>
              <w:rPr>
                <w:sz w:val="20"/>
                <w:szCs w:val="20"/>
                <w:color w:val="auto"/>
              </w:rPr>
            </w:pPr>
            <w:r>
              <w:rPr>
                <w:rFonts w:ascii="Arial" w:cs="Arial" w:eastAsia="Arial" w:hAnsi="Arial"/>
                <w:sz w:val="11"/>
                <w:szCs w:val="11"/>
                <w:b w:val="1"/>
                <w:bCs w:val="1"/>
                <w:color w:val="auto"/>
              </w:rPr>
              <w:t>Other</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gridSpan w:val="5"/>
            <w:vMerge w:val="continue"/>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vMerge w:val="restart"/>
          </w:tcPr>
          <w:p>
            <w:pPr>
              <w:jc w:val="center"/>
              <w:ind w:right="71"/>
              <w:spacing w:after="0"/>
              <w:rPr>
                <w:sz w:val="20"/>
                <w:szCs w:val="20"/>
                <w:color w:val="auto"/>
              </w:rPr>
            </w:pPr>
            <w:r>
              <w:rPr>
                <w:rFonts w:ascii="Arial" w:cs="Arial" w:eastAsia="Arial" w:hAnsi="Arial"/>
                <w:sz w:val="12"/>
                <w:szCs w:val="12"/>
                <w:b w:val="1"/>
                <w:bCs w:val="1"/>
                <w:color w:val="auto"/>
                <w:w w:val="93"/>
              </w:rPr>
              <w:t>(Deficit)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740" w:type="dxa"/>
            <w:vAlign w:val="bottom"/>
            <w:gridSpan w:val="2"/>
          </w:tcPr>
          <w:p>
            <w:pPr>
              <w:spacing w:after="0" w:line="100" w:lineRule="exact"/>
              <w:rPr>
                <w:sz w:val="20"/>
                <w:szCs w:val="20"/>
                <w:color w:val="auto"/>
              </w:rPr>
            </w:pPr>
            <w:r>
              <w:rPr>
                <w:rFonts w:ascii="Arial" w:cs="Arial" w:eastAsia="Arial" w:hAnsi="Arial"/>
                <w:sz w:val="11"/>
                <w:szCs w:val="11"/>
                <w:i w:val="1"/>
                <w:iCs w:val="1"/>
                <w:color w:val="auto"/>
              </w:rPr>
              <w:t>(in thousands, except share</w:t>
            </w:r>
          </w:p>
        </w:tc>
        <w:tc>
          <w:tcPr>
            <w:tcW w:w="20" w:type="dxa"/>
            <w:vAlign w:val="bottom"/>
          </w:tcPr>
          <w:p>
            <w:pPr>
              <w:spacing w:after="0"/>
              <w:rPr>
                <w:sz w:val="8"/>
                <w:szCs w:val="8"/>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6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84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20" w:type="dxa"/>
            <w:vAlign w:val="bottom"/>
          </w:tcPr>
          <w:p>
            <w:pPr>
              <w:spacing w:after="0"/>
              <w:rPr>
                <w:sz w:val="8"/>
                <w:szCs w:val="8"/>
                <w:color w:val="auto"/>
              </w:rPr>
            </w:pPr>
          </w:p>
        </w:tc>
        <w:tc>
          <w:tcPr>
            <w:tcW w:w="64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8"/>
                <w:szCs w:val="8"/>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70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8"/>
                <w:szCs w:val="8"/>
                <w:color w:val="auto"/>
              </w:rPr>
            </w:pPr>
          </w:p>
        </w:tc>
        <w:tc>
          <w:tcPr>
            <w:tcW w:w="860" w:type="dxa"/>
            <w:vAlign w:val="bottom"/>
            <w:gridSpan w:val="4"/>
            <w:vMerge w:val="restart"/>
          </w:tcPr>
          <w:p>
            <w:pPr>
              <w:ind w:left="140"/>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600" w:type="dxa"/>
            <w:vAlign w:val="bottom"/>
            <w:gridSpan w:val="5"/>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8"/>
                <w:szCs w:val="8"/>
                <w:color w:val="auto"/>
              </w:rPr>
            </w:pPr>
          </w:p>
        </w:tc>
        <w:tc>
          <w:tcPr>
            <w:tcW w:w="640" w:type="dxa"/>
            <w:vAlign w:val="bottom"/>
            <w:gridSpan w:val="4"/>
          </w:tcPr>
          <w:p>
            <w:pPr>
              <w:jc w:val="center"/>
              <w:ind w:right="200"/>
              <w:spacing w:after="0" w:line="100" w:lineRule="exact"/>
              <w:rPr>
                <w:sz w:val="20"/>
                <w:szCs w:val="20"/>
                <w:color w:val="auto"/>
              </w:rPr>
            </w:pPr>
            <w:r>
              <w:rPr>
                <w:rFonts w:ascii="Arial" w:cs="Arial" w:eastAsia="Arial" w:hAnsi="Arial"/>
                <w:sz w:val="11"/>
                <w:szCs w:val="11"/>
                <w:b w:val="1"/>
                <w:bCs w:val="1"/>
                <w:color w:val="auto"/>
              </w:rPr>
              <w:t>Paid-in</w:t>
            </w:r>
          </w:p>
        </w:tc>
        <w:tc>
          <w:tcPr>
            <w:tcW w:w="980" w:type="dxa"/>
            <w:vAlign w:val="bottom"/>
            <w:gridSpan w:val="3"/>
          </w:tcPr>
          <w:p>
            <w:pPr>
              <w:jc w:val="center"/>
              <w:ind w:right="80"/>
              <w:spacing w:after="0" w:line="100" w:lineRule="exact"/>
              <w:rPr>
                <w:sz w:val="20"/>
                <w:szCs w:val="20"/>
                <w:color w:val="auto"/>
              </w:rPr>
            </w:pPr>
            <w:r>
              <w:rPr>
                <w:rFonts w:ascii="Arial" w:cs="Arial" w:eastAsia="Arial" w:hAnsi="Arial"/>
                <w:sz w:val="11"/>
                <w:szCs w:val="11"/>
                <w:b w:val="1"/>
                <w:bCs w:val="1"/>
                <w:color w:val="auto"/>
                <w:w w:val="99"/>
              </w:rPr>
              <w:t>Comprehensive</w:t>
            </w:r>
          </w:p>
        </w:tc>
        <w:tc>
          <w:tcPr>
            <w:tcW w:w="880" w:type="dxa"/>
            <w:vAlign w:val="bottom"/>
            <w:gridSpan w:val="3"/>
          </w:tcPr>
          <w:p>
            <w:pPr>
              <w:jc w:val="center"/>
              <w:ind w:right="60"/>
              <w:spacing w:after="0" w:line="100" w:lineRule="exact"/>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40" w:type="dxa"/>
            <w:vAlign w:val="bottom"/>
            <w:gridSpan w:val="2"/>
          </w:tcPr>
          <w:p>
            <w:pPr>
              <w:spacing w:after="0"/>
              <w:rPr>
                <w:sz w:val="20"/>
                <w:szCs w:val="20"/>
                <w:color w:val="auto"/>
              </w:rPr>
            </w:pPr>
            <w:r>
              <w:rPr>
                <w:rFonts w:ascii="Arial" w:cs="Arial" w:eastAsia="Arial" w:hAnsi="Arial"/>
                <w:sz w:val="12"/>
                <w:szCs w:val="12"/>
                <w:i w:val="1"/>
                <w:iCs w:val="1"/>
                <w:color w:val="auto"/>
              </w:rPr>
              <w:t>amounts)</w:t>
            </w:r>
          </w:p>
        </w:tc>
        <w:tc>
          <w:tcPr>
            <w:tcW w:w="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00" w:type="dxa"/>
            <w:vAlign w:val="bottom"/>
            <w:tcBorders>
              <w:right w:val="single" w:sz="8" w:color="auto"/>
            </w:tcBorders>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60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99"/>
              </w:rPr>
              <w:t>Capital</w:t>
            </w:r>
          </w:p>
        </w:tc>
        <w:tc>
          <w:tcPr>
            <w:tcW w:w="98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0"/>
              </w:rPr>
              <w:t>Income (Loss)</w:t>
            </w:r>
          </w:p>
        </w:tc>
        <w:tc>
          <w:tcPr>
            <w:tcW w:w="16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Deficit</w:t>
            </w:r>
          </w:p>
        </w:tc>
        <w:tc>
          <w:tcPr>
            <w:tcW w:w="140" w:type="dxa"/>
            <w:vAlign w:val="bottom"/>
          </w:tcPr>
          <w:p>
            <w:pPr>
              <w:spacing w:after="0"/>
              <w:rPr>
                <w:sz w:val="14"/>
                <w:szCs w:val="14"/>
                <w:color w:val="auto"/>
              </w:rPr>
            </w:pPr>
          </w:p>
        </w:tc>
        <w:tc>
          <w:tcPr>
            <w:tcW w:w="680" w:type="dxa"/>
            <w:vAlign w:val="bottom"/>
          </w:tcPr>
          <w:p>
            <w:pPr>
              <w:jc w:val="center"/>
              <w:ind w:right="71"/>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12"/>
        </w:trPr>
        <w:tc>
          <w:tcPr>
            <w:tcW w:w="20" w:type="dxa"/>
            <w:vAlign w:val="bottom"/>
            <w:tcBorders>
              <w:top w:val="single" w:sz="8" w:color="CCEEFF"/>
            </w:tcBorders>
            <w:shd w:val="clear" w:color="auto" w:fill="CCEEFF"/>
          </w:tcPr>
          <w:p>
            <w:pPr>
              <w:spacing w:after="0"/>
              <w:rPr>
                <w:sz w:val="9"/>
                <w:szCs w:val="9"/>
                <w:color w:val="auto"/>
              </w:rPr>
            </w:pPr>
          </w:p>
        </w:tc>
        <w:tc>
          <w:tcPr>
            <w:tcW w:w="17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3"/>
                <w:szCs w:val="13"/>
                <w:b w:val="1"/>
                <w:bCs w:val="1"/>
                <w:color w:val="auto"/>
              </w:rPr>
              <w:t>Balances at December 31,</w:t>
            </w:r>
          </w:p>
        </w:tc>
        <w:tc>
          <w:tcPr>
            <w:tcW w:w="7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13,174,805</w:t>
            </w: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1"/>
              </w:rPr>
              <w:t>5,494</w:t>
            </w:r>
          </w:p>
        </w:tc>
        <w:tc>
          <w:tcPr>
            <w:tcW w:w="8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16,836,436</w:t>
            </w: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1"/>
              </w:rPr>
              <w:t>$ 27,067</w:t>
            </w: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gridSpan w:val="2"/>
            <w:vMerge w:val="restart"/>
            <w:shd w:val="clear" w:color="auto" w:fill="CCEEFF"/>
          </w:tcPr>
          <w:p>
            <w:pPr>
              <w:jc w:val="right"/>
              <w:ind w:right="12"/>
              <w:spacing w:after="0"/>
              <w:rPr>
                <w:sz w:val="20"/>
                <w:szCs w:val="20"/>
                <w:color w:val="auto"/>
              </w:rPr>
            </w:pPr>
            <w:r>
              <w:rPr>
                <w:rFonts w:ascii="Arial" w:cs="Arial" w:eastAsia="Arial" w:hAnsi="Arial"/>
                <w:sz w:val="14"/>
                <w:szCs w:val="14"/>
                <w:color w:val="auto"/>
                <w:w w:val="96"/>
              </w:rPr>
              <w:t>22,164,724</w:t>
            </w:r>
          </w:p>
        </w:tc>
        <w:tc>
          <w:tcPr>
            <w:tcW w:w="8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1"/>
              </w:rPr>
              <w:t>$ 75,857</w:t>
            </w:r>
          </w:p>
        </w:tc>
        <w:tc>
          <w:tcPr>
            <w:tcW w:w="120" w:type="dxa"/>
            <w:vAlign w:val="bottom"/>
            <w:tcBorders>
              <w:top w:val="single" w:sz="8" w:color="CCEEFF"/>
              <w:right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33,069,513</w:t>
            </w:r>
          </w:p>
        </w:tc>
        <w:tc>
          <w:tcPr>
            <w:tcW w:w="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vMerge w:val="restart"/>
            <w:shd w:val="clear" w:color="auto" w:fill="CCEEFF"/>
          </w:tcPr>
          <w:p>
            <w:pPr>
              <w:jc w:val="right"/>
              <w:ind w:right="119"/>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(30,325)</w:t>
            </w: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(29,721)</w:t>
            </w:r>
          </w:p>
        </w:tc>
        <w:tc>
          <w:tcPr>
            <w:tcW w:w="0" w:type="dxa"/>
            <w:vAlign w:val="bottom"/>
          </w:tcPr>
          <w:p>
            <w:pPr>
              <w:spacing w:after="0"/>
              <w:rPr>
                <w:sz w:val="1"/>
                <w:szCs w:val="1"/>
                <w:color w:val="auto"/>
              </w:rPr>
            </w:pPr>
          </w:p>
        </w:tc>
      </w:tr>
      <w:tr>
        <w:trPr>
          <w:trHeight w:val="186"/>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2020</w:t>
            </w:r>
          </w:p>
        </w:tc>
        <w:tc>
          <w:tcPr>
            <w:tcW w:w="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40" w:type="dxa"/>
            <w:vAlign w:val="bottom"/>
            <w:gridSpan w:val="2"/>
          </w:tcPr>
          <w:p>
            <w:pPr>
              <w:spacing w:after="0" w:line="133" w:lineRule="exact"/>
              <w:rPr>
                <w:sz w:val="20"/>
                <w:szCs w:val="20"/>
                <w:color w:val="auto"/>
              </w:rPr>
            </w:pPr>
            <w:r>
              <w:rPr>
                <w:rFonts w:ascii="Arial" w:cs="Arial" w:eastAsia="Arial" w:hAnsi="Arial"/>
                <w:sz w:val="14"/>
                <w:szCs w:val="14"/>
                <w:color w:val="auto"/>
              </w:rPr>
              <w:t>Issuance of common stock</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40" w:type="dxa"/>
            <w:vAlign w:val="bottom"/>
            <w:gridSpan w:val="2"/>
          </w:tcPr>
          <w:p>
            <w:pPr>
              <w:ind w:left="160"/>
              <w:spacing w:after="0" w:line="133" w:lineRule="exact"/>
              <w:rPr>
                <w:sz w:val="20"/>
                <w:szCs w:val="20"/>
                <w:color w:val="auto"/>
              </w:rPr>
            </w:pPr>
            <w:r>
              <w:rPr>
                <w:rFonts w:ascii="Arial" w:cs="Arial" w:eastAsia="Arial" w:hAnsi="Arial"/>
                <w:sz w:val="14"/>
                <w:szCs w:val="14"/>
                <w:color w:val="auto"/>
              </w:rPr>
              <w:t>upon exercise of vested</w:t>
            </w:r>
          </w:p>
        </w:tc>
        <w:tc>
          <w:tcPr>
            <w:tcW w:w="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65,003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gridSpan w:val="4"/>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gridSpan w:val="2"/>
          </w:tcPr>
          <w:p>
            <w:pPr>
              <w:ind w:left="160"/>
              <w:spacing w:after="0"/>
              <w:rPr>
                <w:sz w:val="20"/>
                <w:szCs w:val="20"/>
                <w:color w:val="auto"/>
              </w:rPr>
            </w:pPr>
            <w:r>
              <w:rPr>
                <w:rFonts w:ascii="Arial" w:cs="Arial" w:eastAsia="Arial" w:hAnsi="Arial"/>
                <w:sz w:val="14"/>
                <w:szCs w:val="14"/>
                <w:color w:val="auto"/>
              </w:rPr>
              <w:t>stock options</w:t>
            </w:r>
          </w:p>
        </w:tc>
        <w:tc>
          <w:tcPr>
            <w:tcW w:w="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right w:val="single" w:sz="8" w:color="auto"/>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74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Issuance of common stock</w:t>
            </w: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97"/>
              </w:rPr>
              <w:t>upon exercise of warrants</w:t>
            </w:r>
          </w:p>
        </w:tc>
        <w:tc>
          <w:tcPr>
            <w:tcW w:w="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62,772</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40" w:type="dxa"/>
            <w:vAlign w:val="bottom"/>
            <w:gridSpan w:val="2"/>
          </w:tcPr>
          <w:p>
            <w:pPr>
              <w:spacing w:after="0" w:line="133" w:lineRule="exact"/>
              <w:rPr>
                <w:sz w:val="20"/>
                <w:szCs w:val="20"/>
                <w:color w:val="auto"/>
              </w:rPr>
            </w:pPr>
            <w:r>
              <w:rPr>
                <w:rFonts w:ascii="Arial" w:cs="Arial" w:eastAsia="Arial" w:hAnsi="Arial"/>
                <w:sz w:val="14"/>
                <w:szCs w:val="14"/>
                <w:color w:val="auto"/>
              </w:rPr>
              <w:t>Conversion of redeemable</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40" w:type="dxa"/>
            <w:vAlign w:val="bottom"/>
            <w:gridSpan w:val="2"/>
          </w:tcPr>
          <w:p>
            <w:pPr>
              <w:ind w:left="160"/>
              <w:spacing w:after="0" w:line="133" w:lineRule="exact"/>
              <w:rPr>
                <w:sz w:val="20"/>
                <w:szCs w:val="20"/>
                <w:color w:val="auto"/>
              </w:rPr>
            </w:pPr>
            <w:r>
              <w:rPr>
                <w:rFonts w:ascii="Arial" w:cs="Arial" w:eastAsia="Arial" w:hAnsi="Arial"/>
                <w:sz w:val="14"/>
                <w:szCs w:val="14"/>
                <w:color w:val="auto"/>
                <w:w w:val="94"/>
              </w:rPr>
              <w:t>convertible preferred stock</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40" w:type="dxa"/>
            <w:vAlign w:val="bottom"/>
            <w:gridSpan w:val="2"/>
          </w:tcPr>
          <w:p>
            <w:pPr>
              <w:ind w:left="160"/>
              <w:spacing w:after="0" w:line="133" w:lineRule="exact"/>
              <w:rPr>
                <w:sz w:val="20"/>
                <w:szCs w:val="20"/>
                <w:color w:val="auto"/>
              </w:rPr>
            </w:pPr>
            <w:r>
              <w:rPr>
                <w:rFonts w:ascii="Arial" w:cs="Arial" w:eastAsia="Arial" w:hAnsi="Arial"/>
                <w:sz w:val="14"/>
                <w:szCs w:val="14"/>
                <w:color w:val="auto"/>
              </w:rPr>
              <w:t>into common stock in</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40" w:type="dxa"/>
            <w:vAlign w:val="bottom"/>
            <w:gridSpan w:val="2"/>
          </w:tcPr>
          <w:p>
            <w:pPr>
              <w:ind w:left="160"/>
              <w:spacing w:after="0" w:line="133" w:lineRule="exact"/>
              <w:rPr>
                <w:sz w:val="20"/>
                <w:szCs w:val="20"/>
                <w:color w:val="auto"/>
              </w:rPr>
            </w:pPr>
            <w:r>
              <w:rPr>
                <w:rFonts w:ascii="Arial" w:cs="Arial" w:eastAsia="Arial" w:hAnsi="Arial"/>
                <w:sz w:val="14"/>
                <w:szCs w:val="14"/>
                <w:color w:val="auto"/>
                <w:w w:val="91"/>
              </w:rPr>
              <w:t>connection with the reverse</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108,418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740" w:type="dxa"/>
            <w:vAlign w:val="bottom"/>
            <w:gridSpan w:val="2"/>
          </w:tcPr>
          <w:p>
            <w:pPr>
              <w:ind w:left="160"/>
              <w:spacing w:after="0"/>
              <w:rPr>
                <w:sz w:val="20"/>
                <w:szCs w:val="20"/>
                <w:color w:val="auto"/>
              </w:rPr>
            </w:pPr>
            <w:r>
              <w:rPr>
                <w:rFonts w:ascii="Arial" w:cs="Arial" w:eastAsia="Arial" w:hAnsi="Arial"/>
                <w:sz w:val="14"/>
                <w:szCs w:val="14"/>
                <w:color w:val="auto"/>
              </w:rPr>
              <w:t>recapitalization</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w w:val="93"/>
              </w:rPr>
              <w:t>(13,174,805)</w:t>
            </w:r>
          </w:p>
        </w:tc>
        <w:tc>
          <w:tcPr>
            <w:tcW w:w="8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(5,494)</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0"/>
              </w:rPr>
              <w:t>(16,836,436)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3"/>
          </w:tcPr>
          <w:p>
            <w:pPr>
              <w:ind w:left="80"/>
              <w:spacing w:after="0"/>
              <w:rPr>
                <w:sz w:val="20"/>
                <w:szCs w:val="20"/>
                <w:color w:val="auto"/>
              </w:rPr>
            </w:pPr>
            <w:r>
              <w:rPr>
                <w:rFonts w:ascii="Arial" w:cs="Arial" w:eastAsia="Arial" w:hAnsi="Arial"/>
                <w:sz w:val="14"/>
                <w:szCs w:val="14"/>
                <w:color w:val="auto"/>
                <w:w w:val="91"/>
              </w:rPr>
              <w:t>(27,067)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w w:val="90"/>
              </w:rPr>
              <w:t>(22,164,724)</w:t>
            </w:r>
          </w:p>
        </w:tc>
        <w:tc>
          <w:tcPr>
            <w:tcW w:w="80" w:type="dxa"/>
            <w:vAlign w:val="bottom"/>
          </w:tcPr>
          <w:p>
            <w:pPr>
              <w:spacing w:after="0"/>
              <w:rPr>
                <w:sz w:val="16"/>
                <w:szCs w:val="16"/>
                <w:color w:val="auto"/>
              </w:rPr>
            </w:pPr>
          </w:p>
        </w:tc>
        <w:tc>
          <w:tcPr>
            <w:tcW w:w="580" w:type="dxa"/>
            <w:vAlign w:val="bottom"/>
            <w:gridSpan w:val="2"/>
          </w:tcPr>
          <w:p>
            <w:pPr>
              <w:ind w:left="60"/>
              <w:spacing w:after="0"/>
              <w:rPr>
                <w:sz w:val="20"/>
                <w:szCs w:val="20"/>
                <w:color w:val="auto"/>
              </w:rPr>
            </w:pPr>
            <w:r>
              <w:rPr>
                <w:rFonts w:ascii="Arial" w:cs="Arial" w:eastAsia="Arial" w:hAnsi="Arial"/>
                <w:sz w:val="14"/>
                <w:szCs w:val="14"/>
                <w:color w:val="auto"/>
                <w:w w:val="95"/>
              </w:rPr>
              <w:t>(75,857)</w:t>
            </w: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9"/>
              </w:rPr>
              <w:t>52,175,965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4"/>
              </w:rPr>
              <w:t>108,411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1740" w:type="dxa"/>
            <w:vAlign w:val="bottom"/>
            <w:gridSpan w:val="2"/>
            <w:shd w:val="clear" w:color="auto" w:fill="CCEEFF"/>
          </w:tcPr>
          <w:p>
            <w:pPr>
              <w:spacing w:after="0" w:line="133" w:lineRule="exact"/>
              <w:rPr>
                <w:sz w:val="20"/>
                <w:szCs w:val="20"/>
                <w:color w:val="auto"/>
              </w:rPr>
            </w:pPr>
            <w:r>
              <w:rPr>
                <w:rFonts w:ascii="Arial" w:cs="Arial" w:eastAsia="Arial" w:hAnsi="Arial"/>
                <w:sz w:val="14"/>
                <w:szCs w:val="14"/>
                <w:color w:val="auto"/>
              </w:rPr>
              <w:t>Issuance of common stock</w:t>
            </w: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1740" w:type="dxa"/>
            <w:vAlign w:val="bottom"/>
            <w:gridSpan w:val="2"/>
            <w:shd w:val="clear" w:color="auto" w:fill="CCEEFF"/>
          </w:tcPr>
          <w:p>
            <w:pPr>
              <w:ind w:left="160"/>
              <w:spacing w:after="0" w:line="133" w:lineRule="exact"/>
              <w:rPr>
                <w:sz w:val="20"/>
                <w:szCs w:val="20"/>
                <w:color w:val="auto"/>
              </w:rPr>
            </w:pPr>
            <w:r>
              <w:rPr>
                <w:rFonts w:ascii="Arial" w:cs="Arial" w:eastAsia="Arial" w:hAnsi="Arial"/>
                <w:sz w:val="14"/>
                <w:szCs w:val="14"/>
                <w:color w:val="auto"/>
              </w:rPr>
              <w:t>upon the reverse</w:t>
            </w: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1740" w:type="dxa"/>
            <w:vAlign w:val="bottom"/>
            <w:gridSpan w:val="2"/>
            <w:shd w:val="clear" w:color="auto" w:fill="CCEEFF"/>
          </w:tcPr>
          <w:p>
            <w:pPr>
              <w:ind w:left="160"/>
              <w:spacing w:after="0" w:line="133" w:lineRule="exact"/>
              <w:rPr>
                <w:sz w:val="20"/>
                <w:szCs w:val="20"/>
                <w:color w:val="auto"/>
              </w:rPr>
            </w:pPr>
            <w:r>
              <w:rPr>
                <w:rFonts w:ascii="Arial" w:cs="Arial" w:eastAsia="Arial" w:hAnsi="Arial"/>
                <w:sz w:val="14"/>
                <w:szCs w:val="14"/>
                <w:color w:val="auto"/>
              </w:rPr>
              <w:t>recapitalization, net of</w:t>
            </w: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327,280</w:t>
            </w: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issuance costs</w:t>
            </w:r>
          </w:p>
        </w:tc>
        <w:tc>
          <w:tcPr>
            <w:tcW w:w="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38,721,137</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327,276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40" w:type="dxa"/>
            <w:vAlign w:val="bottom"/>
            <w:gridSpan w:val="2"/>
          </w:tcPr>
          <w:p>
            <w:pPr>
              <w:spacing w:after="0" w:line="133" w:lineRule="exact"/>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3,156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740" w:type="dxa"/>
            <w:vAlign w:val="bottom"/>
            <w:gridSpan w:val="2"/>
          </w:tcPr>
          <w:p>
            <w:pPr>
              <w:spacing w:after="0"/>
              <w:rPr>
                <w:sz w:val="20"/>
                <w:szCs w:val="20"/>
                <w:color w:val="auto"/>
              </w:rPr>
            </w:pPr>
            <w:r>
              <w:rPr>
                <w:rFonts w:ascii="Arial" w:cs="Arial" w:eastAsia="Arial" w:hAnsi="Arial"/>
                <w:sz w:val="14"/>
                <w:szCs w:val="14"/>
                <w:color w:val="auto"/>
              </w:rPr>
              <w:t>expense</w:t>
            </w:r>
          </w:p>
        </w:tc>
        <w:tc>
          <w:tcPr>
            <w:tcW w:w="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3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3,156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12"/>
        </w:trPr>
        <w:tc>
          <w:tcPr>
            <w:tcW w:w="2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Net loss</w:t>
            </w: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right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(19,122)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(19,122)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w w:val="99"/>
              </w:rPr>
              <w:t>Balances at June 30, 2021</w:t>
            </w:r>
          </w:p>
        </w:tc>
        <w:tc>
          <w:tcPr>
            <w:tcW w:w="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124,094,390</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93"/>
              </w:rPr>
              <w:t>$ 439,489</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(49,447)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390,044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1740" w:type="dxa"/>
            <w:vAlign w:val="bottom"/>
            <w:gridSpan w:val="2"/>
            <w:vMerge w:val="restart"/>
          </w:tcPr>
          <w:p>
            <w:pPr>
              <w:spacing w:after="0"/>
              <w:rPr>
                <w:sz w:val="20"/>
                <w:szCs w:val="20"/>
                <w:color w:val="auto"/>
              </w:rPr>
            </w:pPr>
            <w:r>
              <w:rPr>
                <w:rFonts w:ascii="Arial" w:cs="Arial" w:eastAsia="Arial" w:hAnsi="Arial"/>
                <w:sz w:val="12"/>
                <w:szCs w:val="12"/>
                <w:b w:val="1"/>
                <w:bCs w:val="1"/>
                <w:i w:val="1"/>
                <w:iCs w:val="1"/>
                <w:color w:val="auto"/>
                <w:w w:val="92"/>
              </w:rPr>
              <w:t>Six Months Ended June 30, 2020</w:t>
            </w: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40" w:type="dxa"/>
            <w:vAlign w:val="bottom"/>
            <w:gridSpan w:val="13"/>
            <w:vMerge w:val="restart"/>
          </w:tcPr>
          <w:p>
            <w:pPr>
              <w:jc w:val="center"/>
              <w:ind w:right="400"/>
              <w:spacing w:after="0"/>
              <w:rPr>
                <w:sz w:val="20"/>
                <w:szCs w:val="20"/>
                <w:color w:val="auto"/>
              </w:rPr>
            </w:pPr>
            <w:r>
              <w:rPr>
                <w:rFonts w:ascii="Arial" w:cs="Arial" w:eastAsia="Arial" w:hAnsi="Arial"/>
                <w:sz w:val="12"/>
                <w:szCs w:val="12"/>
                <w:b w:val="1"/>
                <w:bCs w:val="1"/>
                <w:color w:val="auto"/>
                <w:w w:val="92"/>
              </w:rPr>
              <w:t>Redeemable Convertible Preferred Stock</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92"/>
              </w:rPr>
              <w:t>Accumulated</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40" w:type="dxa"/>
            <w:vAlign w:val="bottom"/>
            <w:gridSpan w:val="13"/>
            <w:vMerge w:val="continue"/>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vMerge w:val="restart"/>
          </w:tcPr>
          <w:p>
            <w:pPr>
              <w:jc w:val="center"/>
              <w:ind w:right="71"/>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line="20" w:lineRule="exact"/>
              <w:rPr>
                <w:sz w:val="1"/>
                <w:szCs w:val="1"/>
                <w:color w:val="auto"/>
              </w:rPr>
            </w:pPr>
          </w:p>
        </w:tc>
      </w:tr>
      <w:tr>
        <w:trPr>
          <w:trHeight w:val="59"/>
        </w:trPr>
        <w:tc>
          <w:tcPr>
            <w:tcW w:w="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gridSpan w:val="3"/>
            <w:vMerge w:val="restart"/>
          </w:tcPr>
          <w:p>
            <w:pPr>
              <w:jc w:val="right"/>
              <w:spacing w:after="0" w:line="134" w:lineRule="exact"/>
              <w:rPr>
                <w:sz w:val="20"/>
                <w:szCs w:val="20"/>
                <w:color w:val="auto"/>
              </w:rPr>
            </w:pPr>
            <w:r>
              <w:rPr>
                <w:rFonts w:ascii="Arial" w:cs="Arial" w:eastAsia="Arial" w:hAnsi="Arial"/>
                <w:sz w:val="12"/>
                <w:szCs w:val="12"/>
                <w:b w:val="1"/>
                <w:bCs w:val="1"/>
                <w:color w:val="auto"/>
              </w:rPr>
              <w:t>Series Seed</w:t>
            </w: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500" w:type="dxa"/>
            <w:vAlign w:val="bottom"/>
            <w:gridSpan w:val="8"/>
            <w:vMerge w:val="restart"/>
          </w:tcPr>
          <w:p>
            <w:pPr>
              <w:jc w:val="center"/>
              <w:ind w:right="60"/>
              <w:spacing w:after="0" w:line="134" w:lineRule="exact"/>
              <w:rPr>
                <w:sz w:val="20"/>
                <w:szCs w:val="20"/>
                <w:color w:val="auto"/>
              </w:rPr>
            </w:pPr>
            <w:r>
              <w:rPr>
                <w:rFonts w:ascii="Arial" w:cs="Arial" w:eastAsia="Arial" w:hAnsi="Arial"/>
                <w:sz w:val="12"/>
                <w:szCs w:val="12"/>
                <w:b w:val="1"/>
                <w:bCs w:val="1"/>
                <w:color w:val="auto"/>
                <w:w w:val="91"/>
              </w:rPr>
              <w:t>Series A</w:t>
            </w:r>
          </w:p>
        </w:tc>
        <w:tc>
          <w:tcPr>
            <w:tcW w:w="20" w:type="dxa"/>
            <w:vAlign w:val="bottom"/>
          </w:tcPr>
          <w:p>
            <w:pPr>
              <w:spacing w:after="0"/>
              <w:rPr>
                <w:sz w:val="5"/>
                <w:szCs w:val="5"/>
                <w:color w:val="auto"/>
              </w:rPr>
            </w:pPr>
          </w:p>
        </w:tc>
        <w:tc>
          <w:tcPr>
            <w:tcW w:w="960" w:type="dxa"/>
            <w:vAlign w:val="bottom"/>
            <w:gridSpan w:val="3"/>
            <w:vMerge w:val="restart"/>
          </w:tcPr>
          <w:p>
            <w:pPr>
              <w:jc w:val="right"/>
              <w:spacing w:after="0" w:line="134" w:lineRule="exact"/>
              <w:rPr>
                <w:sz w:val="20"/>
                <w:szCs w:val="20"/>
                <w:color w:val="auto"/>
              </w:rPr>
            </w:pPr>
            <w:r>
              <w:rPr>
                <w:rFonts w:ascii="Arial" w:cs="Arial" w:eastAsia="Arial" w:hAnsi="Arial"/>
                <w:sz w:val="12"/>
                <w:szCs w:val="12"/>
                <w:b w:val="1"/>
                <w:bCs w:val="1"/>
                <w:color w:val="auto"/>
              </w:rPr>
              <w:t>Series B</w:t>
            </w:r>
          </w:p>
        </w:tc>
        <w:tc>
          <w:tcPr>
            <w:tcW w:w="46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gridSpan w:val="5"/>
            <w:vMerge w:val="restart"/>
          </w:tcPr>
          <w:p>
            <w:pPr>
              <w:jc w:val="right"/>
              <w:spacing w:after="0" w:line="134" w:lineRule="exact"/>
              <w:rPr>
                <w:sz w:val="20"/>
                <w:szCs w:val="20"/>
                <w:color w:val="auto"/>
              </w:rPr>
            </w:pPr>
            <w:r>
              <w:rPr>
                <w:rFonts w:ascii="Arial" w:cs="Arial" w:eastAsia="Arial" w:hAnsi="Arial"/>
                <w:sz w:val="12"/>
                <w:szCs w:val="12"/>
                <w:b w:val="1"/>
                <w:bCs w:val="1"/>
                <w:color w:val="auto"/>
              </w:rPr>
              <w:t>Common Stock</w:t>
            </w: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500" w:type="dxa"/>
            <w:vAlign w:val="bottom"/>
            <w:gridSpan w:val="8"/>
            <w:vMerge w:val="continue"/>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120" w:type="dxa"/>
            <w:vAlign w:val="bottom"/>
            <w:gridSpan w:val="5"/>
            <w:vMerge w:val="continue"/>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gridSpan w:val="5"/>
            <w:vMerge w:val="restart"/>
          </w:tcPr>
          <w:p>
            <w:pPr>
              <w:jc w:val="center"/>
              <w:ind w:right="120"/>
              <w:spacing w:after="0" w:line="100" w:lineRule="exact"/>
              <w:rPr>
                <w:sz w:val="20"/>
                <w:szCs w:val="20"/>
                <w:color w:val="auto"/>
              </w:rPr>
            </w:pPr>
            <w:r>
              <w:rPr>
                <w:rFonts w:ascii="Arial" w:cs="Arial" w:eastAsia="Arial" w:hAnsi="Arial"/>
                <w:sz w:val="11"/>
                <w:szCs w:val="11"/>
                <w:b w:val="1"/>
                <w:bCs w:val="1"/>
                <w:color w:val="auto"/>
              </w:rPr>
              <w:t>Additional</w:t>
            </w:r>
          </w:p>
        </w:tc>
        <w:tc>
          <w:tcPr>
            <w:tcW w:w="80" w:type="dxa"/>
            <w:vAlign w:val="bottom"/>
          </w:tcPr>
          <w:p>
            <w:pPr>
              <w:spacing w:after="0"/>
              <w:rPr>
                <w:sz w:val="6"/>
                <w:szCs w:val="6"/>
                <w:color w:val="auto"/>
              </w:rPr>
            </w:pPr>
          </w:p>
        </w:tc>
        <w:tc>
          <w:tcPr>
            <w:tcW w:w="900" w:type="dxa"/>
            <w:vAlign w:val="bottom"/>
            <w:gridSpan w:val="2"/>
            <w:vMerge w:val="restart"/>
          </w:tcPr>
          <w:p>
            <w:pPr>
              <w:jc w:val="center"/>
              <w:ind w:right="180"/>
              <w:spacing w:after="0" w:line="100" w:lineRule="exact"/>
              <w:rPr>
                <w:sz w:val="20"/>
                <w:szCs w:val="20"/>
                <w:color w:val="auto"/>
              </w:rPr>
            </w:pPr>
            <w:r>
              <w:rPr>
                <w:rFonts w:ascii="Arial" w:cs="Arial" w:eastAsia="Arial" w:hAnsi="Arial"/>
                <w:sz w:val="11"/>
                <w:szCs w:val="11"/>
                <w:b w:val="1"/>
                <w:bCs w:val="1"/>
                <w:color w:val="auto"/>
              </w:rPr>
              <w:t>Other</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gridSpan w:val="5"/>
            <w:vMerge w:val="continue"/>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740" w:type="dxa"/>
            <w:vAlign w:val="bottom"/>
            <w:gridSpan w:val="2"/>
          </w:tcPr>
          <w:p>
            <w:pPr>
              <w:spacing w:after="0" w:line="100" w:lineRule="exact"/>
              <w:rPr>
                <w:sz w:val="20"/>
                <w:szCs w:val="20"/>
                <w:color w:val="auto"/>
              </w:rPr>
            </w:pPr>
            <w:r>
              <w:rPr>
                <w:rFonts w:ascii="Arial" w:cs="Arial" w:eastAsia="Arial" w:hAnsi="Arial"/>
                <w:sz w:val="11"/>
                <w:szCs w:val="11"/>
                <w:i w:val="1"/>
                <w:iCs w:val="1"/>
                <w:color w:val="auto"/>
              </w:rPr>
              <w:t>(in thousands, except share</w:t>
            </w:r>
          </w:p>
        </w:tc>
        <w:tc>
          <w:tcPr>
            <w:tcW w:w="20" w:type="dxa"/>
            <w:vAlign w:val="bottom"/>
          </w:tcPr>
          <w:p>
            <w:pPr>
              <w:spacing w:after="0"/>
              <w:rPr>
                <w:sz w:val="8"/>
                <w:szCs w:val="8"/>
                <w:color w:val="auto"/>
              </w:rPr>
            </w:pP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80" w:type="dxa"/>
            <w:vAlign w:val="bottom"/>
            <w:vMerge w:val="restart"/>
          </w:tcPr>
          <w:p>
            <w:pPr>
              <w:spacing w:after="0"/>
              <w:rPr>
                <w:sz w:val="8"/>
                <w:szCs w:val="8"/>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80" w:type="dxa"/>
            <w:vAlign w:val="bottom"/>
            <w:vMerge w:val="restart"/>
          </w:tcPr>
          <w:p>
            <w:pPr>
              <w:spacing w:after="0"/>
              <w:rPr>
                <w:sz w:val="8"/>
                <w:szCs w:val="8"/>
                <w:color w:val="auto"/>
              </w:rPr>
            </w:pPr>
          </w:p>
        </w:tc>
        <w:tc>
          <w:tcPr>
            <w:tcW w:w="7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6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restart"/>
          </w:tcPr>
          <w:p>
            <w:pPr>
              <w:jc w:val="right"/>
              <w:ind w:right="72"/>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80" w:type="dxa"/>
            <w:vAlign w:val="bottom"/>
            <w:vMerge w:val="restart"/>
          </w:tcPr>
          <w:p>
            <w:pPr>
              <w:spacing w:after="0"/>
              <w:rPr>
                <w:sz w:val="8"/>
                <w:szCs w:val="8"/>
                <w:color w:val="auto"/>
              </w:rPr>
            </w:pP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Borders>
              <w:right w:val="single" w:sz="8" w:color="auto"/>
            </w:tcBorders>
            <w:vMerge w:val="restart"/>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6"/>
                <w:szCs w:val="16"/>
                <w:b w:val="1"/>
                <w:bCs w:val="1"/>
                <w:color w:val="auto"/>
                <w:vertAlign w:val="superscript"/>
              </w:rPr>
              <w:t>(1)</w:t>
            </w:r>
          </w:p>
        </w:tc>
        <w:tc>
          <w:tcPr>
            <w:tcW w:w="80" w:type="dxa"/>
            <w:vAlign w:val="bottom"/>
            <w:gridSpan w:val="2"/>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gridSpan w:val="2"/>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4"/>
          </w:tcPr>
          <w:p>
            <w:pPr>
              <w:jc w:val="center"/>
              <w:ind w:right="220"/>
              <w:spacing w:after="0" w:line="100" w:lineRule="exact"/>
              <w:rPr>
                <w:sz w:val="20"/>
                <w:szCs w:val="20"/>
                <w:color w:val="auto"/>
              </w:rPr>
            </w:pPr>
            <w:r>
              <w:rPr>
                <w:rFonts w:ascii="Arial" w:cs="Arial" w:eastAsia="Arial" w:hAnsi="Arial"/>
                <w:sz w:val="11"/>
                <w:szCs w:val="11"/>
                <w:b w:val="1"/>
                <w:bCs w:val="1"/>
                <w:color w:val="auto"/>
              </w:rPr>
              <w:t>Paid-in</w:t>
            </w:r>
          </w:p>
        </w:tc>
        <w:tc>
          <w:tcPr>
            <w:tcW w:w="980" w:type="dxa"/>
            <w:vAlign w:val="bottom"/>
            <w:gridSpan w:val="3"/>
          </w:tcPr>
          <w:p>
            <w:pPr>
              <w:jc w:val="center"/>
              <w:ind w:right="80"/>
              <w:spacing w:after="0" w:line="100" w:lineRule="exact"/>
              <w:rPr>
                <w:sz w:val="20"/>
                <w:szCs w:val="20"/>
                <w:color w:val="auto"/>
              </w:rPr>
            </w:pPr>
            <w:r>
              <w:rPr>
                <w:rFonts w:ascii="Arial" w:cs="Arial" w:eastAsia="Arial" w:hAnsi="Arial"/>
                <w:sz w:val="11"/>
                <w:szCs w:val="11"/>
                <w:b w:val="1"/>
                <w:bCs w:val="1"/>
                <w:color w:val="auto"/>
                <w:w w:val="99"/>
              </w:rPr>
              <w:t>Comprehensive</w:t>
            </w:r>
          </w:p>
        </w:tc>
        <w:tc>
          <w:tcPr>
            <w:tcW w:w="880" w:type="dxa"/>
            <w:vAlign w:val="bottom"/>
            <w:gridSpan w:val="3"/>
          </w:tcPr>
          <w:p>
            <w:pPr>
              <w:jc w:val="center"/>
              <w:ind w:right="60"/>
              <w:spacing w:after="0" w:line="100" w:lineRule="exact"/>
              <w:rPr>
                <w:sz w:val="20"/>
                <w:szCs w:val="20"/>
                <w:color w:val="auto"/>
              </w:rPr>
            </w:pPr>
            <w:r>
              <w:rPr>
                <w:rFonts w:ascii="Arial" w:cs="Arial" w:eastAsia="Arial" w:hAnsi="Arial"/>
                <w:sz w:val="11"/>
                <w:szCs w:val="11"/>
                <w:b w:val="1"/>
                <w:bCs w:val="1"/>
                <w:color w:val="auto"/>
              </w:rPr>
              <w:t>Accumulated</w:t>
            </w:r>
          </w:p>
        </w:tc>
        <w:tc>
          <w:tcPr>
            <w:tcW w:w="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i w:val="1"/>
                <w:iCs w:val="1"/>
                <w:color w:val="auto"/>
              </w:rPr>
              <w:t>amounts)</w:t>
            </w:r>
          </w:p>
        </w:tc>
        <w:tc>
          <w:tcPr>
            <w:tcW w:w="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6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8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CCEEFF"/>
              <w:right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gridSpan w:val="2"/>
            <w:vMerge w:val="continue"/>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gridSpan w:val="2"/>
            <w:vMerge w:val="continue"/>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2"/>
              <w:spacing w:after="0"/>
              <w:rPr>
                <w:sz w:val="20"/>
                <w:szCs w:val="20"/>
                <w:color w:val="auto"/>
              </w:rPr>
            </w:pPr>
            <w:r>
              <w:rPr>
                <w:rFonts w:ascii="Arial" w:cs="Arial" w:eastAsia="Arial" w:hAnsi="Arial"/>
                <w:sz w:val="12"/>
                <w:szCs w:val="12"/>
                <w:b w:val="1"/>
                <w:bCs w:val="1"/>
                <w:color w:val="auto"/>
                <w:w w:val="94"/>
              </w:rPr>
              <w:t>Capital</w:t>
            </w:r>
          </w:p>
        </w:tc>
        <w:tc>
          <w:tcPr>
            <w:tcW w:w="8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w w:val="95"/>
              </w:rPr>
              <w:t>Income</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0"/>
              <w:spacing w:after="0"/>
              <w:rPr>
                <w:sz w:val="20"/>
                <w:szCs w:val="20"/>
                <w:color w:val="auto"/>
              </w:rPr>
            </w:pPr>
            <w:r>
              <w:rPr>
                <w:rFonts w:ascii="Arial" w:cs="Arial" w:eastAsia="Arial" w:hAnsi="Arial"/>
                <w:sz w:val="12"/>
                <w:szCs w:val="12"/>
                <w:b w:val="1"/>
                <w:bCs w:val="1"/>
                <w:color w:val="auto"/>
                <w:w w:val="98"/>
              </w:rPr>
              <w:t>Deficit</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1"/>
              <w:spacing w:after="0"/>
              <w:rPr>
                <w:sz w:val="20"/>
                <w:szCs w:val="20"/>
                <w:color w:val="auto"/>
              </w:rPr>
            </w:pPr>
            <w:r>
              <w:rPr>
                <w:rFonts w:ascii="Arial" w:cs="Arial" w:eastAsia="Arial" w:hAnsi="Arial"/>
                <w:sz w:val="12"/>
                <w:szCs w:val="12"/>
                <w:b w:val="1"/>
                <w:bCs w:val="1"/>
                <w:color w:val="auto"/>
                <w:w w:val="92"/>
              </w:rPr>
              <w:t>Deficit</w:t>
            </w:r>
          </w:p>
        </w:tc>
        <w:tc>
          <w:tcPr>
            <w:tcW w:w="0" w:type="dxa"/>
            <w:vAlign w:val="bottom"/>
          </w:tcPr>
          <w:p>
            <w:pPr>
              <w:spacing w:after="0"/>
              <w:rPr>
                <w:sz w:val="1"/>
                <w:szCs w:val="1"/>
                <w:color w:val="auto"/>
              </w:rPr>
            </w:pPr>
          </w:p>
        </w:tc>
      </w:tr>
      <w:tr>
        <w:trPr>
          <w:trHeight w:val="113"/>
        </w:trPr>
        <w:tc>
          <w:tcPr>
            <w:tcW w:w="20" w:type="dxa"/>
            <w:vAlign w:val="bottom"/>
            <w:shd w:val="clear" w:color="auto" w:fill="CCEEFF"/>
          </w:tcPr>
          <w:p>
            <w:pPr>
              <w:spacing w:after="0"/>
              <w:rPr>
                <w:sz w:val="9"/>
                <w:szCs w:val="9"/>
                <w:color w:val="auto"/>
              </w:rPr>
            </w:pPr>
          </w:p>
        </w:tc>
        <w:tc>
          <w:tcPr>
            <w:tcW w:w="1740" w:type="dxa"/>
            <w:vAlign w:val="bottom"/>
            <w:gridSpan w:val="2"/>
            <w:shd w:val="clear" w:color="auto" w:fill="CCEEFF"/>
          </w:tcPr>
          <w:p>
            <w:pPr>
              <w:spacing w:after="0" w:line="113" w:lineRule="exact"/>
              <w:rPr>
                <w:sz w:val="20"/>
                <w:szCs w:val="20"/>
                <w:color w:val="auto"/>
              </w:rPr>
            </w:pPr>
            <w:r>
              <w:rPr>
                <w:rFonts w:ascii="Arial" w:cs="Arial" w:eastAsia="Arial" w:hAnsi="Arial"/>
                <w:sz w:val="13"/>
                <w:szCs w:val="13"/>
                <w:b w:val="1"/>
                <w:bCs w:val="1"/>
                <w:color w:val="auto"/>
              </w:rPr>
              <w:t>Balances at December 31,</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13,174,805</w:t>
            </w:r>
          </w:p>
        </w:tc>
        <w:tc>
          <w:tcPr>
            <w:tcW w:w="8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1"/>
              </w:rPr>
              <w:t>5,494</w:t>
            </w:r>
          </w:p>
        </w:tc>
        <w:tc>
          <w:tcPr>
            <w:tcW w:w="8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16,836,436</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5"/>
              </w:rPr>
              <w:t>$ 27,067</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32,932,218</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jc w:val="right"/>
              <w:ind w:right="139"/>
              <w:spacing w:after="0"/>
              <w:rPr>
                <w:sz w:val="20"/>
                <w:szCs w:val="20"/>
                <w:color w:val="auto"/>
              </w:rPr>
            </w:pPr>
            <w:r>
              <w:rPr>
                <w:rFonts w:ascii="Arial" w:cs="Arial" w:eastAsia="Arial" w:hAnsi="Arial"/>
                <w:sz w:val="10"/>
                <w:szCs w:val="10"/>
                <w:color w:val="auto"/>
                <w:w w:val="71"/>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(14,706)</w:t>
            </w: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(14,509)</w:t>
            </w:r>
          </w:p>
        </w:tc>
        <w:tc>
          <w:tcPr>
            <w:tcW w:w="0" w:type="dxa"/>
            <w:vAlign w:val="bottom"/>
          </w:tcPr>
          <w:p>
            <w:pPr>
              <w:spacing w:after="0"/>
              <w:rPr>
                <w:sz w:val="1"/>
                <w:szCs w:val="1"/>
                <w:color w:val="auto"/>
              </w:rPr>
            </w:pPr>
          </w:p>
        </w:tc>
      </w:tr>
      <w:tr>
        <w:trPr>
          <w:trHeight w:val="185"/>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2019</w:t>
            </w:r>
          </w:p>
        </w:tc>
        <w:tc>
          <w:tcPr>
            <w:tcW w:w="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58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40" w:type="dxa"/>
            <w:vAlign w:val="bottom"/>
            <w:gridSpan w:val="2"/>
          </w:tcPr>
          <w:p>
            <w:pPr>
              <w:spacing w:after="0" w:line="133" w:lineRule="exact"/>
              <w:rPr>
                <w:sz w:val="20"/>
                <w:szCs w:val="20"/>
                <w:color w:val="auto"/>
              </w:rPr>
            </w:pPr>
            <w:r>
              <w:rPr>
                <w:rFonts w:ascii="Arial" w:cs="Arial" w:eastAsia="Arial" w:hAnsi="Arial"/>
                <w:sz w:val="14"/>
                <w:szCs w:val="14"/>
                <w:color w:val="auto"/>
              </w:rPr>
              <w:t>Issuance of common stock</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40" w:type="dxa"/>
            <w:vAlign w:val="bottom"/>
            <w:gridSpan w:val="2"/>
          </w:tcPr>
          <w:p>
            <w:pPr>
              <w:ind w:left="160"/>
              <w:spacing w:after="0" w:line="133" w:lineRule="exact"/>
              <w:rPr>
                <w:sz w:val="20"/>
                <w:szCs w:val="20"/>
                <w:color w:val="auto"/>
              </w:rPr>
            </w:pPr>
            <w:r>
              <w:rPr>
                <w:rFonts w:ascii="Arial" w:cs="Arial" w:eastAsia="Arial" w:hAnsi="Arial"/>
                <w:sz w:val="14"/>
                <w:szCs w:val="14"/>
                <w:color w:val="auto"/>
              </w:rPr>
              <w:t>upon exercise of vested</w:t>
            </w:r>
          </w:p>
        </w:tc>
        <w:tc>
          <w:tcPr>
            <w:tcW w:w="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27,323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gridSpan w:val="4"/>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gridSpan w:val="2"/>
          </w:tcPr>
          <w:p>
            <w:pPr>
              <w:ind w:left="160"/>
              <w:spacing w:after="0"/>
              <w:rPr>
                <w:sz w:val="20"/>
                <w:szCs w:val="20"/>
                <w:color w:val="auto"/>
              </w:rPr>
            </w:pPr>
            <w:r>
              <w:rPr>
                <w:rFonts w:ascii="Arial" w:cs="Arial" w:eastAsia="Arial" w:hAnsi="Arial"/>
                <w:sz w:val="14"/>
                <w:szCs w:val="14"/>
                <w:color w:val="auto"/>
              </w:rPr>
              <w:t>stock options</w:t>
            </w:r>
          </w:p>
        </w:tc>
        <w:tc>
          <w:tcPr>
            <w:tcW w:w="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right w:val="single" w:sz="8" w:color="auto"/>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74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Issuance of redeemable</w:t>
            </w: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1740" w:type="dxa"/>
            <w:vAlign w:val="bottom"/>
            <w:gridSpan w:val="2"/>
            <w:shd w:val="clear" w:color="auto" w:fill="CCEEFF"/>
          </w:tcPr>
          <w:p>
            <w:pPr>
              <w:ind w:left="160"/>
              <w:spacing w:after="0" w:line="133" w:lineRule="exact"/>
              <w:rPr>
                <w:sz w:val="20"/>
                <w:szCs w:val="20"/>
                <w:color w:val="auto"/>
              </w:rPr>
            </w:pPr>
            <w:r>
              <w:rPr>
                <w:rFonts w:ascii="Arial" w:cs="Arial" w:eastAsia="Arial" w:hAnsi="Arial"/>
                <w:sz w:val="14"/>
                <w:szCs w:val="14"/>
                <w:color w:val="auto"/>
                <w:w w:val="92"/>
              </w:rPr>
              <w:t>convertible preferred stock,</w:t>
            </w: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shd w:val="clear" w:color="auto" w:fill="CCEEFF"/>
          </w:tcPr>
          <w:p>
            <w:pPr>
              <w:spacing w:after="0"/>
              <w:rPr>
                <w:sz w:val="11"/>
                <w:szCs w:val="11"/>
                <w:color w:val="auto"/>
              </w:rPr>
            </w:pPr>
          </w:p>
        </w:tc>
        <w:tc>
          <w:tcPr>
            <w:tcW w:w="1740" w:type="dxa"/>
            <w:vAlign w:val="bottom"/>
            <w:gridSpan w:val="2"/>
            <w:shd w:val="clear" w:color="auto" w:fill="CCEEFF"/>
          </w:tcPr>
          <w:p>
            <w:pPr>
              <w:ind w:left="160"/>
              <w:spacing w:after="0" w:line="133" w:lineRule="exact"/>
              <w:rPr>
                <w:sz w:val="20"/>
                <w:szCs w:val="20"/>
                <w:color w:val="auto"/>
              </w:rPr>
            </w:pPr>
            <w:r>
              <w:rPr>
                <w:rFonts w:ascii="Arial" w:cs="Arial" w:eastAsia="Arial" w:hAnsi="Arial"/>
                <w:sz w:val="14"/>
                <w:szCs w:val="14"/>
                <w:color w:val="auto"/>
              </w:rPr>
              <w:t>net of issuance costs of</w:t>
            </w: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$0.2 million</w:t>
            </w:r>
          </w:p>
        </w:tc>
        <w:tc>
          <w:tcPr>
            <w:tcW w:w="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9"/>
              </w:rPr>
              <w:t>22,164,724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75,857</w:t>
            </w:r>
          </w:p>
        </w:tc>
        <w:tc>
          <w:tcPr>
            <w:tcW w:w="12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3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40" w:type="dxa"/>
            <w:vAlign w:val="bottom"/>
            <w:gridSpan w:val="2"/>
          </w:tcPr>
          <w:p>
            <w:pPr>
              <w:spacing w:after="0" w:line="133" w:lineRule="exact"/>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740" w:type="dxa"/>
            <w:vAlign w:val="bottom"/>
            <w:gridSpan w:val="2"/>
          </w:tcPr>
          <w:p>
            <w:pPr>
              <w:spacing w:after="0"/>
              <w:rPr>
                <w:sz w:val="20"/>
                <w:szCs w:val="20"/>
                <w:color w:val="auto"/>
              </w:rPr>
            </w:pPr>
            <w:r>
              <w:rPr>
                <w:rFonts w:ascii="Arial" w:cs="Arial" w:eastAsia="Arial" w:hAnsi="Arial"/>
                <w:sz w:val="14"/>
                <w:szCs w:val="14"/>
                <w:color w:val="auto"/>
              </w:rPr>
              <w:t>expense</w:t>
            </w:r>
          </w:p>
        </w:tc>
        <w:tc>
          <w:tcPr>
            <w:tcW w:w="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34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4"/>
              </w:rPr>
              <w:t>Other comprehensive income</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12"/>
        </w:trPr>
        <w:tc>
          <w:tcPr>
            <w:tcW w:w="2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Net loss</w:t>
            </w:r>
          </w:p>
        </w:tc>
        <w:tc>
          <w:tcPr>
            <w:tcW w:w="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right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w w:val="99"/>
              </w:rPr>
              <w:t>Balances at June 30, 2020</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99"/>
              </w:rPr>
              <w:t>13,174,805</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5,494</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16,836,436</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w w:val="95"/>
              </w:rPr>
              <w:t>$ 27,067</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99"/>
              </w:rPr>
              <w:t>22,164,724</w:t>
            </w: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91"/>
              </w:rPr>
              <w:t>$ 75,857</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32,959,541</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0"/>
                <w:szCs w:val="10"/>
                <w:color w:val="auto"/>
                <w:w w:val="71"/>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(20,995)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(20,725)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320" w:right="420" w:hanging="314"/>
        <w:spacing w:after="0" w:line="265" w:lineRule="auto"/>
        <w:tabs>
          <w:tab w:leader="none" w:pos="305"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shares of the Company’s common and redeemable convertible preferred stock, prior to the Business Combination (as defined in Note 1) have been retroactively restated to reflect the exchange ratio of approximately 3.6281 established in the Business Combination as described in Note 3.</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78" w:right="339" w:bottom="1440" w:gutter="0" w:footer="0" w:header="0"/>
        </w:sectPr>
      </w:pPr>
    </w:p>
    <w:bookmarkStart w:id="10" w:name="page11"/>
    <w:bookmarkEnd w:id="10"/>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Condensed Consolidated Statements of Cash Flows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Six Months Ended June 30, 2021 and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4"/>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7"/>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amortization of premiums on securities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5"/>
        </w:trPr>
        <w:tc>
          <w:tcPr>
            <w:tcW w:w="8020" w:type="dxa"/>
            <w:vAlign w:val="bottom"/>
          </w:tcPr>
          <w:p>
            <w:pPr>
              <w:ind w:left="120"/>
              <w:spacing w:after="0"/>
              <w:rPr>
                <w:sz w:val="20"/>
                <w:szCs w:val="20"/>
                <w:color w:val="auto"/>
              </w:rPr>
            </w:pPr>
            <w:r>
              <w:rPr>
                <w:rFonts w:ascii="Arial" w:cs="Arial" w:eastAsia="Arial" w:hAnsi="Arial"/>
                <w:sz w:val="18"/>
                <w:szCs w:val="18"/>
                <w:color w:val="auto"/>
              </w:rPr>
              <w:t>Amortization of operating lease right-of-use assets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liability</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(5,898)</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Proceeds from sale and maturities of securities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11,001</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securities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(48,333)</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(61,048)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(37,687)</w:t>
            </w:r>
          </w:p>
        </w:tc>
        <w:tc>
          <w:tcPr>
            <w:tcW w:w="0" w:type="dxa"/>
            <w:vAlign w:val="bottom"/>
          </w:tcPr>
          <w:p>
            <w:pPr>
              <w:spacing w:after="0"/>
              <w:rPr>
                <w:sz w:val="1"/>
                <w:szCs w:val="1"/>
                <w:color w:val="auto"/>
              </w:rPr>
            </w:pPr>
          </w:p>
        </w:tc>
      </w:tr>
      <w:tr>
        <w:trPr>
          <w:trHeight w:val="205"/>
        </w:trPr>
        <w:tc>
          <w:tcPr>
            <w:tcW w:w="802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proceeds from reverse recapitalization and PIPE financing</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Payments of deferred offering costs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Proceeds from issuance of convertible preferred stock, net of issuance costs</w:t>
            </w: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75,857</w:t>
            </w:r>
          </w:p>
        </w:tc>
        <w:tc>
          <w:tcPr>
            <w:tcW w:w="0" w:type="dxa"/>
            <w:vAlign w:val="bottom"/>
          </w:tcPr>
          <w:p>
            <w:pPr>
              <w:spacing w:after="0"/>
              <w:rPr>
                <w:sz w:val="1"/>
                <w:szCs w:val="1"/>
                <w:color w:val="auto"/>
              </w:rPr>
            </w:pPr>
          </w:p>
        </w:tc>
      </w:tr>
      <w:tr>
        <w:trPr>
          <w:trHeight w:val="219"/>
        </w:trPr>
        <w:tc>
          <w:tcPr>
            <w:tcW w:w="80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327,373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75,861</w:t>
            </w:r>
          </w:p>
        </w:tc>
        <w:tc>
          <w:tcPr>
            <w:tcW w:w="0" w:type="dxa"/>
            <w:vAlign w:val="bottom"/>
          </w:tcPr>
          <w:p>
            <w:pPr>
              <w:spacing w:after="0"/>
              <w:rPr>
                <w:sz w:val="1"/>
                <w:szCs w:val="1"/>
                <w:color w:val="auto"/>
              </w:rPr>
            </w:pPr>
          </w:p>
        </w:tc>
      </w:tr>
      <w:tr>
        <w:trPr>
          <w:trHeight w:val="218"/>
        </w:trPr>
        <w:tc>
          <w:tcPr>
            <w:tcW w:w="8020" w:type="dxa"/>
            <w:vAlign w:val="bottom"/>
          </w:tcPr>
          <w:p>
            <w:pPr>
              <w:ind w:left="340"/>
              <w:spacing w:after="0"/>
              <w:rPr>
                <w:sz w:val="20"/>
                <w:szCs w:val="20"/>
                <w:color w:val="auto"/>
              </w:rPr>
            </w:pPr>
            <w:r>
              <w:rPr>
                <w:rFonts w:ascii="Arial" w:cs="Arial" w:eastAsia="Arial" w:hAnsi="Arial"/>
                <w:sz w:val="18"/>
                <w:szCs w:val="18"/>
                <w:color w:val="auto"/>
              </w:rPr>
              <w:t>Net increase in cash, cash equivalents and restricted cash</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251,780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32,276</w:t>
            </w:r>
          </w:p>
        </w:tc>
        <w:tc>
          <w:tcPr>
            <w:tcW w:w="0" w:type="dxa"/>
            <w:vAlign w:val="bottom"/>
          </w:tcPr>
          <w:p>
            <w:pPr>
              <w:spacing w:after="0"/>
              <w:rPr>
                <w:sz w:val="1"/>
                <w:szCs w:val="1"/>
                <w:color w:val="auto"/>
              </w:rPr>
            </w:pPr>
          </w:p>
        </w:tc>
      </w:tr>
      <w:tr>
        <w:trPr>
          <w:trHeight w:val="252"/>
        </w:trPr>
        <w:tc>
          <w:tcPr>
            <w:tcW w:w="80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288,999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Supplementary cash flow information on non-cash activities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Acquisitions of property and equipment included in accounts payable</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offering costs in accounts payable and accrued expenses and other liabilities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8020" w:type="dxa"/>
            <w:vAlign w:val="bottom"/>
          </w:tcPr>
          <w:p>
            <w:pPr>
              <w:ind w:left="20"/>
              <w:spacing w:after="0" w:line="173" w:lineRule="exact"/>
              <w:rPr>
                <w:sz w:val="20"/>
                <w:szCs w:val="20"/>
                <w:color w:val="auto"/>
              </w:rPr>
            </w:pPr>
            <w:r>
              <w:rPr>
                <w:rFonts w:ascii="Arial" w:cs="Arial" w:eastAsia="Arial" w:hAnsi="Arial"/>
                <w:sz w:val="18"/>
                <w:szCs w:val="18"/>
                <w:color w:val="auto"/>
                <w:w w:val="96"/>
              </w:rPr>
              <w:t>Conversion of redeemable convertible preferred stock into common stock in connection with the reverse</w:t>
            </w:r>
          </w:p>
        </w:tc>
        <w:tc>
          <w:tcPr>
            <w:tcW w:w="380" w:type="dxa"/>
            <w:vAlign w:val="bottom"/>
            <w:vMerge w:val="restart"/>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108,418</w:t>
            </w:r>
          </w:p>
        </w:tc>
        <w:tc>
          <w:tcPr>
            <w:tcW w:w="100" w:type="dxa"/>
            <w:vAlign w:val="bottom"/>
          </w:tcPr>
          <w:p>
            <w:pPr>
              <w:spacing w:after="0"/>
              <w:rPr>
                <w:sz w:val="15"/>
                <w:szCs w:val="15"/>
                <w:color w:val="auto"/>
              </w:rPr>
            </w:pPr>
          </w:p>
        </w:tc>
        <w:tc>
          <w:tcPr>
            <w:tcW w:w="380" w:type="dxa"/>
            <w:vAlign w:val="bottom"/>
            <w:vMerge w:val="restart"/>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020" w:type="dxa"/>
            <w:vAlign w:val="bottom"/>
          </w:tcPr>
          <w:p>
            <w:pPr>
              <w:ind w:left="20"/>
              <w:spacing w:after="0"/>
              <w:rPr>
                <w:sz w:val="20"/>
                <w:szCs w:val="20"/>
                <w:color w:val="auto"/>
              </w:rPr>
            </w:pPr>
            <w:r>
              <w:rPr>
                <w:rFonts w:ascii="Arial" w:cs="Arial" w:eastAsia="Arial" w:hAnsi="Arial"/>
                <w:sz w:val="18"/>
                <w:szCs w:val="18"/>
                <w:color w:val="auto"/>
              </w:rPr>
              <w:t>recapitalization</w:t>
            </w:r>
          </w:p>
        </w:tc>
        <w:tc>
          <w:tcPr>
            <w:tcW w:w="38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offering costs reclassified to equity</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020" w:type="dxa"/>
            <w:vAlign w:val="bottom"/>
          </w:tcPr>
          <w:p>
            <w:pPr>
              <w:ind w:left="20"/>
              <w:spacing w:after="0"/>
              <w:rPr>
                <w:sz w:val="20"/>
                <w:szCs w:val="20"/>
                <w:color w:val="auto"/>
              </w:rPr>
            </w:pPr>
            <w:r>
              <w:rPr>
                <w:rFonts w:ascii="Arial" w:cs="Arial" w:eastAsia="Arial" w:hAnsi="Arial"/>
                <w:sz w:val="18"/>
                <w:szCs w:val="18"/>
                <w:color w:val="auto"/>
              </w:rPr>
              <w:t>Modification to reduce right-of-use assets and lease liability</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3,254</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78" w:right="339" w:bottom="1440" w:gutter="0" w:footer="0" w:header="0"/>
        </w:sectPr>
      </w:pPr>
    </w:p>
    <w:bookmarkStart w:id="11" w:name="page12"/>
    <w:bookmarkEnd w:id="11"/>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Consolidated Financial Statements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40" w:hanging="634"/>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170" w:lineRule="exact"/>
        <w:rPr>
          <w:sz w:val="20"/>
          <w:szCs w:val="20"/>
          <w:color w:val="auto"/>
        </w:rPr>
      </w:pPr>
    </w:p>
    <w:p>
      <w:pPr>
        <w:ind w:right="240" w:firstLine="318"/>
        <w:spacing w:after="0" w:line="318" w:lineRule="auto"/>
        <w:rPr>
          <w:sz w:val="20"/>
          <w:szCs w:val="20"/>
          <w:color w:val="auto"/>
        </w:rPr>
      </w:pPr>
      <w:r>
        <w:rPr>
          <w:rFonts w:ascii="Arial" w:cs="Arial" w:eastAsia="Arial" w:hAnsi="Arial"/>
          <w:sz w:val="15"/>
          <w:szCs w:val="15"/>
          <w:color w:val="auto"/>
        </w:rPr>
        <w:t>Nautilus Biotechnology, Inc. (the “Company”) is a biotechnology company incorporated in 2016 and based in Seattle, Washington with laboratory operations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general and administrative support for these operations.</w:t>
      </w:r>
    </w:p>
    <w:p>
      <w:pPr>
        <w:spacing w:after="0" w:line="93"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The Company is subject to risks similar to those of other pre-clinical stage companies in the biopharmaceutical industry, including dependence on key individuals, the need to develop commercially viable products, competition from other companies, many of whom are larger and better capitalized, the impact of the COVID-19 pandemic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spacing w:after="0" w:line="99" w:lineRule="exact"/>
        <w:rPr>
          <w:sz w:val="20"/>
          <w:szCs w:val="20"/>
          <w:color w:val="auto"/>
        </w:rPr>
      </w:pPr>
    </w:p>
    <w:p>
      <w:pPr>
        <w:ind w:right="60" w:firstLine="318"/>
        <w:spacing w:after="0" w:line="306" w:lineRule="auto"/>
        <w:rPr>
          <w:sz w:val="20"/>
          <w:szCs w:val="20"/>
          <w:color w:val="auto"/>
        </w:rPr>
      </w:pPr>
      <w:r>
        <w:rPr>
          <w:rFonts w:ascii="Arial" w:cs="Arial" w:eastAsia="Arial" w:hAnsi="Arial"/>
          <w:sz w:val="15"/>
          <w:szCs w:val="15"/>
          <w:color w:val="auto"/>
        </w:rPr>
        <w:t>On June 9, 2021 (the “Closing Date”), Nautilus Biotechnology, Inc. a Delaware corporate (f/k/a ARYA Sciences Acquisition Corp. III, a Cayman Islands exempted company and our predecessor company (“ARYA”), consummated the previously announced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w:t>
      </w:r>
    </w:p>
    <w:p>
      <w:pPr>
        <w:spacing w:after="0" w:line="104" w:lineRule="exact"/>
        <w:rPr>
          <w:sz w:val="20"/>
          <w:szCs w:val="20"/>
          <w:color w:val="auto"/>
        </w:rPr>
      </w:pPr>
    </w:p>
    <w:p>
      <w:pPr>
        <w:ind w:right="480" w:firstLine="318"/>
        <w:spacing w:after="0" w:line="255" w:lineRule="auto"/>
        <w:rPr>
          <w:sz w:val="20"/>
          <w:szCs w:val="20"/>
          <w:color w:val="auto"/>
        </w:rPr>
      </w:pPr>
      <w:r>
        <w:rPr>
          <w:rFonts w:ascii="Arial" w:cs="Arial" w:eastAsia="Arial" w:hAnsi="Arial"/>
          <w:sz w:val="18"/>
          <w:szCs w:val="18"/>
          <w:color w:val="auto"/>
        </w:rPr>
        <w:t>In addition, in conjunction with the completion of the Business Combination, certain investors (“PIPE Investors”) subscribed for the purchase of an aggregate of 20,000,000 shares of New Nautilus Common Stock at a price of $10.00 per share for aggregate gross proceeds of $200.0 million (“PIPE Financing”).</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Please refer to Note 3 “Reverse Recapitalization” for further details of the Business Combination.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4" w:lineRule="exact"/>
        <w:rPr>
          <w:sz w:val="20"/>
          <w:szCs w:val="20"/>
          <w:color w:val="auto"/>
        </w:rPr>
      </w:pPr>
    </w:p>
    <w:p>
      <w:pPr>
        <w:ind w:firstLine="318"/>
        <w:spacing w:after="0" w:line="262" w:lineRule="auto"/>
        <w:rPr>
          <w:sz w:val="20"/>
          <w:szCs w:val="20"/>
          <w:color w:val="auto"/>
        </w:rPr>
      </w:pPr>
      <w:r>
        <w:rPr>
          <w:rFonts w:ascii="Arial" w:cs="Arial" w:eastAsia="Arial" w:hAnsi="Arial"/>
          <w:sz w:val="17"/>
          <w:szCs w:val="17"/>
          <w:color w:val="auto"/>
        </w:rPr>
        <w:t>The condensed consolidated financial statements and accompanying notes are unaudited and have been prepared in accordance with accounting principles generally accepted in the United States of America (“U.S. GAAP”) and regulations of the U.S. Securities and Exchange Commission for interim financial reporting. The accompanying financial statements are consolidated for the three months and six months ended June 30, 2021 and include the accounts of Nautilus Biotechnology, Inc. (i.e. former ARYA) and its wholly-owned subsidiary, Legacy Nautilus, following the Reverse Recapitalization as further discussed in Note 3 “Reverse Recapitalization”. All other accompanying financial statements as of December 31, 2020 and for the three months and six months ended June 30, 2020 include only the accounts of Legacy Nautilus. All intercompany transactions and balances have been eliminated upon consolidation. Certain information and footnote disclosures normally included in financial statements prepared in accordance with U.S. GAAP have been condensed or omitted pursuant to such rules and regulations. Accordingly, these condensed consolidated financial statements should be read in conjunction with the audited financial statements for the year ended December 31, 2020 and the related notes included in the Company’s Final Prospectus filed with the SEC on August 6, 2021 pursuant to Rule 424(b) under the Securities Act relating to the Registration Statement on Form S-1 (File No. 333-258100). The information as of December 31, 2020 included on the condensed consolidated balance sheets was derived from the Company’s audited financial statements. The condensed consolidated financial statements were prepared on the same basis as the audited financial statements and, in the opinion of management, reflect all adjustments, which include only normal recurring adjustments necessary for a fair statement of the Company’s financial position as of June 30, 2021 and the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78"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right="80"/>
        <w:spacing w:after="0" w:line="365" w:lineRule="auto"/>
        <w:rPr>
          <w:sz w:val="20"/>
          <w:szCs w:val="20"/>
          <w:color w:val="auto"/>
        </w:rPr>
      </w:pPr>
      <w:r>
        <w:rPr>
          <w:rFonts w:ascii="Arial" w:cs="Arial" w:eastAsia="Arial" w:hAnsi="Arial"/>
          <w:sz w:val="15"/>
          <w:szCs w:val="15"/>
          <w:color w:val="auto"/>
        </w:rPr>
        <w:t>and cash flows for the three and six months ended June 30, 2021 and 2020. The results of operations for the three and six months ended June 30, 2021 are not necessarily indicative of the results that may be expected for the year ending December 31, 2021. The Company’s reporting currency is the U.S. dollar.</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Going Concern</w:t>
      </w:r>
    </w:p>
    <w:p>
      <w:pPr>
        <w:spacing w:after="0" w:line="164"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The Company’s condensed consolidated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 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 inception and expects this to continue for the foreseeable future. As of June 30, 2021, the Company had an accumulated deficit of $49.4 million.</w:t>
      </w:r>
    </w:p>
    <w:p>
      <w:pPr>
        <w:spacing w:after="0" w:line="128" w:lineRule="exact"/>
        <w:rPr>
          <w:sz w:val="20"/>
          <w:szCs w:val="20"/>
          <w:color w:val="auto"/>
        </w:rPr>
      </w:pPr>
    </w:p>
    <w:p>
      <w:pPr>
        <w:ind w:firstLine="318"/>
        <w:spacing w:after="0" w:line="262" w:lineRule="auto"/>
        <w:rPr>
          <w:sz w:val="20"/>
          <w:szCs w:val="20"/>
          <w:color w:val="auto"/>
        </w:rPr>
      </w:pPr>
      <w:r>
        <w:rPr>
          <w:rFonts w:ascii="Arial" w:cs="Arial" w:eastAsia="Arial" w:hAnsi="Arial"/>
          <w:sz w:val="17"/>
          <w:szCs w:val="17"/>
          <w:color w:val="auto"/>
        </w:rPr>
        <w:t>The Company has funded its operations primarily with proceeds from the issuance of redeemable convertible preferred stock and common stock. The Company had cash, cash equivalents, and short-term investments of $373.1 million as of June 30, 2021. In June 2021, the Company received gross proceeds of approximately $345.5 million from PIPE Investors and the Business Combination offset by approximately $18.2 million of transaction costs and underwriters’ fees relating to the closing of the Business Combination. As of the date on which these condensed consolidated financial statements were available to be issued, the Company believes that its cash, cash equivalents, and short-term investments will be sufficient to fund its operations for the next twelve months following the issuance of the condensed consolidated financial statements. The Company’s assessment of the period of time through which its financial resources will be adequate to support its operations is a forward-looking statement and involves risks and uncertainties. The Company’s actual results could vary as a result of, and its near and long-term future capital requirements will depend on many factors, including its growth rate and the timing and extent of spending to support its research and development efforts. The Company has based its estimates on assumptions that may prove to be wrong, and it could use its available capital resources sooner than it currently expects. The Company may be required to seek additional equity or debt financing. Future liquidity and cash requirements will depend on numerous factors. In the event that additional financing is required from outside sources, the Company may not be able to raise in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Impact of the COVID-19 Coronavirus</w:t>
      </w:r>
    </w:p>
    <w:p>
      <w:pPr>
        <w:spacing w:after="0" w:line="164"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In December 2019, COVID-19 was first reported to the World Health Organization (“WHO”), and in January 2020, the WHO declared the outbreak to be a public health emergency. In March 2020, the WHO characterized COVID-19 as a pandemic. Since then, the COVID-19 pandemic and efforts to control its spread have significantly curtailed the movement of people, goods, and services worldwide. As a result, the Company has taken certain measures in response to COVID-19.</w:t>
      </w:r>
    </w:p>
    <w:p>
      <w:pPr>
        <w:spacing w:after="0" w:line="138"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While the duration and extent of the COVID-19 pandemic depends on future developments that cannot accurately predicted at this time, such as the extent and effectiveness of containment and mitigation actions, it has already had an adverse effect on the global economy, and the ultimate societal and economic impact of the COVID-19 pandemic remains unknown. Additionally, concerns over the economic impact of COVID-19 have caused extreme volatility in financial and other capital markets, which may adversely affect the Company’s ability to access capital markets in the future. Furthermore, the impact of the COVID-19 pandemic could adversely impact the Company’s cash flows and operations and delay clinical trial activity.</w:t>
      </w:r>
    </w:p>
    <w:p>
      <w:pPr>
        <w:spacing w:after="0" w:line="98"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While the Company has developed and continues to develop plans to help mitigate the potential negative impact of COVID-19, these efforts may not be effective, and any protracted economic downturn will likely limit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78"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effectiveness of its efforts. Accordingly, it is not possible for the Company to predict the duration and ultimate extent to which this will affect its business, future results of operations, and financial condition at this time.</w:t>
      </w:r>
    </w:p>
    <w:p>
      <w:pPr>
        <w:spacing w:after="0" w:line="122" w:lineRule="exact"/>
        <w:rPr>
          <w:sz w:val="20"/>
          <w:szCs w:val="20"/>
          <w:color w:val="auto"/>
        </w:rPr>
      </w:pPr>
    </w:p>
    <w:p>
      <w:pPr>
        <w:ind w:left="640" w:hanging="634"/>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4"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The preparation of the condensed consolidated financial statements in conformity with U.S. GAAP requires management to make estimates and assumptions that affect the reported amounts of assets and liabilities and disclosures of contingent assets and liabilities as of the date of the condensed consolidated financial statements, and the reported amounts of expenses during the reporting period. Actual results could differ from those estimates. Significant estimates include determining the estimated lives of property and equipment, stock-based compensation including the estimated fair value per share of common stock prior to the date the Company became public,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Credit risk represents the accounting loss that would be recognized as of the reporting date if counterparties failed completely to perform as contracted.</w:t>
      </w:r>
    </w:p>
    <w:p>
      <w:pPr>
        <w:spacing w:after="0" w:line="199" w:lineRule="exact"/>
        <w:rPr>
          <w:sz w:val="20"/>
          <w:szCs w:val="20"/>
          <w:color w:val="auto"/>
        </w:rPr>
      </w:pPr>
    </w:p>
    <w:p>
      <w:pPr>
        <w:ind w:right="140" w:firstLine="318"/>
        <w:spacing w:after="0" w:line="268" w:lineRule="auto"/>
        <w:rPr>
          <w:sz w:val="20"/>
          <w:szCs w:val="20"/>
          <w:color w:val="auto"/>
        </w:rPr>
      </w:pPr>
      <w:r>
        <w:rPr>
          <w:rFonts w:ascii="Arial" w:cs="Arial" w:eastAsia="Arial" w:hAnsi="Arial"/>
          <w:sz w:val="17"/>
          <w:szCs w:val="17"/>
          <w:color w:val="auto"/>
        </w:rPr>
        <w:t>Financial instruments, which potentially subject the Company to concentration of credit risk, consist of cash balances maintained in excess of federal depository insurance limits and investments in U.S. Treasury securities that are not federally insured. The Company has not experienced any losses in such accounts and believes it is not exposed to significant credit risk on cash or investments. The Company relies, and expects to continue to rely, on a small number of vendors to provide services, supplies and materials related to its research and development programs. These programs could be adversely affected by a significant interruption in these services or the availability of materials.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6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Operating segments are defined as components of an entity where discrete financial information is evaluated regularly by the chief operating decision market (“CODM”) in deciding how to allocate resources and in assessing performance. The Company’s Chief Executive Officer is its CODM. The Company’s CODM reviews financial 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considers all highly-liquid investments with an original maturity of three months or less as of the date of acquisition to be cash equivalents.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Investments</w:t>
      </w:r>
    </w:p>
    <w:p>
      <w:pPr>
        <w:spacing w:after="0" w:line="164"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 Company considers investments with an original maturity greater than three months and remaining maturities less than one year to be short-term investments. The Company classifies those investments that are not required for use in current operations and that mature in more than 12 months as long-term investments.</w:t>
      </w:r>
    </w:p>
    <w:p>
      <w:pPr>
        <w:spacing w:after="0" w:line="135"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Company classifies its investments as available for sale and reports them at fair value, with unrealized gains and losses recorded in accumulated other comprehensive income (loss). Investments sold prior to maturity, the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78"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of investments sold is based on the specific identification method. Realized gains and losses on the sale of investments are recorded in other income (expense), net in the condensed consolidated statement of operations.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Other-than-temporary Impairment</w:t>
      </w:r>
    </w:p>
    <w:p>
      <w:pPr>
        <w:spacing w:after="0" w:line="164" w:lineRule="exact"/>
        <w:rPr>
          <w:sz w:val="20"/>
          <w:szCs w:val="20"/>
          <w:color w:val="auto"/>
        </w:rPr>
      </w:pPr>
    </w:p>
    <w:p>
      <w:pPr>
        <w:ind w:right="240" w:firstLine="318"/>
        <w:spacing w:after="0" w:line="265" w:lineRule="auto"/>
        <w:rPr>
          <w:sz w:val="20"/>
          <w:szCs w:val="20"/>
          <w:color w:val="auto"/>
        </w:rPr>
      </w:pPr>
      <w:r>
        <w:rPr>
          <w:rFonts w:ascii="Arial" w:cs="Arial" w:eastAsia="Arial" w:hAnsi="Arial"/>
          <w:sz w:val="17"/>
          <w:szCs w:val="17"/>
          <w:color w:val="auto"/>
        </w:rPr>
        <w:t>The Company evaluates its investments with unrealized losses for other-than-temporary impairment. When assessing investments for other-than-temporary declines in value, the Company considers factors such as, among other things, the extent and length of time the investment’s fair value has been lower than its cost basis, the financial condition and near-term prospects of the investment, the Company’s ability and intent to retain the investment for a period of time sufficient to allow for any anticipated recovery in fair value, and the expected cash flows from the security. If any adjustments to fair value reflects a decline in the value of the investment that the Company considers to be “other than temporary,” the Company reduces the investment to fair value through a charge to the condensed consolidated statement of operations and condensed consolidated statement of comprehensive loss. No such adjustments were necessary during the periods presented.</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64" w:lineRule="exact"/>
        <w:rPr>
          <w:sz w:val="20"/>
          <w:szCs w:val="20"/>
          <w:color w:val="auto"/>
        </w:rPr>
      </w:pPr>
    </w:p>
    <w:p>
      <w:pPr>
        <w:ind w:right="360" w:firstLine="318"/>
        <w:spacing w:after="0" w:line="365" w:lineRule="auto"/>
        <w:rPr>
          <w:sz w:val="20"/>
          <w:szCs w:val="20"/>
          <w:color w:val="auto"/>
        </w:rPr>
      </w:pPr>
      <w:r>
        <w:rPr>
          <w:rFonts w:ascii="Arial" w:cs="Arial" w:eastAsia="Arial" w:hAnsi="Arial"/>
          <w:sz w:val="15"/>
          <w:szCs w:val="15"/>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58"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1, defined as observable inputs such as quoted prices for identical instruments in active markets;</w:t>
      </w:r>
    </w:p>
    <w:p>
      <w:pPr>
        <w:spacing w:after="0" w:line="164" w:lineRule="exact"/>
        <w:rPr>
          <w:sz w:val="20"/>
          <w:szCs w:val="20"/>
          <w:color w:val="auto"/>
        </w:rPr>
      </w:pPr>
    </w:p>
    <w:p>
      <w:pPr>
        <w:ind w:right="440" w:firstLine="318"/>
        <w:spacing w:after="0" w:line="264" w:lineRule="auto"/>
        <w:rPr>
          <w:sz w:val="20"/>
          <w:szCs w:val="20"/>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28" w:lineRule="exact"/>
        <w:rPr>
          <w:sz w:val="20"/>
          <w:szCs w:val="20"/>
          <w:color w:val="auto"/>
        </w:rPr>
      </w:pPr>
    </w:p>
    <w:p>
      <w:pPr>
        <w:ind w:right="420" w:firstLine="318"/>
        <w:spacing w:after="0" w:line="294" w:lineRule="auto"/>
        <w:rPr>
          <w:sz w:val="20"/>
          <w:szCs w:val="20"/>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4" w:lineRule="exact"/>
        <w:rPr>
          <w:sz w:val="20"/>
          <w:szCs w:val="20"/>
          <w:color w:val="auto"/>
        </w:rPr>
      </w:pPr>
    </w:p>
    <w:p>
      <w:pPr>
        <w:ind w:right="260" w:firstLine="318"/>
        <w:spacing w:after="0" w:line="255"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Offering Costs</w:t>
      </w:r>
    </w:p>
    <w:p>
      <w:pPr>
        <w:spacing w:after="0" w:line="164" w:lineRule="exact"/>
        <w:rPr>
          <w:sz w:val="20"/>
          <w:szCs w:val="20"/>
          <w:color w:val="auto"/>
        </w:rPr>
      </w:pPr>
    </w:p>
    <w:p>
      <w:pPr>
        <w:ind w:right="100" w:firstLine="318"/>
        <w:spacing w:after="0" w:line="318" w:lineRule="auto"/>
        <w:rPr>
          <w:sz w:val="20"/>
          <w:szCs w:val="20"/>
          <w:color w:val="auto"/>
        </w:rPr>
      </w:pPr>
      <w:r>
        <w:rPr>
          <w:rFonts w:ascii="Arial" w:cs="Arial" w:eastAsia="Arial" w:hAnsi="Arial"/>
          <w:sz w:val="15"/>
          <w:szCs w:val="15"/>
          <w:color w:val="auto"/>
        </w:rPr>
        <w:t>Specific incremental costs (i.e. consisting of legal, accounting and other fees and costs) directly attributable to a proposed or actual offering of securities are deferred and charged against the gross proceeds of the offering. In the event of a significant delay or cancellation of a planned offering of securities, all of the costs are expensed. Offering costs capitalized as of December 31, 2020 were $0.2 million and are included within Other long term assets on the Company’s condensed consolidated balance sheets. There were no deferred offering costs capitalized as of June 30, 2021.</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Leases</w:t>
      </w:r>
    </w:p>
    <w:p>
      <w:pPr>
        <w:spacing w:after="0" w:line="164"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color w:val="auto"/>
        </w:rPr>
        <w:t>The Company determines if an arrangement includes a lease at inception by assessing whether there is an identified asset and whether the contract conveys the right to control the use of the identified asset for a period of time in exchange for consideration. Operating leases with a term of more than one year are included in operating lease right-of-use ("ROU") assets and operating lease liabilities on the Company's condensed consolidated balance sheets. ROU assets represent the Company's right to use an underlying asset for the lease term and lease liabilities represent the obligation to make lease payments. Operating lease ROU assets and liabilities are recognized on the lease commencement date based on the present value of the future minimum lease payments over the lease term.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78"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 include renewal options which allow the Company to, at its election, renew or extend the lease for a fixed or indefinite period of time. These renewal periods are included in the lease terms when the Company is reasonably certain the options will be exercised. Lease expense is recognized on a straight-line basis over the lease term when leases are operating leases. If finance lease, expense is recognized over the lease term within interest expense and amortization in the Company’s condensed consolidated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64"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Comprehensive loss consists of net loss and other gains or losses affecting stockholders’ equity (deficit) that, under U.S. GAAP are excluded from net loss. For the three and six months ended June 30, 2021 and December 31, 2020, unrealized gains and losses on debt securities were included as components of comprehensive loss.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164"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The Company is provided the option to adopt new or revised accounting guidance as an “emerging growth company” under the Jumpstart Our Business Startups Act of 2012 (the “JOBS Act”) either (1) within the same periods as those 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64"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Fees Paid in a Cloud Computing Arrangement,” </w:t>
      </w:r>
      <w:r>
        <w:rPr>
          <w:rFonts w:ascii="Arial" w:cs="Arial" w:eastAsia="Arial" w:hAnsi="Arial"/>
          <w:sz w:val="17"/>
          <w:szCs w:val="17"/>
          <w:color w:val="auto"/>
        </w:rPr>
        <w:t>to help entities evaluate the accounting for fees paid by a customer in a cloud computing</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(hosting arrangement) by providing guidance for determining when the arrangement includes a software license. The ASU will become effective for annual periods beginning after December 15, 2020. The Company adopted this guidance effective January 1, 2021 using prospective method, which did not have a material impact on the Company’s condensed consolidated financial statements.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164"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 xml:space="preserve">In June 2016, the FASB issued ASU No. 2016-13, </w:t>
      </w:r>
      <w:r>
        <w:rPr>
          <w:rFonts w:ascii="Arial" w:cs="Arial" w:eastAsia="Arial" w:hAnsi="Arial"/>
          <w:sz w:val="15"/>
          <w:szCs w:val="15"/>
          <w:i w:val="1"/>
          <w:iCs w:val="1"/>
          <w:color w:val="auto"/>
        </w:rPr>
        <w:t>“Financial Instruments- Credit Losses (Topic 326): Measurement of Credit Losses on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Instruments</w:t>
      </w:r>
      <w:r>
        <w:rPr>
          <w:rFonts w:ascii="Arial" w:cs="Arial" w:eastAsia="Arial" w:hAnsi="Arial"/>
          <w:sz w:val="15"/>
          <w:szCs w:val="15"/>
          <w:color w:val="auto"/>
        </w:rPr>
        <w:t>”, which amends existing guidance on the impairment of financial assets and adds an impairment model that is based on expected losses rather</w:t>
      </w:r>
      <w:r>
        <w:rPr>
          <w:rFonts w:ascii="Arial" w:cs="Arial" w:eastAsia="Arial" w:hAnsi="Arial"/>
          <w:sz w:val="15"/>
          <w:szCs w:val="15"/>
          <w:i w:val="1"/>
          <w:iCs w:val="1"/>
          <w:color w:val="auto"/>
        </w:rPr>
        <w:t xml:space="preserve"> </w:t>
      </w:r>
      <w:r>
        <w:rPr>
          <w:rFonts w:ascii="Arial" w:cs="Arial" w:eastAsia="Arial" w:hAnsi="Arial"/>
          <w:sz w:val="15"/>
          <w:szCs w:val="15"/>
          <w:color w:val="auto"/>
        </w:rPr>
        <w:t>than incurred losses and requires an entity to recognize as an allowance its estimate of expected credit losses for its financial assets. An entity will apply this guidance through a cumulative-effect adjustment to retained earnings upon adoption (a modified-retrospective approach) while a prospective transition approach is required for debt securities for which an other-than-temporary impairment had been recognized before the effective date. This ASU is effective for the Company’s fiscal years beginning after December 15, 2022, and interim periods within those fiscal years. Early adoption is permitted. The Company is in the process of evaluating the impact of the adoption of this ASU on its condensed consolidated financial statements and related disclosures and does not anticipate adoption to have a material impact on its condensed consolidated financial statements.</w:t>
      </w:r>
    </w:p>
    <w:p>
      <w:pPr>
        <w:spacing w:after="0" w:line="101"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enhances and simplifies various aspects of the income tax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78" w:right="359" w:bottom="1440" w:gutter="0" w:footer="0" w:header="0"/>
        </w:sectPr>
      </w:pPr>
    </w:p>
    <w:bookmarkStart w:id="16" w:name="page17"/>
    <w:bookmarkEnd w:id="16"/>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guidance, including requirements such as the elimination of exceptions related to the approach for intraperiod tax allocation, the methodology for calculating income taxes in an interim period, the recognition of deferred tax liabilities for outside basis differences, ownership changes in investments, and tax basis step-up in goodwill obtained in a transaction that is not a business combination. The guidance will be effective for the Company’s annual reporting periods beginning after December 15, 2021. Early adoption is permitted. The Company is in the process of evaluating the impact of the adoption of this ASU on its condensed consolidated financial statements and related disclosures and does not anticipate adoption to have a material impact on its condensed consolidated financial statements.</w:t>
      </w:r>
    </w:p>
    <w:p>
      <w:pPr>
        <w:spacing w:after="0" w:line="143" w:lineRule="exact"/>
        <w:rPr>
          <w:sz w:val="20"/>
          <w:szCs w:val="20"/>
          <w:color w:val="auto"/>
        </w:rPr>
      </w:pPr>
    </w:p>
    <w:p>
      <w:pPr>
        <w:ind w:right="60" w:firstLine="318"/>
        <w:spacing w:after="0" w:line="305" w:lineRule="auto"/>
        <w:rPr>
          <w:sz w:val="20"/>
          <w:szCs w:val="20"/>
          <w:color w:val="auto"/>
        </w:rPr>
      </w:pPr>
      <w:r>
        <w:rPr>
          <w:rFonts w:ascii="Arial" w:cs="Arial" w:eastAsia="Arial" w:hAnsi="Arial"/>
          <w:sz w:val="15"/>
          <w:szCs w:val="15"/>
          <w:color w:val="auto"/>
        </w:rPr>
        <w:t xml:space="preserve">In March 2020, the FASB issued ASU No. 2020-04, </w:t>
      </w:r>
      <w:r>
        <w:rPr>
          <w:rFonts w:ascii="Arial" w:cs="Arial" w:eastAsia="Arial" w:hAnsi="Arial"/>
          <w:sz w:val="15"/>
          <w:szCs w:val="15"/>
          <w:i w:val="1"/>
          <w:iCs w:val="1"/>
          <w:color w:val="auto"/>
        </w:rPr>
        <w:t>“Reference Rate Reform (Topic 848).”</w:t>
      </w:r>
      <w:r>
        <w:rPr>
          <w:rFonts w:ascii="Arial" w:cs="Arial" w:eastAsia="Arial" w:hAnsi="Arial"/>
          <w:sz w:val="15"/>
          <w:szCs w:val="15"/>
          <w:color w:val="auto"/>
        </w:rPr>
        <w:t xml:space="preserve"> The amendments in ASU 2020-04 provide optional expedients and exceptions for applying generally accepted accounting principles to contracts, hedging relationships, and other transactions affected by reference rate reform if certain criteria are met. The amendments in this ASU are effective for all entities as of March 12, 2020 through December 31, 2022. An entity may elect to apply the amendments for contract modifications by Topic or Industry Subtopic as of any date from the beginning of an interim period that includes or is subsequent to March 12, 2020, or prospectively from the date that the financial statements are available to be issued. Once elected for a Topic or an Industry Subtopic, the amendments must be applied prospectively for all eligible contract modifications for that Topic or Industry Subtopic. The Company is in the process of evaluating the impact of the adoption of this ASU on its condensed consolidated financial statements and related disclosures and does not anticipate adoption to have a material impact on its condensed consolidated financial statements.</w:t>
      </w:r>
    </w:p>
    <w:p>
      <w:pPr>
        <w:spacing w:after="0" w:line="95" w:lineRule="exact"/>
        <w:rPr>
          <w:sz w:val="20"/>
          <w:szCs w:val="20"/>
          <w:color w:val="auto"/>
        </w:rPr>
      </w:pPr>
    </w:p>
    <w:p>
      <w:pPr>
        <w:ind w:left="640" w:hanging="634"/>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Reverse Recapitalization</w:t>
      </w:r>
    </w:p>
    <w:p>
      <w:pPr>
        <w:spacing w:after="0" w:line="170"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color w:val="auto"/>
        </w:rPr>
        <w:t>On June 9, 2021, ARYA merged with Legacy Nautilus, with Legacy Nautilus surviving as the surviving company and as a wholly-owned subsidiary of ARYA.</w:t>
      </w:r>
    </w:p>
    <w:p>
      <w:pPr>
        <w:spacing w:after="0" w:line="128" w:lineRule="exact"/>
        <w:rPr>
          <w:sz w:val="20"/>
          <w:szCs w:val="20"/>
          <w:color w:val="auto"/>
        </w:rPr>
      </w:pPr>
    </w:p>
    <w:p>
      <w:pPr>
        <w:ind w:right="20" w:firstLine="318"/>
        <w:spacing w:after="0" w:line="301" w:lineRule="auto"/>
        <w:rPr>
          <w:sz w:val="20"/>
          <w:szCs w:val="20"/>
          <w:color w:val="auto"/>
        </w:rPr>
      </w:pPr>
      <w:r>
        <w:rPr>
          <w:rFonts w:ascii="Arial" w:cs="Arial" w:eastAsia="Arial" w:hAnsi="Arial"/>
          <w:sz w:val="15"/>
          <w:szCs w:val="15"/>
          <w:color w:val="auto"/>
        </w:rPr>
        <w:t>As a result of the Business Combination, Legacy Nautilus equity holders received an aggregate number of shares of New Nautilus Common Stock equal to (i) $900.0 million plus $24.3 million, which reflects the aggregate exercise price of all stock options (whether vested or unvested) of Legacy Nautilus at the consummation of the Business Combination, divided by (ii) $10.00 giving effect to the exchange ratio of approximately 3.6281 (“Exchange Ratio”) based on the terms of the Business Combination Agreement. For purposes of calculating the aggregate number of New Nautilus Common Stock issuable to each holder of Legacy Nautilus Common Stock pursuant to the Business Combination Agreement, all Legacy Nautilus Common Stock held by such holder was aggregated, and the Exchange Ratio was applied to that aggregate number of shares held by such holder, and not on a share-by-share basis, and the number of New Nautilus Common Stock issued was rounded down to the nearest whole share. At the Closing Date, (i) an aggregate of 18,721,137 shares of Class A and Class B ordinary shares of ARYA were exchanged for an equivalent number of Common Stock, (ii) an aggregate of 85,324,118 shares of Common Stock were issued in exchange for the shares of Nautilus outstanding as of immediately prior to the Business Combination and (iii) an aggregate of 20,000,000 shares of Common stock were issued to the PIPE Investors in the PIPE Financing with total gross proceeds of $200.0 million. Moreover, at the Closing, all options to purchase shares of Nautilus were exchanged for comparable options to purchase shares of Common Stock based on an implied Legacy Nautilus equity value of $900.0 million. Immediately after giving effect to the transactions, there were 124,045,255 shares of Common Stock outstanding and 7,106,767 shares of Common Stock subject to outstanding options under the 2017 Plan.</w:t>
      </w:r>
    </w:p>
    <w:p>
      <w:pPr>
        <w:spacing w:after="0" w:line="319"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The Business Combination is accounted for as a reverse recapitalization under U.S. GAAP. This determination is primarily based on Legacy Nautilus stockholders comprising a relative majority of the voting power of Nautilus and having the ability to nominate the members of the Board, Legacy Nautilus’s operations prior to the acquisition comprising the only ongoing operations of Nautilus, and Legacy Nautilus’s senior management comprising a majority of the senior management of Nautilus. Under this method of accounting, ARYA is treated as the “acquired” company for financial reporting purposes. Accordingly, for accounting purposes, the financial statements of Nautilus represent a continuation of the financial statements of Legacy Nautilus with the Business Combination being treated as the equivalent of Nautilus issuing stock for the net assets of ARYA, accompanied by a recapitalization. The net assets of ARYA are stated at historical costs, with no goodwill or other intangible assets recorded. Operations prior to the Business Combination are presented as those of Nautilus. All periods prior to the Business Combination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78"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been retrospectively adjusted using the Exchange Ratio for the equivalent number of shares outstanding immediately after the Business Combination to effect the reverse recapitalization.</w:t>
      </w:r>
    </w:p>
    <w:p>
      <w:pPr>
        <w:spacing w:after="0" w:line="128"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In connection with the Business Combination, the Company raised $335.4 million of net proceeds. This amount was comprised of $135.4 million of cash held in ARYA’s trust account from its initial public offering, net of ARYA’s transaction costs and underwriters’ fees of $10.1 million, and $200.0 million of cash in connection with the PIPE Financing. The Company incurred $8.1 million of transaction costs, consisting of banking, legal, and other professional fees which were recorded as a reduction to additional paid-in capital.</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number of shares of Common Stock issued immediately following the consummation of the Business Combination was:</w:t>
      </w:r>
    </w:p>
    <w:p>
      <w:pPr>
        <w:spacing w:after="0" w:line="194"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876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Number of Shares</w:t>
            </w:r>
          </w:p>
        </w:tc>
      </w:tr>
      <w:tr>
        <w:trPr>
          <w:trHeight w:val="224"/>
        </w:trPr>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of ARYA outstanding prior to the Business Combination</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19,186,500</w:t>
            </w:r>
          </w:p>
        </w:tc>
      </w:tr>
      <w:tr>
        <w:trPr>
          <w:trHeight w:val="225"/>
        </w:trPr>
        <w:tc>
          <w:tcPr>
            <w:tcW w:w="8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redemption of ARYA shares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(465,363)</w:t>
            </w:r>
          </w:p>
        </w:tc>
      </w:tr>
      <w:tr>
        <w:trPr>
          <w:trHeight w:val="219"/>
        </w:trPr>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of ARYA</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18,721,137</w:t>
            </w:r>
          </w:p>
        </w:tc>
      </w:tr>
      <w:tr>
        <w:trPr>
          <w:trHeight w:val="225"/>
        </w:trPr>
        <w:tc>
          <w:tcPr>
            <w:tcW w:w="8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Shares issued in PIPE Financing</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20,000,000</w:t>
            </w:r>
          </w:p>
        </w:tc>
      </w:tr>
      <w:tr>
        <w:trPr>
          <w:trHeight w:val="219"/>
        </w:trPr>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Business Combination and PIPE Financing shares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38,721,137</w:t>
            </w:r>
          </w:p>
        </w:tc>
      </w:tr>
      <w:tr>
        <w:trPr>
          <w:trHeight w:val="225"/>
        </w:trPr>
        <w:tc>
          <w:tcPr>
            <w:tcW w:w="8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Legacy Nautilus shares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85,324,118</w:t>
            </w:r>
          </w:p>
        </w:tc>
      </w:tr>
      <w:tr>
        <w:trPr>
          <w:trHeight w:val="244"/>
        </w:trPr>
        <w:tc>
          <w:tcPr>
            <w:tcW w:w="8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shares of Common Stock immediately after the Business Combination</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124,045,255</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40" w:hanging="634"/>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details the assets carried at fair value and measured on a recurring basis within the three levels of fair value as of June 30, 2021 and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jc w:val="right"/>
              <w:ind w:right="283"/>
              <w:spacing w:after="0"/>
              <w:rPr>
                <w:sz w:val="20"/>
                <w:szCs w:val="20"/>
                <w:color w:val="auto"/>
              </w:rPr>
            </w:pPr>
            <w:r>
              <w:rPr>
                <w:rFonts w:ascii="Arial" w:cs="Arial" w:eastAsia="Arial" w:hAnsi="Arial"/>
                <w:sz w:val="14"/>
                <w:szCs w:val="14"/>
                <w:b w:val="1"/>
                <w:bCs w:val="1"/>
                <w:color w:val="auto"/>
              </w:rPr>
              <w:t>Gross Unrealized</w:t>
            </w:r>
          </w:p>
        </w:tc>
        <w:tc>
          <w:tcPr>
            <w:tcW w:w="3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8"/>
              </w:rPr>
              <w:t>Reported as:</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16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June 30, 2021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Gains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Losses</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86"/>
              </w:rPr>
              <w:t>Cash and cash</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160"/>
              <w:spacing w:after="0" w:line="131" w:lineRule="exact"/>
              <w:rPr>
                <w:sz w:val="20"/>
                <w:szCs w:val="20"/>
                <w:color w:val="auto"/>
              </w:rPr>
            </w:pPr>
            <w:r>
              <w:rPr>
                <w:rFonts w:ascii="Arial" w:cs="Arial" w:eastAsia="Arial" w:hAnsi="Arial"/>
                <w:sz w:val="14"/>
                <w:szCs w:val="14"/>
                <w:b w:val="1"/>
                <w:bCs w:val="1"/>
                <w:color w:val="auto"/>
                <w:w w:val="94"/>
              </w:rPr>
              <w:t>Short-term</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right="97"/>
              <w:spacing w:after="0" w:line="131" w:lineRule="exact"/>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185"/>
        </w:trPr>
        <w:tc>
          <w:tcPr>
            <w:tcW w:w="216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0"/>
              </w:rPr>
              <w:t>equivalents</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8"/>
              </w:rPr>
              <w:t>investments</w:t>
            </w: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5"/>
              </w:rPr>
              <w:t>investments</w:t>
            </w:r>
          </w:p>
        </w:tc>
        <w:tc>
          <w:tcPr>
            <w:tcW w:w="0" w:type="dxa"/>
            <w:vAlign w:val="bottom"/>
          </w:tcPr>
          <w:p>
            <w:pPr>
              <w:spacing w:after="0"/>
              <w:rPr>
                <w:sz w:val="1"/>
                <w:szCs w:val="1"/>
                <w:color w:val="auto"/>
              </w:rPr>
            </w:pPr>
          </w:p>
        </w:tc>
      </w:tr>
      <w:tr>
        <w:trPr>
          <w:trHeight w:val="206"/>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16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174,167</w:t>
            </w:r>
          </w:p>
        </w:tc>
        <w:tc>
          <w:tcPr>
            <w:tcW w:w="40" w:type="dxa"/>
            <w:vAlign w:val="bottom"/>
          </w:tcPr>
          <w:p>
            <w:pPr>
              <w:spacing w:after="0"/>
              <w:rPr>
                <w:sz w:val="19"/>
                <w:szCs w:val="19"/>
                <w:color w:val="auto"/>
              </w:rPr>
            </w:pPr>
          </w:p>
        </w:tc>
        <w:tc>
          <w:tcPr>
            <w:tcW w:w="34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663"/>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174,167</w:t>
            </w:r>
          </w:p>
        </w:tc>
        <w:tc>
          <w:tcPr>
            <w:tcW w:w="2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174,167</w:t>
            </w:r>
          </w:p>
        </w:tc>
        <w:tc>
          <w:tcPr>
            <w:tcW w:w="2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15,260</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15,266</w:t>
            </w:r>
          </w:p>
        </w:tc>
        <w:tc>
          <w:tcPr>
            <w:tcW w:w="0" w:type="dxa"/>
            <w:vAlign w:val="bottom"/>
          </w:tcPr>
          <w:p>
            <w:pPr>
              <w:spacing w:after="0"/>
              <w:rPr>
                <w:sz w:val="1"/>
                <w:szCs w:val="1"/>
                <w:color w:val="auto"/>
              </w:rPr>
            </w:pPr>
          </w:p>
        </w:tc>
      </w:tr>
      <w:tr>
        <w:trPr>
          <w:trHeight w:val="218"/>
        </w:trPr>
        <w:tc>
          <w:tcPr>
            <w:tcW w:w="2160" w:type="dxa"/>
            <w:vAlign w:val="bottom"/>
          </w:tcPr>
          <w:p>
            <w:pPr>
              <w:ind w:left="240"/>
              <w:spacing w:after="0"/>
              <w:rPr>
                <w:sz w:val="20"/>
                <w:szCs w:val="20"/>
                <w:color w:val="auto"/>
              </w:rPr>
            </w:pPr>
            <w:r>
              <w:rPr>
                <w:rFonts w:ascii="Arial" w:cs="Arial" w:eastAsia="Arial" w:hAnsi="Arial"/>
                <w:sz w:val="18"/>
                <w:szCs w:val="18"/>
                <w:color w:val="auto"/>
              </w:rPr>
              <w:t>Total Level 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189,427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189,433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174,167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15,266</w:t>
            </w:r>
          </w:p>
        </w:tc>
        <w:tc>
          <w:tcPr>
            <w:tcW w:w="0" w:type="dxa"/>
            <w:vAlign w:val="bottom"/>
          </w:tcPr>
          <w:p>
            <w:pPr>
              <w:spacing w:after="0"/>
              <w:rPr>
                <w:sz w:val="1"/>
                <w:szCs w:val="1"/>
                <w:color w:val="auto"/>
              </w:rPr>
            </w:pPr>
          </w:p>
        </w:tc>
      </w:tr>
      <w:tr>
        <w:trPr>
          <w:trHeight w:val="226"/>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Level 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192,138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192,123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114,220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77,903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6,855</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6,854</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Level 2</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198,993</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3"/>
              </w:rPr>
              <w:t>(16)</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198,977</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114,220</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84,757</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4"/>
        </w:trPr>
        <w:tc>
          <w:tcPr>
            <w:tcW w:w="2160" w:type="dxa"/>
            <w:vAlign w:val="bottom"/>
            <w:shd w:val="clear" w:color="auto" w:fill="CCEEFF"/>
          </w:tcPr>
          <w:p>
            <w:pPr>
              <w:ind w:left="260"/>
              <w:spacing w:after="0" w:line="154" w:lineRule="exact"/>
              <w:rPr>
                <w:sz w:val="20"/>
                <w:szCs w:val="20"/>
                <w:color w:val="auto"/>
              </w:rPr>
            </w:pPr>
            <w:r>
              <w:rPr>
                <w:rFonts w:ascii="Arial" w:cs="Arial" w:eastAsia="Arial" w:hAnsi="Arial"/>
                <w:sz w:val="17"/>
                <w:szCs w:val="17"/>
                <w:color w:val="auto"/>
              </w:rPr>
              <w:t>Total Level 1 and Level</w:t>
            </w:r>
          </w:p>
        </w:tc>
        <w:tc>
          <w:tcPr>
            <w:tcW w:w="40" w:type="dxa"/>
            <w:vAlign w:val="bottom"/>
            <w:vMerge w:val="restart"/>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388,420</w:t>
            </w:r>
          </w:p>
        </w:tc>
        <w:tc>
          <w:tcPr>
            <w:tcW w:w="40" w:type="dxa"/>
            <w:vAlign w:val="bottom"/>
            <w:shd w:val="clear" w:color="auto" w:fill="CCEEFF"/>
          </w:tcPr>
          <w:p>
            <w:pPr>
              <w:spacing w:after="0"/>
              <w:rPr>
                <w:sz w:val="13"/>
                <w:szCs w:val="13"/>
                <w:color w:val="auto"/>
              </w:rPr>
            </w:pPr>
          </w:p>
        </w:tc>
        <w:tc>
          <w:tcPr>
            <w:tcW w:w="80" w:type="dxa"/>
            <w:vAlign w:val="bottom"/>
            <w:gridSpan w:val="2"/>
            <w:vMerge w:val="restart"/>
            <w:shd w:val="clear" w:color="auto" w:fill="CCEEFF"/>
          </w:tcPr>
          <w:p>
            <w:pPr>
              <w:spacing w:after="0"/>
              <w:rPr>
                <w:sz w:val="13"/>
                <w:szCs w:val="13"/>
                <w:color w:val="auto"/>
              </w:rPr>
            </w:pPr>
          </w:p>
        </w:tc>
        <w:tc>
          <w:tcPr>
            <w:tcW w:w="26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3"/>
                <w:szCs w:val="13"/>
                <w:color w:val="auto"/>
              </w:rPr>
            </w:pPr>
          </w:p>
        </w:tc>
        <w:tc>
          <w:tcPr>
            <w:tcW w:w="80" w:type="dxa"/>
            <w:vAlign w:val="bottom"/>
            <w:gridSpan w:val="2"/>
            <w:vMerge w:val="restart"/>
            <w:shd w:val="clear" w:color="auto" w:fill="CCEEFF"/>
          </w:tcPr>
          <w:p>
            <w:pPr>
              <w:spacing w:after="0"/>
              <w:rPr>
                <w:sz w:val="13"/>
                <w:szCs w:val="13"/>
                <w:color w:val="auto"/>
              </w:rPr>
            </w:pPr>
          </w:p>
        </w:tc>
        <w:tc>
          <w:tcPr>
            <w:tcW w:w="860" w:type="dxa"/>
            <w:vAlign w:val="bottom"/>
            <w:vMerge w:val="restart"/>
            <w:shd w:val="clear" w:color="auto" w:fill="CCEEFF"/>
          </w:tcPr>
          <w:p>
            <w:pPr>
              <w:jc w:val="right"/>
              <w:ind w:right="663"/>
              <w:spacing w:after="0"/>
              <w:rPr>
                <w:sz w:val="20"/>
                <w:szCs w:val="20"/>
                <w:color w:val="auto"/>
              </w:rPr>
            </w:pPr>
            <w:r>
              <w:rPr>
                <w:rFonts w:ascii="Arial" w:cs="Arial" w:eastAsia="Arial" w:hAnsi="Arial"/>
                <w:sz w:val="18"/>
                <w:szCs w:val="18"/>
                <w:color w:val="auto"/>
                <w:w w:val="99"/>
              </w:rPr>
              <w:t>$</w:t>
            </w:r>
          </w:p>
        </w:tc>
        <w:tc>
          <w:tcPr>
            <w:tcW w:w="3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3"/>
              </w:rPr>
              <w:t>(16)</w:t>
            </w:r>
          </w:p>
        </w:tc>
        <w:tc>
          <w:tcPr>
            <w:tcW w:w="80" w:type="dxa"/>
            <w:vAlign w:val="bottom"/>
            <w:gridSpan w:val="2"/>
            <w:vMerge w:val="restart"/>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388,410</w:t>
            </w:r>
          </w:p>
        </w:tc>
        <w:tc>
          <w:tcPr>
            <w:tcW w:w="20" w:type="dxa"/>
            <w:vAlign w:val="bottom"/>
            <w:shd w:val="clear" w:color="auto" w:fill="CCEEFF"/>
          </w:tcPr>
          <w:p>
            <w:pPr>
              <w:spacing w:after="0"/>
              <w:rPr>
                <w:sz w:val="13"/>
                <w:szCs w:val="13"/>
                <w:color w:val="auto"/>
              </w:rPr>
            </w:pPr>
          </w:p>
        </w:tc>
        <w:tc>
          <w:tcPr>
            <w:tcW w:w="100" w:type="dxa"/>
            <w:vAlign w:val="bottom"/>
            <w:gridSpan w:val="2"/>
            <w:vMerge w:val="restart"/>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288,387</w:t>
            </w:r>
          </w:p>
        </w:tc>
        <w:tc>
          <w:tcPr>
            <w:tcW w:w="20" w:type="dxa"/>
            <w:vAlign w:val="bottom"/>
            <w:shd w:val="clear" w:color="auto" w:fill="CCEEFF"/>
          </w:tcPr>
          <w:p>
            <w:pPr>
              <w:spacing w:after="0"/>
              <w:rPr>
                <w:sz w:val="13"/>
                <w:szCs w:val="13"/>
                <w:color w:val="auto"/>
              </w:rPr>
            </w:pPr>
          </w:p>
        </w:tc>
        <w:tc>
          <w:tcPr>
            <w:tcW w:w="100" w:type="dxa"/>
            <w:vAlign w:val="bottom"/>
            <w:gridSpan w:val="2"/>
            <w:vMerge w:val="restart"/>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84,757</w:t>
            </w:r>
          </w:p>
        </w:tc>
        <w:tc>
          <w:tcPr>
            <w:tcW w:w="40" w:type="dxa"/>
            <w:vAlign w:val="bottom"/>
            <w:shd w:val="clear" w:color="auto" w:fill="CCEEFF"/>
          </w:tcPr>
          <w:p>
            <w:pPr>
              <w:spacing w:after="0"/>
              <w:rPr>
                <w:sz w:val="13"/>
                <w:szCs w:val="13"/>
                <w:color w:val="auto"/>
              </w:rPr>
            </w:pPr>
          </w:p>
        </w:tc>
        <w:tc>
          <w:tcPr>
            <w:tcW w:w="80" w:type="dxa"/>
            <w:vAlign w:val="bottom"/>
            <w:gridSpan w:val="2"/>
            <w:vMerge w:val="restart"/>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15,266</w:t>
            </w:r>
          </w:p>
        </w:tc>
        <w:tc>
          <w:tcPr>
            <w:tcW w:w="0" w:type="dxa"/>
            <w:vAlign w:val="bottom"/>
          </w:tcPr>
          <w:p>
            <w:pPr>
              <w:spacing w:after="0"/>
              <w:rPr>
                <w:sz w:val="1"/>
                <w:szCs w:val="1"/>
                <w:color w:val="auto"/>
              </w:rPr>
            </w:pPr>
          </w:p>
        </w:tc>
      </w:tr>
      <w:tr>
        <w:trPr>
          <w:trHeight w:val="218"/>
        </w:trPr>
        <w:tc>
          <w:tcPr>
            <w:tcW w:w="2160" w:type="dxa"/>
            <w:vAlign w:val="bottom"/>
            <w:tcBorders>
              <w:bottom w:val="single" w:sz="8" w:color="CCEEFF"/>
            </w:tcBorders>
            <w:shd w:val="clear" w:color="auto" w:fill="CCEEFF"/>
          </w:tcPr>
          <w:p>
            <w:pPr>
              <w:ind w:left="500"/>
              <w:spacing w:after="0" w:line="198" w:lineRule="exact"/>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gridSpan w:val="2"/>
            <w:vMerge w:val="continue"/>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gridSpan w:val="2"/>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360" w:type="dxa"/>
            <w:vAlign w:val="bottom"/>
            <w:tcBorders>
              <w:bottom w:val="single" w:sz="8" w:color="auto"/>
            </w:tcBorders>
            <w:gridSpan w:val="2"/>
            <w:vMerge w:val="continue"/>
            <w:shd w:val="clear" w:color="auto" w:fill="CCEEFF"/>
          </w:tcPr>
          <w:p>
            <w:pPr>
              <w:spacing w:after="0"/>
              <w:rPr>
                <w:sz w:val="18"/>
                <w:szCs w:val="18"/>
                <w:color w:val="auto"/>
              </w:rPr>
            </w:pPr>
          </w:p>
        </w:tc>
        <w:tc>
          <w:tcPr>
            <w:tcW w:w="80" w:type="dxa"/>
            <w:vAlign w:val="bottom"/>
            <w:tcBorders>
              <w:bottom w:val="single" w:sz="8" w:color="CCEEFF"/>
            </w:tcBorders>
            <w:gridSpan w:val="2"/>
            <w:vMerge w:val="continue"/>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gridSpan w:val="2"/>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gridSpan w:val="2"/>
            <w:vMerge w:val="continue"/>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gridSpan w:val="2"/>
            <w:vMerge w:val="continue"/>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ind w:right="323"/>
              <w:spacing w:after="0"/>
              <w:rPr>
                <w:sz w:val="20"/>
                <w:szCs w:val="20"/>
                <w:color w:val="auto"/>
              </w:rPr>
            </w:pPr>
            <w:r>
              <w:rPr>
                <w:rFonts w:ascii="Arial" w:cs="Arial" w:eastAsia="Arial" w:hAnsi="Arial"/>
                <w:sz w:val="14"/>
                <w:szCs w:val="14"/>
                <w:b w:val="1"/>
                <w:bCs w:val="1"/>
                <w:color w:val="auto"/>
              </w:rPr>
              <w:t>Gross Unrealized</w:t>
            </w:r>
          </w:p>
        </w:tc>
        <w:tc>
          <w:tcPr>
            <w:tcW w:w="3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1"/>
              </w:rPr>
              <w:t>Reported as:</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1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December 31, 2020</w:t>
            </w:r>
          </w:p>
        </w:tc>
        <w:tc>
          <w:tcPr>
            <w:tcW w:w="40" w:type="dxa"/>
            <w:vAlign w:val="bottom"/>
          </w:tcPr>
          <w:p>
            <w:pPr>
              <w:spacing w:after="0"/>
              <w:rPr>
                <w:sz w:val="11"/>
                <w:szCs w:val="11"/>
                <w:color w:val="auto"/>
              </w:rPr>
            </w:pPr>
          </w:p>
        </w:tc>
        <w:tc>
          <w:tcPr>
            <w:tcW w:w="12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Gains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vMerge w:val="restart"/>
          </w:tcPr>
          <w:p>
            <w:pPr>
              <w:jc w:val="right"/>
              <w:ind w:right="3"/>
              <w:spacing w:after="0"/>
              <w:rPr>
                <w:sz w:val="20"/>
                <w:szCs w:val="20"/>
                <w:color w:val="auto"/>
              </w:rPr>
            </w:pPr>
            <w:r>
              <w:rPr>
                <w:rFonts w:ascii="Arial" w:cs="Arial" w:eastAsia="Arial" w:hAnsi="Arial"/>
                <w:sz w:val="14"/>
                <w:szCs w:val="14"/>
                <w:b w:val="1"/>
                <w:bCs w:val="1"/>
                <w:color w:val="auto"/>
              </w:rPr>
              <w:t>Losses</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180"/>
              <w:spacing w:after="0" w:line="131" w:lineRule="exact"/>
              <w:rPr>
                <w:sz w:val="20"/>
                <w:szCs w:val="20"/>
                <w:color w:val="auto"/>
              </w:rPr>
            </w:pPr>
            <w:r>
              <w:rPr>
                <w:rFonts w:ascii="Arial" w:cs="Arial" w:eastAsia="Arial" w:hAnsi="Arial"/>
                <w:sz w:val="14"/>
                <w:szCs w:val="14"/>
                <w:b w:val="1"/>
                <w:bCs w:val="1"/>
                <w:color w:val="auto"/>
                <w:w w:val="89"/>
              </w:rPr>
              <w:t>Cash and cash</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ind w:left="100"/>
              <w:spacing w:after="0" w:line="131" w:lineRule="exact"/>
              <w:rPr>
                <w:sz w:val="20"/>
                <w:szCs w:val="20"/>
                <w:color w:val="auto"/>
              </w:rPr>
            </w:pPr>
            <w:r>
              <w:rPr>
                <w:rFonts w:ascii="Arial" w:cs="Arial" w:eastAsia="Arial" w:hAnsi="Arial"/>
                <w:sz w:val="14"/>
                <w:szCs w:val="14"/>
                <w:b w:val="1"/>
                <w:bCs w:val="1"/>
                <w:color w:val="auto"/>
              </w:rPr>
              <w:t>Short-term</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right="117"/>
              <w:spacing w:after="0" w:line="131" w:lineRule="exact"/>
              <w:rPr>
                <w:sz w:val="20"/>
                <w:szCs w:val="20"/>
                <w:color w:val="auto"/>
              </w:rPr>
            </w:pPr>
            <w:r>
              <w:rPr>
                <w:rFonts w:ascii="Arial" w:cs="Arial" w:eastAsia="Arial" w:hAnsi="Arial"/>
                <w:sz w:val="14"/>
                <w:szCs w:val="14"/>
                <w:b w:val="1"/>
                <w:bCs w:val="1"/>
                <w:color w:val="auto"/>
                <w:w w:val="92"/>
              </w:rPr>
              <w:t>Long-term</w:t>
            </w:r>
          </w:p>
        </w:tc>
        <w:tc>
          <w:tcPr>
            <w:tcW w:w="0" w:type="dxa"/>
            <w:vAlign w:val="bottom"/>
          </w:tcPr>
          <w:p>
            <w:pPr>
              <w:spacing w:after="0"/>
              <w:rPr>
                <w:sz w:val="1"/>
                <w:szCs w:val="1"/>
                <w:color w:val="auto"/>
              </w:rPr>
            </w:pPr>
          </w:p>
        </w:tc>
      </w:tr>
      <w:tr>
        <w:trPr>
          <w:trHeight w:val="185"/>
        </w:trPr>
        <w:tc>
          <w:tcPr>
            <w:tcW w:w="2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equivalents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investments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117"/>
              <w:spacing w:after="0"/>
              <w:rPr>
                <w:sz w:val="20"/>
                <w:szCs w:val="20"/>
                <w:color w:val="auto"/>
              </w:rPr>
            </w:pPr>
            <w:r>
              <w:rPr>
                <w:rFonts w:ascii="Arial" w:cs="Arial" w:eastAsia="Arial" w:hAnsi="Arial"/>
                <w:sz w:val="14"/>
                <w:szCs w:val="14"/>
                <w:b w:val="1"/>
                <w:bCs w:val="1"/>
                <w:color w:val="auto"/>
                <w:w w:val="88"/>
              </w:rPr>
              <w:t>investments</w:t>
            </w:r>
          </w:p>
        </w:tc>
        <w:tc>
          <w:tcPr>
            <w:tcW w:w="0" w:type="dxa"/>
            <w:vAlign w:val="bottom"/>
          </w:tcPr>
          <w:p>
            <w:pPr>
              <w:spacing w:after="0"/>
              <w:rPr>
                <w:sz w:val="1"/>
                <w:szCs w:val="1"/>
                <w:color w:val="auto"/>
              </w:rPr>
            </w:pPr>
          </w:p>
        </w:tc>
      </w:tr>
      <w:tr>
        <w:trPr>
          <w:trHeight w:val="20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16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36,607</w:t>
            </w:r>
          </w:p>
        </w:tc>
        <w:tc>
          <w:tcPr>
            <w:tcW w:w="40" w:type="dxa"/>
            <w:vAlign w:val="bottom"/>
          </w:tcPr>
          <w:p>
            <w:pPr>
              <w:spacing w:after="0"/>
              <w:rPr>
                <w:sz w:val="19"/>
                <w:szCs w:val="19"/>
                <w:color w:val="auto"/>
              </w:rPr>
            </w:pPr>
          </w:p>
        </w:tc>
        <w:tc>
          <w:tcPr>
            <w:tcW w:w="340" w:type="dxa"/>
            <w:vAlign w:val="bottom"/>
            <w:gridSpan w:val="3"/>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703"/>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36,607</w:t>
            </w:r>
          </w:p>
        </w:tc>
        <w:tc>
          <w:tcPr>
            <w:tcW w:w="2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36,607</w:t>
            </w:r>
          </w:p>
        </w:tc>
        <w:tc>
          <w:tcPr>
            <w:tcW w:w="2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bills</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160" w:type="dxa"/>
            <w:vAlign w:val="bottom"/>
          </w:tcPr>
          <w:p>
            <w:pPr>
              <w:ind w:left="260"/>
              <w:spacing w:after="0"/>
              <w:rPr>
                <w:sz w:val="20"/>
                <w:szCs w:val="20"/>
                <w:color w:val="auto"/>
              </w:rPr>
            </w:pPr>
            <w:r>
              <w:rPr>
                <w:rFonts w:ascii="Arial" w:cs="Arial" w:eastAsia="Arial" w:hAnsi="Arial"/>
                <w:sz w:val="18"/>
                <w:szCs w:val="18"/>
                <w:color w:val="auto"/>
              </w:rPr>
              <w:t>Total Level 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76,739</w:t>
            </w:r>
          </w:p>
        </w:tc>
        <w:tc>
          <w:tcPr>
            <w:tcW w:w="40" w:type="dxa"/>
            <w:vAlign w:val="bottom"/>
          </w:tcPr>
          <w:p>
            <w:pPr>
              <w:spacing w:after="0"/>
              <w:rPr>
                <w:sz w:val="19"/>
                <w:szCs w:val="19"/>
                <w:color w:val="auto"/>
              </w:rPr>
            </w:pPr>
          </w:p>
        </w:tc>
        <w:tc>
          <w:tcPr>
            <w:tcW w:w="340" w:type="dxa"/>
            <w:vAlign w:val="bottom"/>
            <w:gridSpan w:val="3"/>
          </w:tcPr>
          <w:p>
            <w:pPr>
              <w:jc w:val="right"/>
              <w:ind w:right="9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940" w:type="dxa"/>
            <w:vAlign w:val="bottom"/>
            <w:gridSpan w:val="3"/>
          </w:tcPr>
          <w:p>
            <w:pPr>
              <w:jc w:val="right"/>
              <w:ind w:right="703"/>
              <w:spacing w:after="0"/>
              <w:rPr>
                <w:sz w:val="20"/>
                <w:szCs w:val="20"/>
                <w:color w:val="auto"/>
              </w:rPr>
            </w:pPr>
            <w:r>
              <w:rPr>
                <w:rFonts w:ascii="Arial" w:cs="Arial" w:eastAsia="Arial" w:hAnsi="Arial"/>
                <w:sz w:val="18"/>
                <w:szCs w:val="18"/>
                <w:color w:val="auto"/>
              </w:rPr>
              <w:t>$</w:t>
            </w:r>
          </w:p>
        </w:tc>
        <w:tc>
          <w:tcPr>
            <w:tcW w:w="32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40" w:type="dxa"/>
            <w:vAlign w:val="bottom"/>
          </w:tcPr>
          <w:p>
            <w:pPr>
              <w:spacing w:after="0"/>
              <w:rPr>
                <w:sz w:val="19"/>
                <w:szCs w:val="19"/>
                <w:color w:val="auto"/>
              </w:rPr>
            </w:pPr>
          </w:p>
        </w:tc>
        <w:tc>
          <w:tcPr>
            <w:tcW w:w="28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76,742</w:t>
            </w:r>
          </w:p>
        </w:tc>
        <w:tc>
          <w:tcPr>
            <w:tcW w:w="2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36,607</w:t>
            </w:r>
          </w:p>
        </w:tc>
        <w:tc>
          <w:tcPr>
            <w:tcW w:w="2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40,135</w:t>
            </w:r>
          </w:p>
        </w:tc>
        <w:tc>
          <w:tcPr>
            <w:tcW w:w="40" w:type="dxa"/>
            <w:vAlign w:val="bottom"/>
          </w:tcPr>
          <w:p>
            <w:pPr>
              <w:spacing w:after="0"/>
              <w:rPr>
                <w:sz w:val="19"/>
                <w:szCs w:val="19"/>
                <w:color w:val="auto"/>
              </w:rPr>
            </w:pPr>
          </w:p>
        </w:tc>
        <w:tc>
          <w:tcPr>
            <w:tcW w:w="26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78"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Contractual maturities of short-term investments as of June 30, 2021 and December 31, 2020 are due in one year or less. Contractual maturities of long-term investments as of June 30, 2021 are due after 1 year through 5 years.</w:t>
      </w:r>
    </w:p>
    <w:p>
      <w:pPr>
        <w:spacing w:after="0" w:line="122" w:lineRule="exact"/>
        <w:rPr>
          <w:sz w:val="20"/>
          <w:szCs w:val="20"/>
          <w:color w:val="auto"/>
        </w:rPr>
      </w:pPr>
    </w:p>
    <w:p>
      <w:pPr>
        <w:ind w:right="4500" w:firstLine="6"/>
        <w:spacing w:after="0" w:line="433" w:lineRule="auto"/>
        <w:tabs>
          <w:tab w:leader="none" w:pos="636"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 of Certain Condensed Consolidated Financial Statement Line Items Property and Equipment, Net</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320" w:type="dxa"/>
            <w:vAlign w:val="bottom"/>
          </w:tcPr>
          <w:p>
            <w:pPr>
              <w:jc w:val="right"/>
              <w:ind w:right="27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Computer hardware</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120" w:firstLine="318"/>
        <w:spacing w:after="0" w:line="365" w:lineRule="auto"/>
        <w:rPr>
          <w:sz w:val="20"/>
          <w:szCs w:val="20"/>
          <w:color w:val="auto"/>
        </w:rPr>
      </w:pPr>
      <w:r>
        <w:rPr>
          <w:rFonts w:ascii="Arial" w:cs="Arial" w:eastAsia="Arial" w:hAnsi="Arial"/>
          <w:sz w:val="15"/>
          <w:szCs w:val="15"/>
          <w:color w:val="auto"/>
        </w:rPr>
        <w:t>The Company recorded depreciation expense of $0.3 million and $0.5 million for the three and six months ended June 30, 2021, respectively, and $0.2 million and $0.3 million for the three and six months ended June 30, 2020, respectively, which was primarily allocated to research and development expense.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 Term Assets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long term assets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jc w:val="center"/>
              <w:ind w:left="441"/>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center"/>
              <w:ind w:right="158"/>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tcPr>
          <w:p>
            <w:pPr>
              <w:jc w:val="center"/>
              <w:ind w:left="421"/>
              <w:spacing w:after="0"/>
              <w:rPr>
                <w:sz w:val="20"/>
                <w:szCs w:val="20"/>
                <w:color w:val="auto"/>
              </w:rPr>
            </w:pPr>
            <w:r>
              <w:rPr>
                <w:rFonts w:ascii="Arial" w:cs="Arial" w:eastAsia="Arial" w:hAnsi="Arial"/>
                <w:sz w:val="14"/>
                <w:szCs w:val="14"/>
                <w:b w:val="1"/>
                <w:bCs w:val="1"/>
                <w:color w:val="auto"/>
                <w:w w:val="89"/>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060" w:type="dxa"/>
            <w:vAlign w:val="bottom"/>
            <w:shd w:val="clear" w:color="auto" w:fill="CCEEFF"/>
          </w:tcPr>
          <w:p>
            <w:pPr>
              <w:jc w:val="right"/>
              <w:ind w:right="881"/>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Deferred offering costs</w:t>
            </w:r>
          </w:p>
        </w:tc>
        <w:tc>
          <w:tcPr>
            <w:tcW w:w="106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52"/>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w:t>
            </w:r>
          </w:p>
        </w:tc>
        <w:tc>
          <w:tcPr>
            <w:tcW w:w="106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9"/>
        </w:trPr>
        <w:tc>
          <w:tcPr>
            <w:tcW w:w="8020" w:type="dxa"/>
            <w:vAlign w:val="bottom"/>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tcPr>
          <w:p>
            <w:pPr>
              <w:jc w:val="right"/>
              <w:ind w:right="881"/>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8"/>
                <w:szCs w:val="18"/>
                <w:b w:val="1"/>
                <w:bCs w:val="1"/>
                <w:color w:val="auto"/>
              </w:rPr>
              <w:t>Accrued Expenses and Other Liabilities</w:t>
            </w: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80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8020" w:type="dxa"/>
            <w:vAlign w:val="bottom"/>
          </w:tcPr>
          <w:p>
            <w:pPr>
              <w:ind w:left="320"/>
              <w:spacing w:after="0"/>
              <w:rPr>
                <w:sz w:val="20"/>
                <w:szCs w:val="20"/>
                <w:color w:val="auto"/>
              </w:rPr>
            </w:pPr>
            <w:r>
              <w:rPr>
                <w:rFonts w:ascii="Arial" w:cs="Arial" w:eastAsia="Arial" w:hAnsi="Arial"/>
                <w:sz w:val="18"/>
                <w:szCs w:val="18"/>
                <w:color w:val="auto"/>
              </w:rPr>
              <w:t>Accrued expenses and other liabilities consisted of the following:</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jc w:val="center"/>
              <w:ind w:left="441"/>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center"/>
              <w:ind w:right="158"/>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tcPr>
          <w:p>
            <w:pPr>
              <w:jc w:val="center"/>
              <w:ind w:left="421"/>
              <w:spacing w:after="0"/>
              <w:rPr>
                <w:sz w:val="20"/>
                <w:szCs w:val="20"/>
                <w:color w:val="auto"/>
              </w:rPr>
            </w:pPr>
            <w:r>
              <w:rPr>
                <w:rFonts w:ascii="Arial" w:cs="Arial" w:eastAsia="Arial" w:hAnsi="Arial"/>
                <w:sz w:val="14"/>
                <w:szCs w:val="14"/>
                <w:b w:val="1"/>
                <w:bCs w:val="1"/>
                <w:color w:val="auto"/>
                <w:w w:val="89"/>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w:t>
            </w:r>
          </w:p>
        </w:tc>
        <w:tc>
          <w:tcPr>
            <w:tcW w:w="1060" w:type="dxa"/>
            <w:vAlign w:val="bottom"/>
            <w:shd w:val="clear" w:color="auto" w:fill="CCEEFF"/>
          </w:tcPr>
          <w:p>
            <w:pPr>
              <w:jc w:val="right"/>
              <w:ind w:right="881"/>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Accrued professional and consulting fees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9"/>
        </w:trPr>
        <w:tc>
          <w:tcPr>
            <w:tcW w:w="8020" w:type="dxa"/>
            <w:vAlign w:val="bottom"/>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ind w:right="881"/>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1,316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78"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Cash, cash equivalents and restricted cash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320" w:type="dxa"/>
            <w:vAlign w:val="bottom"/>
          </w:tcPr>
          <w:p>
            <w:pPr>
              <w:jc w:val="right"/>
              <w:ind w:right="27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36,607</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Restricted cash included in other long term assets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44"/>
        </w:trPr>
        <w:tc>
          <w:tcPr>
            <w:tcW w:w="180" w:type="dxa"/>
            <w:vAlign w:val="bottom"/>
            <w:tcBorders>
              <w:bottom w:val="single" w:sz="8" w:color="CCEEFF"/>
            </w:tcBorders>
            <w:shd w:val="clear" w:color="auto" w:fill="CCEEFF"/>
          </w:tcPr>
          <w:p>
            <w:pPr>
              <w:spacing w:after="0"/>
              <w:rPr>
                <w:sz w:val="20"/>
                <w:szCs w:val="20"/>
                <w:color w:val="auto"/>
              </w:rPr>
            </w:pPr>
          </w:p>
        </w:tc>
        <w:tc>
          <w:tcPr>
            <w:tcW w:w="7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288,999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37,219</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8"/>
                <w:szCs w:val="18"/>
                <w:b w:val="1"/>
                <w:bCs w:val="1"/>
                <w:color w:val="auto"/>
              </w:rPr>
              <w:t>Redeemable Convertible Preferred Stock</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180" w:type="dxa"/>
            <w:vAlign w:val="bottom"/>
            <w:vMerge w:val="continue"/>
          </w:tcPr>
          <w:p>
            <w:pPr>
              <w:spacing w:after="0"/>
              <w:rPr>
                <w:sz w:val="24"/>
                <w:szCs w:val="24"/>
                <w:color w:val="auto"/>
              </w:rPr>
            </w:pPr>
          </w:p>
        </w:tc>
        <w:tc>
          <w:tcPr>
            <w:tcW w:w="78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40" w:firstLine="318"/>
        <w:spacing w:after="0" w:line="330" w:lineRule="auto"/>
        <w:rPr>
          <w:sz w:val="20"/>
          <w:szCs w:val="20"/>
          <w:color w:val="auto"/>
        </w:rPr>
      </w:pPr>
      <w:r>
        <w:rPr>
          <w:rFonts w:ascii="Arial" w:cs="Arial" w:eastAsia="Arial" w:hAnsi="Arial"/>
          <w:sz w:val="15"/>
          <w:szCs w:val="15"/>
          <w:color w:val="auto"/>
        </w:rPr>
        <w:t>On June 9, 2021, upon the closing of the Business Combination (Note 3), all of the outstanding redeemable convertible preferred stock was converted to New Nautilus Common Stock pursuant to the Exchange Ratio effective immediately prior to the Business Combination and the remaining amount was reclassified to additional paid-in capital. As of June 30, 2021 the Company had no issued and outstanding Preferred Stock shares.</w:t>
      </w:r>
    </w:p>
    <w:p>
      <w:pPr>
        <w:spacing w:after="0" w:line="78" w:lineRule="exact"/>
        <w:rPr>
          <w:sz w:val="20"/>
          <w:szCs w:val="20"/>
          <w:color w:val="auto"/>
        </w:rPr>
      </w:pPr>
    </w:p>
    <w:p>
      <w:pPr>
        <w:ind w:left="640" w:hanging="634"/>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70" w:lineRule="exact"/>
        <w:rPr>
          <w:sz w:val="20"/>
          <w:szCs w:val="20"/>
          <w:color w:val="auto"/>
        </w:rPr>
      </w:pPr>
    </w:p>
    <w:p>
      <w:pPr>
        <w:jc w:val="both"/>
        <w:ind w:right="280" w:firstLine="318"/>
        <w:spacing w:after="0" w:line="255" w:lineRule="auto"/>
        <w:rPr>
          <w:sz w:val="20"/>
          <w:szCs w:val="20"/>
          <w:color w:val="auto"/>
        </w:rPr>
      </w:pPr>
      <w:r>
        <w:rPr>
          <w:rFonts w:ascii="Arial" w:cs="Arial" w:eastAsia="Arial" w:hAnsi="Arial"/>
          <w:sz w:val="18"/>
          <w:szCs w:val="18"/>
          <w:color w:val="auto"/>
        </w:rPr>
        <w:t>On June 9, 2021, the Business Combination was consummated (Note 3) and the Company issued 38,721,137 shares for an aggregate purchase price of $327.3 million, net of issuance costs of $8.1 million. Immediately following the Business Combination, there were 124,045,255 shares of Common Stock outstanding. The holder of each share of Common Stock is entitled to one vote.</w:t>
      </w:r>
    </w:p>
    <w:p>
      <w:pPr>
        <w:spacing w:after="0" w:line="135" w:lineRule="exact"/>
        <w:rPr>
          <w:sz w:val="20"/>
          <w:szCs w:val="20"/>
          <w:color w:val="auto"/>
        </w:rPr>
      </w:pPr>
    </w:p>
    <w:p>
      <w:pPr>
        <w:ind w:right="380" w:firstLine="318"/>
        <w:spacing w:after="0" w:line="294" w:lineRule="auto"/>
        <w:rPr>
          <w:sz w:val="20"/>
          <w:szCs w:val="20"/>
          <w:color w:val="auto"/>
        </w:rPr>
      </w:pPr>
      <w:r>
        <w:rPr>
          <w:rFonts w:ascii="Arial" w:cs="Arial" w:eastAsia="Arial" w:hAnsi="Arial"/>
          <w:sz w:val="17"/>
          <w:szCs w:val="17"/>
          <w:color w:val="auto"/>
        </w:rPr>
        <w:t>The Company has retroactively adjusted the shares issued and outstanding prior to June 9, 2021 to give effect to the exchange ratio established in the Business Combination Agreement to determine the number of shares of Common Stock into which they were converted into.</w:t>
      </w:r>
    </w:p>
    <w:p>
      <w:pPr>
        <w:spacing w:after="0" w:line="104"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In June 2021, pursuant to the Business Combination, the Company amended its certificate of incorporation to increase the number of authorized common stock shares to 1,000,000,000 shares. There were 124,094,390 shares issued and outstanding as of June 30, 2021.</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64" w:lineRule="exact"/>
        <w:rPr>
          <w:sz w:val="20"/>
          <w:szCs w:val="20"/>
          <w:color w:val="auto"/>
        </w:rPr>
      </w:pPr>
    </w:p>
    <w:p>
      <w:pPr>
        <w:ind w:right="80" w:firstLine="318"/>
        <w:spacing w:after="0" w:line="271" w:lineRule="auto"/>
        <w:rPr>
          <w:sz w:val="20"/>
          <w:szCs w:val="20"/>
          <w:color w:val="auto"/>
        </w:rPr>
      </w:pPr>
      <w:r>
        <w:rPr>
          <w:rFonts w:ascii="Arial" w:cs="Arial" w:eastAsia="Arial" w:hAnsi="Arial"/>
          <w:sz w:val="17"/>
          <w:szCs w:val="17"/>
          <w:color w:val="auto"/>
        </w:rPr>
        <w:t>In connection with a term loan that the Company entered into during fiscal year 2017, 63,491 common stock warrants were issued to the lender, and recorded at fair value within additional paid-in capital in stockholders’ equity (deficit). Fair value was determined using the Black-Scholes Option Pricing Model. There were no common stock warrants issued during the three and six months ended June 30, 2021 and 2020. During the three months ended June 30, 2021, all common stock warrants were net exercised and the Company issued 62,722 Common Stock shares to the lender.</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Common stock warrants as of December 31, 2020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December 31, 2020</w:t>
            </w:r>
          </w:p>
        </w:tc>
        <w:tc>
          <w:tcPr>
            <w:tcW w:w="1560" w:type="dxa"/>
            <w:vAlign w:val="bottom"/>
            <w:tcBorders>
              <w:bottom w:val="single" w:sz="8" w:color="auto"/>
            </w:tcBorders>
          </w:tcPr>
          <w:p>
            <w:pPr>
              <w:spacing w:after="0"/>
              <w:rPr>
                <w:sz w:val="16"/>
                <w:szCs w:val="16"/>
                <w:color w:val="auto"/>
              </w:rPr>
            </w:pPr>
          </w:p>
        </w:tc>
      </w:tr>
      <w:tr>
        <w:trPr>
          <w:trHeight w:val="183"/>
        </w:trPr>
        <w:tc>
          <w:tcPr>
            <w:tcW w:w="6360" w:type="dxa"/>
            <w:vAlign w:val="bottom"/>
          </w:tcPr>
          <w:p>
            <w:pPr>
              <w:spacing w:after="0"/>
              <w:rPr>
                <w:sz w:val="15"/>
                <w:szCs w:val="15"/>
                <w:color w:val="auto"/>
              </w:rPr>
            </w:pPr>
          </w:p>
        </w:tc>
        <w:tc>
          <w:tcPr>
            <w:tcW w:w="3320" w:type="dxa"/>
            <w:vAlign w:val="bottom"/>
            <w:gridSpan w:val="5"/>
          </w:tcPr>
          <w:p>
            <w:pPr>
              <w:ind w:left="940"/>
              <w:spacing w:after="0"/>
              <w:rPr>
                <w:sz w:val="20"/>
                <w:szCs w:val="20"/>
                <w:color w:val="auto"/>
              </w:rPr>
            </w:pPr>
            <w:r>
              <w:rPr>
                <w:rFonts w:ascii="Arial" w:cs="Arial" w:eastAsia="Arial" w:hAnsi="Arial"/>
                <w:sz w:val="14"/>
                <w:szCs w:val="14"/>
                <w:b w:val="1"/>
                <w:bCs w:val="1"/>
                <w:color w:val="auto"/>
              </w:rPr>
              <w:t>Outstanding Warrants</w:t>
            </w:r>
          </w:p>
        </w:tc>
        <w:tc>
          <w:tcPr>
            <w:tcW w:w="1560" w:type="dxa"/>
            <w:vAlign w:val="bottom"/>
          </w:tcPr>
          <w:p>
            <w:pPr>
              <w:spacing w:after="0"/>
              <w:rPr>
                <w:sz w:val="15"/>
                <w:szCs w:val="15"/>
                <w:color w:val="auto"/>
              </w:rPr>
            </w:pPr>
          </w:p>
        </w:tc>
      </w:tr>
      <w:tr>
        <w:trPr>
          <w:trHeight w:val="180"/>
        </w:trPr>
        <w:tc>
          <w:tcPr>
            <w:tcW w:w="6360" w:type="dxa"/>
            <w:vAlign w:val="bottom"/>
            <w:tcBorders>
              <w:bottom w:val="single" w:sz="8" w:color="CCEEFF"/>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Number of Warrants</w:t>
            </w:r>
          </w:p>
        </w:tc>
        <w:tc>
          <w:tcPr>
            <w:tcW w:w="100" w:type="dxa"/>
            <w:vAlign w:val="bottom"/>
            <w:tcBorders>
              <w:top w:val="single" w:sz="8" w:color="auto"/>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9"/>
              </w:rPr>
              <w:t>Exercise Price</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Expiration Date</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63,491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9/7/2027</w:t>
            </w:r>
          </w:p>
        </w:tc>
      </w:tr>
      <w:tr>
        <w:trPr>
          <w:trHeight w:val="219"/>
        </w:trPr>
        <w:tc>
          <w:tcPr>
            <w:tcW w:w="6360" w:type="dxa"/>
            <w:vAlign w:val="bottom"/>
          </w:tcPr>
          <w:p>
            <w:pPr>
              <w:ind w:left="20"/>
              <w:spacing w:after="0"/>
              <w:rPr>
                <w:sz w:val="20"/>
                <w:szCs w:val="20"/>
                <w:color w:val="auto"/>
              </w:rPr>
            </w:pPr>
            <w:r>
              <w:rPr>
                <w:rFonts w:ascii="Arial" w:cs="Arial" w:eastAsia="Arial" w:hAnsi="Arial"/>
                <w:sz w:val="18"/>
                <w:szCs w:val="18"/>
                <w:color w:val="auto"/>
              </w:rPr>
              <w:t>Total outstanding common stock warrants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78"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Shares of common stock reserved for future issuance on an as-if converted basis,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660" w:type="dxa"/>
            <w:vAlign w:val="bottom"/>
            <w:gridSpan w:val="2"/>
          </w:tcPr>
          <w:p>
            <w:pPr>
              <w:ind w:left="540"/>
              <w:spacing w:after="0"/>
              <w:rPr>
                <w:sz w:val="20"/>
                <w:szCs w:val="20"/>
                <w:color w:val="auto"/>
              </w:rPr>
            </w:pPr>
            <w:r>
              <w:rPr>
                <w:rFonts w:ascii="Arial" w:cs="Arial" w:eastAsia="Arial" w:hAnsi="Arial"/>
                <w:sz w:val="14"/>
                <w:szCs w:val="14"/>
                <w:b w:val="1"/>
                <w:bCs w:val="1"/>
                <w:color w:val="auto"/>
              </w:rPr>
              <w:t>June 30,</w:t>
            </w:r>
          </w:p>
        </w:tc>
        <w:tc>
          <w:tcPr>
            <w:tcW w:w="156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issued and outstanding</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8,014,879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5,145,547</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Shares available for grant under 2021 Equity Incentive Plan</w:t>
            </w:r>
          </w:p>
        </w:tc>
        <w:tc>
          <w:tcPr>
            <w:tcW w:w="1560" w:type="dxa"/>
            <w:vAlign w:val="bottom"/>
          </w:tcPr>
          <w:p>
            <w:pPr>
              <w:jc w:val="right"/>
              <w:spacing w:after="0"/>
              <w:rPr>
                <w:sz w:val="20"/>
                <w:szCs w:val="20"/>
                <w:color w:val="auto"/>
              </w:rPr>
            </w:pPr>
            <w:r>
              <w:rPr>
                <w:rFonts w:ascii="Arial" w:cs="Arial" w:eastAsia="Arial" w:hAnsi="Arial"/>
                <w:sz w:val="18"/>
                <w:szCs w:val="18"/>
                <w:color w:val="auto"/>
              </w:rPr>
              <w:t>15,225,353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available for grant under 2021 Employee Stock Purchase Plan</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1,244,900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Convertible preferred stock</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52,175,965</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 outstanding</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63,491</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Shares available for grant under 2017 Equity Incentive Plan</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2,349,673</w:t>
            </w:r>
          </w:p>
        </w:tc>
      </w:tr>
      <w:tr>
        <w:trPr>
          <w:trHeight w:val="244"/>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of common stock reserved</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24,485,132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59,734,676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The shares of the Company’s common, redeemable convertible preferred stock, common stock warrants and shares available for grant, prior to the Business Combination (as defined in Note 1) have been retroactively restated to reflect the exchange ratio of approximately 3.6281 established in the Business Combination as described in Note 3.</w:t>
      </w:r>
    </w:p>
    <w:p>
      <w:pPr>
        <w:spacing w:after="0" w:line="129" w:lineRule="exact"/>
        <w:rPr>
          <w:sz w:val="20"/>
          <w:szCs w:val="20"/>
          <w:color w:val="auto"/>
        </w:rPr>
      </w:pPr>
    </w:p>
    <w:p>
      <w:pPr>
        <w:ind w:left="640" w:hanging="634"/>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0" w:lineRule="exact"/>
        <w:rPr>
          <w:sz w:val="20"/>
          <w:szCs w:val="20"/>
          <w:color w:val="auto"/>
        </w:rPr>
      </w:pPr>
    </w:p>
    <w:p>
      <w:pPr>
        <w:ind w:right="180" w:firstLine="318"/>
        <w:spacing w:after="0" w:line="250" w:lineRule="auto"/>
        <w:rPr>
          <w:sz w:val="20"/>
          <w:szCs w:val="20"/>
          <w:color w:val="auto"/>
        </w:rPr>
      </w:pPr>
      <w:r>
        <w:rPr>
          <w:rFonts w:ascii="Arial" w:cs="Arial" w:eastAsia="Arial" w:hAnsi="Arial"/>
          <w:sz w:val="18"/>
          <w:szCs w:val="18"/>
          <w:color w:val="auto"/>
        </w:rPr>
        <w:t>The Company accounts for income taxes under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 For the three and six months ended June 30, 2021 and 2020, no income tax expense or benefit was recognized, primarily due to a full valuation allowance recorded against its deferred tax asset.</w:t>
      </w:r>
    </w:p>
    <w:p>
      <w:pPr>
        <w:spacing w:after="0" w:line="135" w:lineRule="exact"/>
        <w:rPr>
          <w:sz w:val="20"/>
          <w:szCs w:val="20"/>
          <w:color w:val="auto"/>
        </w:rPr>
      </w:pPr>
    </w:p>
    <w:p>
      <w:pPr>
        <w:ind w:left="640" w:hanging="634"/>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Plan and Stock-based Compensation</w:t>
      </w:r>
    </w:p>
    <w:p>
      <w:pPr>
        <w:spacing w:after="0" w:line="170" w:lineRule="exact"/>
        <w:rPr>
          <w:sz w:val="20"/>
          <w:szCs w:val="20"/>
          <w:color w:val="auto"/>
        </w:rPr>
      </w:pPr>
    </w:p>
    <w:p>
      <w:pPr>
        <w:ind w:right="20" w:firstLine="318"/>
        <w:spacing w:after="0" w:line="303" w:lineRule="auto"/>
        <w:rPr>
          <w:sz w:val="20"/>
          <w:szCs w:val="20"/>
          <w:color w:val="auto"/>
        </w:rPr>
      </w:pPr>
      <w:r>
        <w:rPr>
          <w:rFonts w:ascii="Arial" w:cs="Arial" w:eastAsia="Arial" w:hAnsi="Arial"/>
          <w:sz w:val="15"/>
          <w:szCs w:val="15"/>
          <w:color w:val="auto"/>
        </w:rPr>
        <w:t>On June 8, 2021, the stockholders of the Company approved the 2021 Equity Incentive Plan (“2021 Plan”) and the 2021 Employee Stock Purchase Plan (“2021 ESPP”). As of June 30, 2021, 15,225,353 and 1,244,900 shares were available for grant under the 2021 Plan and 2021 ESPP, respectively. The number of shares available for issuance under the 2021 Plan will be increased on the first day of each fiscal year, beginning on January 1, 2022, in an amount equal to the least of (i) 18,672,200 shares, (ii) a number of shares equal to five percent (5%) of the total number of shares of all classes of common stock of the Company outstanding on the last day of the immediately preceding fiscal year, or (iii) such number of shares determined by the Administrator no later than the last day of the immediately preceding fiscal year. The number of shares of common stock available for issuance under the 2021 ESPP will be increased on the first day of each fiscal year beginning on January 1, 2022, in an amount equal to the least of (i) 3,734,500 shares of common stock, (ii) a number of shares of common stock equal to one percent (1%) of the total number of shares of all classes of common stock of the Company on the last day of the immediately preceding fiscal year, or (iii) such number of shares determined by the Administrator no later than the last day of the immediately preceding fiscal year.</w:t>
      </w:r>
    </w:p>
    <w:p>
      <w:pPr>
        <w:spacing w:after="0" w:line="107"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Under the 2021 Plan, the Company can grant incentive stock options, nonstatutory stock options, stock appreciation rights, restricted stock, restricted stock units and performance awards to employees, directors and consultants. Under the 2021 ESPP, the Company can grant stock options to employees to purchase shares of Common Stock at a purchase price which equal to 85% of the fair market value of common stock on the enrollment date or on the exercise date, whichever is lower.</w:t>
      </w:r>
    </w:p>
    <w:p>
      <w:pPr>
        <w:spacing w:after="0" w:line="138"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No further awards will be granted under the 2017 Equity Incentive Plan (“2017 Plan”) and 7,106,767 shares of common stock were initially reserved for outstanding awards issued under the 2017 Plan at the time of adoption of the 2021 Plan and the 2021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78"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In determining the compensation cost of the option awards, the fair value for each option award has been estimated using the Black Scholes model. The significant assumptions used in these calculations are summarized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20" w:type="dxa"/>
            <w:vAlign w:val="bottom"/>
          </w:tcPr>
          <w:p>
            <w:pPr>
              <w:spacing w:after="0"/>
              <w:rPr>
                <w:sz w:val="16"/>
                <w:szCs w:val="16"/>
                <w:color w:val="auto"/>
              </w:rPr>
            </w:pPr>
          </w:p>
        </w:tc>
        <w:tc>
          <w:tcPr>
            <w:tcW w:w="2880" w:type="dxa"/>
            <w:vAlign w:val="bottom"/>
            <w:tcBorders>
              <w:bottom w:val="single" w:sz="8" w:color="auto"/>
            </w:tcBorders>
            <w:gridSpan w:val="3"/>
          </w:tcPr>
          <w:p>
            <w:pPr>
              <w:jc w:val="right"/>
              <w:ind w:right="229"/>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tcBorders>
              <w:bottom w:val="single" w:sz="8" w:color="auto"/>
            </w:tcBorders>
            <w:gridSpan w:val="3"/>
          </w:tcPr>
          <w:p>
            <w:pPr>
              <w:jc w:val="right"/>
              <w:ind w:right="915"/>
              <w:spacing w:after="0"/>
              <w:rPr>
                <w:sz w:val="20"/>
                <w:szCs w:val="20"/>
                <w:color w:val="auto"/>
              </w:rPr>
            </w:pPr>
            <w:r>
              <w:rPr>
                <w:rFonts w:ascii="Arial" w:cs="Arial" w:eastAsia="Arial" w:hAnsi="Arial"/>
                <w:sz w:val="14"/>
                <w:szCs w:val="14"/>
                <w:b w:val="1"/>
                <w:bCs w:val="1"/>
                <w:color w:val="auto"/>
              </w:rPr>
              <w:t>Six Months Ended June 30,</w:t>
            </w:r>
          </w:p>
        </w:tc>
      </w:tr>
      <w:tr>
        <w:trPr>
          <w:trHeight w:val="184"/>
        </w:trPr>
        <w:tc>
          <w:tcPr>
            <w:tcW w:w="39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89"/>
              <w:spacing w:after="0" w:line="184" w:lineRule="exact"/>
              <w:rPr>
                <w:sz w:val="20"/>
                <w:szCs w:val="20"/>
                <w:color w:val="auto"/>
              </w:rPr>
            </w:pPr>
            <w:r>
              <w:rPr>
                <w:rFonts w:ascii="Arial" w:cs="Arial" w:eastAsia="Arial" w:hAnsi="Arial"/>
                <w:sz w:val="14"/>
                <w:szCs w:val="14"/>
                <w:b w:val="1"/>
                <w:bCs w:val="1"/>
                <w:color w:val="auto"/>
              </w:rPr>
              <w:t>2020</w:t>
            </w:r>
            <w:r>
              <w:rPr>
                <w:rFonts w:ascii="Arial" w:cs="Arial" w:eastAsia="Arial" w:hAnsi="Arial"/>
                <w:sz w:val="18"/>
                <w:szCs w:val="18"/>
                <w:b w:val="1"/>
                <w:bCs w:val="1"/>
                <w:color w:val="auto"/>
                <w:vertAlign w:val="superscript"/>
              </w:rPr>
              <w:t>(1)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r>
      <w:tr>
        <w:trPr>
          <w:trHeight w:val="218"/>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5.6 - 6.1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5.5 - 6.6</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6.0 - 6.1</w:t>
            </w:r>
          </w:p>
        </w:tc>
      </w:tr>
      <w:tr>
        <w:trPr>
          <w:trHeight w:val="225"/>
        </w:trPr>
        <w:tc>
          <w:tcPr>
            <w:tcW w:w="39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620" w:type="dxa"/>
            <w:vAlign w:val="bottom"/>
          </w:tcPr>
          <w:p>
            <w:pPr>
              <w:jc w:val="right"/>
              <w:spacing w:after="0"/>
              <w:rPr>
                <w:sz w:val="20"/>
                <w:szCs w:val="20"/>
                <w:color w:val="auto"/>
              </w:rPr>
            </w:pPr>
            <w:r>
              <w:rPr>
                <w:rFonts w:ascii="Arial" w:cs="Arial" w:eastAsia="Arial" w:hAnsi="Arial"/>
                <w:sz w:val="18"/>
                <w:szCs w:val="18"/>
                <w:color w:val="auto"/>
              </w:rPr>
              <w:t>93.0% - 93.7%</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gridSpan w:val="2"/>
          </w:tcPr>
          <w:p>
            <w:pPr>
              <w:ind w:left="140"/>
              <w:spacing w:after="0"/>
              <w:rPr>
                <w:sz w:val="20"/>
                <w:szCs w:val="20"/>
                <w:color w:val="auto"/>
              </w:rPr>
            </w:pPr>
            <w:r>
              <w:rPr>
                <w:rFonts w:ascii="Arial" w:cs="Arial" w:eastAsia="Arial" w:hAnsi="Arial"/>
                <w:sz w:val="18"/>
                <w:szCs w:val="18"/>
                <w:color w:val="auto"/>
              </w:rPr>
              <w:t>N/A</w:t>
            </w:r>
          </w:p>
        </w:tc>
        <w:tc>
          <w:tcPr>
            <w:tcW w:w="1780" w:type="dxa"/>
            <w:vAlign w:val="bottom"/>
          </w:tcPr>
          <w:p>
            <w:pPr>
              <w:jc w:val="right"/>
              <w:spacing w:after="0"/>
              <w:rPr>
                <w:sz w:val="20"/>
                <w:szCs w:val="20"/>
                <w:color w:val="auto"/>
              </w:rPr>
            </w:pPr>
            <w:r>
              <w:rPr>
                <w:rFonts w:ascii="Arial" w:cs="Arial" w:eastAsia="Arial" w:hAnsi="Arial"/>
                <w:sz w:val="18"/>
                <w:szCs w:val="18"/>
                <w:color w:val="auto"/>
              </w:rPr>
              <w:t>92.0% - 94.2%</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96.4% - 96.5%</w:t>
            </w:r>
          </w:p>
        </w:tc>
      </w:tr>
      <w:tr>
        <w:trPr>
          <w:trHeight w:val="22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rate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25"/>
        </w:trPr>
        <w:tc>
          <w:tcPr>
            <w:tcW w:w="392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1620" w:type="dxa"/>
            <w:vAlign w:val="bottom"/>
          </w:tcPr>
          <w:p>
            <w:pPr>
              <w:jc w:val="right"/>
              <w:spacing w:after="0"/>
              <w:rPr>
                <w:sz w:val="20"/>
                <w:szCs w:val="20"/>
                <w:color w:val="auto"/>
              </w:rPr>
            </w:pPr>
            <w:r>
              <w:rPr>
                <w:rFonts w:ascii="Arial" w:cs="Arial" w:eastAsia="Arial" w:hAnsi="Arial"/>
                <w:sz w:val="18"/>
                <w:szCs w:val="18"/>
                <w:color w:val="auto"/>
              </w:rPr>
              <w:t>0.91% - 1.02%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gridSpan w:val="2"/>
          </w:tcPr>
          <w:p>
            <w:pPr>
              <w:ind w:left="140"/>
              <w:spacing w:after="0"/>
              <w:rPr>
                <w:sz w:val="20"/>
                <w:szCs w:val="20"/>
                <w:color w:val="auto"/>
              </w:rPr>
            </w:pPr>
            <w:r>
              <w:rPr>
                <w:rFonts w:ascii="Arial" w:cs="Arial" w:eastAsia="Arial" w:hAnsi="Arial"/>
                <w:sz w:val="18"/>
                <w:szCs w:val="18"/>
                <w:color w:val="auto"/>
              </w:rPr>
              <w:t>N/A</w:t>
            </w:r>
          </w:p>
        </w:tc>
        <w:tc>
          <w:tcPr>
            <w:tcW w:w="1780" w:type="dxa"/>
            <w:vAlign w:val="bottom"/>
          </w:tcPr>
          <w:p>
            <w:pPr>
              <w:jc w:val="right"/>
              <w:spacing w:after="0"/>
              <w:rPr>
                <w:sz w:val="20"/>
                <w:szCs w:val="20"/>
                <w:color w:val="auto"/>
              </w:rPr>
            </w:pPr>
            <w:r>
              <w:rPr>
                <w:rFonts w:ascii="Arial" w:cs="Arial" w:eastAsia="Arial" w:hAnsi="Arial"/>
                <w:sz w:val="18"/>
                <w:szCs w:val="18"/>
                <w:color w:val="auto"/>
              </w:rPr>
              <w:t>0.53% - 1.02%</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2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$10.10 - $11.16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$7.56 - $11.16</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 There were no awards granted during the three months ended June 30, 2020.</w:t>
      </w:r>
    </w:p>
    <w:p>
      <w:pPr>
        <w:spacing w:after="0" w:line="151"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spacing w:after="0" w:line="138" w:lineRule="exact"/>
        <w:rPr>
          <w:sz w:val="20"/>
          <w:szCs w:val="20"/>
          <w:color w:val="auto"/>
        </w:rPr>
      </w:pPr>
    </w:p>
    <w:p>
      <w:pPr>
        <w:ind w:right="140" w:firstLine="318"/>
        <w:spacing w:after="0" w:line="365" w:lineRule="auto"/>
        <w:rPr>
          <w:sz w:val="20"/>
          <w:szCs w:val="20"/>
          <w:color w:val="auto"/>
        </w:rPr>
      </w:pPr>
      <w:r>
        <w:rPr>
          <w:rFonts w:ascii="Arial" w:cs="Arial" w:eastAsia="Arial" w:hAnsi="Arial"/>
          <w:sz w:val="15"/>
          <w:szCs w:val="15"/>
          <w:color w:val="auto"/>
        </w:rPr>
        <w:t>Expected volatility: As the Company is not publicly traded, the expected volatility for the Company’s stock options was determined by using an average of historical volatilities of selected industry peers deemed to be comparable to the Company’s business corresponding to the expected term of the awards.</w:t>
      </w:r>
    </w:p>
    <w:p>
      <w:pPr>
        <w:spacing w:after="0" w:line="5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Expected dividend yield: The expected dividend rate is zero as the Company currently has no history or expectation of declaring dividends on its common stock.</w:t>
      </w:r>
    </w:p>
    <w:p>
      <w:pPr>
        <w:spacing w:after="0" w:line="128" w:lineRule="exact"/>
        <w:rPr>
          <w:sz w:val="20"/>
          <w:szCs w:val="20"/>
          <w:color w:val="auto"/>
        </w:rPr>
      </w:pPr>
    </w:p>
    <w:p>
      <w:pPr>
        <w:ind w:right="320" w:firstLine="318"/>
        <w:spacing w:after="0" w:line="264" w:lineRule="auto"/>
        <w:rPr>
          <w:sz w:val="20"/>
          <w:szCs w:val="20"/>
          <w:color w:val="auto"/>
        </w:rPr>
      </w:pPr>
      <w:r>
        <w:rPr>
          <w:rFonts w:ascii="Arial" w:cs="Arial" w:eastAsia="Arial" w:hAnsi="Arial"/>
          <w:sz w:val="18"/>
          <w:szCs w:val="18"/>
          <w:color w:val="auto"/>
        </w:rPr>
        <w:t>Risk-free interest rate: The risk-free interest rate is based on the U.S. Treasury yield curve in effect at the time of grant for zero-coupon U.S. Treasury notes with maturities corresponding to the expected term of the awards.</w:t>
      </w:r>
    </w:p>
    <w:p>
      <w:pPr>
        <w:spacing w:after="0" w:line="128" w:lineRule="exact"/>
        <w:rPr>
          <w:sz w:val="20"/>
          <w:szCs w:val="20"/>
          <w:color w:val="auto"/>
        </w:rPr>
      </w:pPr>
    </w:p>
    <w:p>
      <w:pPr>
        <w:ind w:right="40" w:firstLine="318"/>
        <w:spacing w:after="0" w:line="264" w:lineRule="auto"/>
        <w:rPr>
          <w:sz w:val="20"/>
          <w:szCs w:val="20"/>
          <w:color w:val="auto"/>
        </w:rPr>
      </w:pPr>
      <w:r>
        <w:rPr>
          <w:rFonts w:ascii="Arial" w:cs="Arial" w:eastAsia="Arial" w:hAnsi="Arial"/>
          <w:sz w:val="17"/>
          <w:szCs w:val="17"/>
          <w:color w:val="auto"/>
        </w:rPr>
        <w:t>Fair value of common stock: The fair value of the shares of common stock underlying the stock options has historically been determined by the Company’s Board of Directors. Because there has been no public market for the common stock, the Board of Directors has determined the fair value of the common stock at the time of grant of the option by contemporaneous valuations performed by an unrelated third-party valuation firm as well as a number of objective and subjective factors including valuation of comparable companies, sales of convertible preferred stock to unrelated third parties, operating and financial performance, the implied equity value of the Company as contemplated by the Business Combination, the lack of liquidity of capital stock and general and industry specific economic outlook, among other factors. The fair value of common stock was determined in accordance with applicable elements of the American Institute of Certified Public Accountants Practice Aid, Valuation of Privately-Held-Company Equity Securities Issued as Compensation. Subsequent to the completion of the Business Combination (Note 3) the fair value of the Company’s common stock is determined based on its closing market price.</w:t>
      </w:r>
    </w:p>
    <w:p>
      <w:pPr>
        <w:spacing w:after="0" w:line="132" w:lineRule="exact"/>
        <w:rPr>
          <w:sz w:val="20"/>
          <w:szCs w:val="20"/>
          <w:color w:val="auto"/>
        </w:rPr>
      </w:pPr>
    </w:p>
    <w:p>
      <w:pPr>
        <w:ind w:right="400" w:firstLine="318"/>
        <w:spacing w:after="0" w:line="252" w:lineRule="auto"/>
        <w:rPr>
          <w:sz w:val="20"/>
          <w:szCs w:val="20"/>
          <w:color w:val="auto"/>
        </w:rPr>
      </w:pPr>
      <w:r>
        <w:rPr>
          <w:rFonts w:ascii="Arial" w:cs="Arial" w:eastAsia="Arial" w:hAnsi="Arial"/>
          <w:sz w:val="18"/>
          <w:szCs w:val="18"/>
          <w:color w:val="auto"/>
        </w:rPr>
        <w:t>The awards granted in late January 2021 were granted at the grant date fair value on the date of the grant. The Company’s board of directors made a determination of the fair market value of our common stock which contemplated the implied equity value of the Company per the Business Combination Agreement that was executed on February 7, 2021. For the period following execution of the Business Combination Agreement through June 30, 2021, 964,503 shares were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178" w:right="359" w:bottom="1440" w:gutter="0" w:footer="0" w:header="0"/>
        </w:sectPr>
      </w:pPr>
    </w:p>
    <w:bookmarkStart w:id="22" w:name="page23"/>
    <w:bookmarkEnd w:id="22"/>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option award activity during the six months ended June 30, 2021: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 Stock Option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Weighted Average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240" w:type="dxa"/>
            <w:vAlign w:val="bottom"/>
          </w:tcPr>
          <w:p>
            <w:pPr>
              <w:spacing w:after="0"/>
              <w:rPr>
                <w:sz w:val="14"/>
                <w:szCs w:val="14"/>
                <w:color w:val="auto"/>
              </w:rPr>
            </w:pPr>
          </w:p>
        </w:tc>
        <w:tc>
          <w:tcPr>
            <w:tcW w:w="142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33"/>
        </w:trPr>
        <w:tc>
          <w:tcPr>
            <w:tcW w:w="470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5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Remaining Contractual</w:t>
            </w:r>
          </w:p>
        </w:tc>
        <w:tc>
          <w:tcPr>
            <w:tcW w:w="2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7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Awards</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24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jc w:val="right"/>
              <w:ind w:right="81"/>
              <w:spacing w:after="0"/>
              <w:rPr>
                <w:sz w:val="20"/>
                <w:szCs w:val="20"/>
                <w:color w:val="auto"/>
              </w:rPr>
            </w:pPr>
            <w:r>
              <w:rPr>
                <w:rFonts w:ascii="Arial" w:cs="Arial" w:eastAsia="Arial" w:hAnsi="Arial"/>
                <w:sz w:val="14"/>
                <w:szCs w:val="14"/>
                <w:b w:val="1"/>
                <w:bCs w:val="1"/>
                <w:color w:val="auto"/>
                <w:w w:val="90"/>
              </w:rPr>
              <w:t>Value (in thousands)</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5,145,547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3,063,588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(129,253)</w:t>
            </w:r>
          </w:p>
        </w:tc>
        <w:tc>
          <w:tcPr>
            <w:tcW w:w="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June 30, 2021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8,014,879</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46,968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700" w:type="dxa"/>
            <w:vAlign w:val="bottom"/>
          </w:tcPr>
          <w:p>
            <w:pPr>
              <w:ind w:left="20"/>
              <w:spacing w:after="0" w:line="199" w:lineRule="exact"/>
              <w:rPr>
                <w:sz w:val="20"/>
                <w:szCs w:val="20"/>
                <w:color w:val="auto"/>
              </w:rPr>
            </w:pPr>
            <w:r>
              <w:rPr>
                <w:rFonts w:ascii="Arial" w:cs="Arial" w:eastAsia="Arial" w:hAnsi="Arial"/>
                <w:sz w:val="18"/>
                <w:szCs w:val="18"/>
                <w:color w:val="auto"/>
              </w:rPr>
              <w:t>Options vested and expected to vest as of June 30, 2021</w:t>
            </w:r>
          </w:p>
        </w:tc>
        <w:tc>
          <w:tcPr>
            <w:tcW w:w="15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8,014,879</w:t>
            </w:r>
          </w:p>
        </w:tc>
        <w:tc>
          <w:tcPr>
            <w:tcW w:w="260" w:type="dxa"/>
            <w:vAlign w:val="bottom"/>
            <w:gridSpan w:val="2"/>
          </w:tcPr>
          <w:p>
            <w:pPr>
              <w:jc w:val="right"/>
              <w:ind w:right="60"/>
              <w:spacing w:after="0" w:line="199"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99" w:lineRule="exact"/>
              <w:rPr>
                <w:sz w:val="20"/>
                <w:szCs w:val="20"/>
                <w:color w:val="auto"/>
              </w:rPr>
            </w:pPr>
            <w:r>
              <w:rPr>
                <w:rFonts w:ascii="Arial" w:cs="Arial" w:eastAsia="Arial" w:hAnsi="Arial"/>
                <w:sz w:val="18"/>
                <w:szCs w:val="18"/>
                <w:color w:val="auto"/>
              </w:rPr>
              <w:t>4.25</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exercisable at June 30, 2021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1,177,340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right="220" w:firstLine="318"/>
        <w:spacing w:after="0" w:line="255" w:lineRule="auto"/>
        <w:rPr>
          <w:sz w:val="20"/>
          <w:szCs w:val="20"/>
          <w:color w:val="auto"/>
        </w:rPr>
      </w:pPr>
      <w:r>
        <w:rPr>
          <w:rFonts w:ascii="Arial" w:cs="Arial" w:eastAsia="Arial" w:hAnsi="Arial"/>
          <w:sz w:val="18"/>
          <w:szCs w:val="18"/>
          <w:color w:val="auto"/>
        </w:rPr>
        <w:t>As of June 30, 2021, there was $27.6 million of total unrecognized compensation expense expected to be recognized over a weighted average-period of 3.48 years. Aggregate intrinsic value represents the difference between the fair market value of the common stock and the exercise price of outstanding, in-the-money options.</w:t>
      </w:r>
    </w:p>
    <w:p>
      <w:pPr>
        <w:spacing w:after="0" w:line="135"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Company’s option award quantities and prices, prior to the Business Combination (as defined in Note 1) have been retroactively restated to reflect the exchange ratio of approximately 3.6281 established in the Business Combination as described in Note 3.</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64"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color w:val="auto"/>
        </w:rPr>
        <w:t>In January 2017, the Company granted 32,652,640 shares of restricted common stock to founders for future services that vest over four years from the date of grant.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Activity with respect to restricted stock during the six months ended June 30, 2021 was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7"/>
              </w:rPr>
              <w:t>Weighted- Average</w:t>
            </w:r>
          </w:p>
        </w:tc>
        <w:tc>
          <w:tcPr>
            <w:tcW w:w="0" w:type="dxa"/>
            <w:vAlign w:val="bottom"/>
          </w:tcPr>
          <w:p>
            <w:pPr>
              <w:spacing w:after="0"/>
              <w:rPr>
                <w:sz w:val="1"/>
                <w:szCs w:val="1"/>
                <w:color w:val="auto"/>
              </w:rPr>
            </w:pPr>
          </w:p>
        </w:tc>
      </w:tr>
      <w:tr>
        <w:trPr>
          <w:trHeight w:val="133"/>
        </w:trPr>
        <w:tc>
          <w:tcPr>
            <w:tcW w:w="8020" w:type="dxa"/>
            <w:vAlign w:val="bottom"/>
          </w:tcPr>
          <w:p>
            <w:pPr>
              <w:spacing w:after="0"/>
              <w:rPr>
                <w:sz w:val="11"/>
                <w:szCs w:val="11"/>
                <w:color w:val="auto"/>
              </w:rPr>
            </w:pPr>
          </w:p>
        </w:tc>
        <w:tc>
          <w:tcPr>
            <w:tcW w:w="15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Underlying Outstanding</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Restricted Stock</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4"/>
              </w:rPr>
              <w:t>Grant Date Fair Value</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December 31, 2020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569,721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0.00003</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(569,721)</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0.00003</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June 30,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64" w:lineRule="exact"/>
        <w:rPr>
          <w:sz w:val="20"/>
          <w:szCs w:val="20"/>
          <w:color w:val="auto"/>
        </w:rPr>
      </w:pPr>
    </w:p>
    <w:p>
      <w:pPr>
        <w:jc w:val="both"/>
        <w:ind w:right="80" w:firstLine="318"/>
        <w:spacing w:after="0" w:line="264" w:lineRule="auto"/>
        <w:rPr>
          <w:sz w:val="20"/>
          <w:szCs w:val="20"/>
          <w:color w:val="auto"/>
        </w:rPr>
      </w:pPr>
      <w:r>
        <w:rPr>
          <w:rFonts w:ascii="Arial" w:cs="Arial" w:eastAsia="Arial" w:hAnsi="Arial"/>
          <w:sz w:val="18"/>
          <w:szCs w:val="18"/>
          <w:color w:val="auto"/>
        </w:rPr>
        <w:t>The following sets forth the total stock-based compensation expense for the Company’s stock options included in the Company’s condensed consolidated statement of operations: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8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138"/>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Six Months Ended June 30,</w:t>
            </w:r>
          </w:p>
        </w:tc>
      </w:tr>
      <w:tr>
        <w:trPr>
          <w:trHeight w:val="185"/>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1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020" w:type="dxa"/>
            <w:vAlign w:val="bottom"/>
            <w:shd w:val="clear" w:color="auto" w:fill="CCEEFF"/>
          </w:tcPr>
          <w:p>
            <w:pPr>
              <w:jc w:val="right"/>
              <w:ind w:right="82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8"/>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5"/>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1020" w:type="dxa"/>
            <w:vAlign w:val="bottom"/>
            <w:tcBorders>
              <w:bottom w:val="single" w:sz="8" w:color="auto"/>
            </w:tcBorders>
            <w:shd w:val="clear" w:color="auto" w:fill="CCEEFF"/>
          </w:tcPr>
          <w:p>
            <w:pPr>
              <w:jc w:val="right"/>
              <w:ind w:right="82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18"/>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40" w:hanging="634"/>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64" w:lineRule="exact"/>
        <w:rPr>
          <w:sz w:val="20"/>
          <w:szCs w:val="20"/>
          <w:color w:val="auto"/>
        </w:rPr>
      </w:pPr>
    </w:p>
    <w:p>
      <w:pPr>
        <w:ind w:right="860" w:firstLine="318"/>
        <w:spacing w:after="0" w:line="264" w:lineRule="auto"/>
        <w:rPr>
          <w:sz w:val="20"/>
          <w:szCs w:val="20"/>
          <w:color w:val="auto"/>
        </w:rPr>
      </w:pPr>
      <w:r>
        <w:rPr>
          <w:rFonts w:ascii="Arial" w:cs="Arial" w:eastAsia="Arial" w:hAnsi="Arial"/>
          <w:sz w:val="18"/>
          <w:szCs w:val="18"/>
          <w:color w:val="auto"/>
        </w:rPr>
        <w:t>Open purchase commitments are for the purchase of goods and services related to, but not limited to, research and development, facilities, and professional services under non-cancellable contracts. They were not recorded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78"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right="100"/>
        <w:spacing w:after="0" w:line="365" w:lineRule="auto"/>
        <w:rPr>
          <w:sz w:val="20"/>
          <w:szCs w:val="20"/>
          <w:color w:val="auto"/>
        </w:rPr>
      </w:pPr>
      <w:r>
        <w:rPr>
          <w:rFonts w:ascii="Arial" w:cs="Arial" w:eastAsia="Arial" w:hAnsi="Arial"/>
          <w:sz w:val="15"/>
          <w:szCs w:val="15"/>
          <w:color w:val="auto"/>
        </w:rPr>
        <w:t>liabilities on the condensed consolidated balance sheet as of June 30, 2021 as the Company had not yet received the related goods or services. As of June 30, 2021, the Company had open purchase commitments for goods and services of $1.4 million, which are expected to be received through the next 12 months.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64"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From time to time, the Company may become involved in litigation relating to claims arising from the ordinary course of business. Management believes that there are currently no claims or actions pending against the Company where the ultimate disposition could have a material adverse effect on the Company’s results of operations, financial condition or cash flows.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Leases</w:t>
      </w:r>
    </w:p>
    <w:p>
      <w:pPr>
        <w:spacing w:after="0" w:line="164"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The Company is obligated under certain non-cancelable operating leases for office space and laboratory space. This space includes operating leases in Seattle, Washington, Menlo Park, California and San Carlos, California. The operating lease in Seattle, Washington expired in April 2021 and will continue to be renewed month to month while the Company negotiates on a new lease. The operating lease in Menlo Park, California expired in February 2020. In February 2021, the Company amended its existing facility lease contract in San Carlos, California which was executed to shorten the remaining term of the lease (expected to expire in December 2021) and reduce monthly lease payments and was accounted for as a modification. The impact of this modification reduced the operating lease right-of-use asset and lease liability balance as a $3.3 million non-cash adjustment. Additionally, as a result of the remaining lease term being less than a year, the total remaining operating lease liability balance was classified as current.</w:t>
      </w:r>
    </w:p>
    <w:p>
      <w:pPr>
        <w:spacing w:after="0" w:line="104" w:lineRule="exact"/>
        <w:rPr>
          <w:sz w:val="20"/>
          <w:szCs w:val="20"/>
          <w:color w:val="auto"/>
        </w:rPr>
      </w:pPr>
    </w:p>
    <w:p>
      <w:pPr>
        <w:ind w:right="280" w:firstLine="318"/>
        <w:spacing w:after="0" w:line="250" w:lineRule="auto"/>
        <w:rPr>
          <w:sz w:val="20"/>
          <w:szCs w:val="20"/>
          <w:color w:val="auto"/>
        </w:rPr>
      </w:pPr>
      <w:r>
        <w:rPr>
          <w:rFonts w:ascii="Arial" w:cs="Arial" w:eastAsia="Arial" w:hAnsi="Arial"/>
          <w:sz w:val="18"/>
          <w:szCs w:val="18"/>
          <w:color w:val="auto"/>
        </w:rPr>
        <w:t>In December 2020, the Company entered into a new lease in San Carlos, California for ten years commencing in September 2021 and expiring in September 2031 with total minimum lease payments of $42.1 million. In December 2020, the Company also entered into a temporary office space lease agreement in San Carlos, California commencing in February 2021 and expiring in October 2021 with total minimum lease payments of $1.2 million. The temporary office space lease agreement was recognized as a short-term lease due to the election of the short-term lease measurement and recognition exemption.</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components of lease costs, which were included in operating expenses in condensed consolidated statements of operations,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8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38"/>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58"/>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6"/>
                <w:szCs w:val="16"/>
                <w:color w:val="auto"/>
              </w:rPr>
            </w:pPr>
          </w:p>
        </w:tc>
      </w:tr>
      <w:tr>
        <w:trPr>
          <w:trHeight w:val="185"/>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r>
      <w:tr>
        <w:trPr>
          <w:trHeight w:val="21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operating lease costs</w:t>
            </w:r>
          </w:p>
        </w:tc>
        <w:tc>
          <w:tcPr>
            <w:tcW w:w="98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8"/>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8"/>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1,095</w:t>
            </w:r>
          </w:p>
        </w:tc>
      </w:tr>
      <w:tr>
        <w:trPr>
          <w:trHeight w:val="225"/>
        </w:trPr>
        <w:tc>
          <w:tcPr>
            <w:tcW w:w="4980" w:type="dxa"/>
            <w:vAlign w:val="bottom"/>
          </w:tcPr>
          <w:p>
            <w:pPr>
              <w:ind w:left="20"/>
              <w:spacing w:after="0"/>
              <w:rPr>
                <w:sz w:val="20"/>
                <w:szCs w:val="20"/>
                <w:color w:val="auto"/>
              </w:rPr>
            </w:pPr>
            <w:r>
              <w:rPr>
                <w:rFonts w:ascii="Arial" w:cs="Arial" w:eastAsia="Arial" w:hAnsi="Arial"/>
                <w:sz w:val="18"/>
                <w:szCs w:val="18"/>
                <w:color w:val="auto"/>
              </w:rPr>
              <w:t>Variable operating lease costs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98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98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44"/>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costs</w:t>
            </w:r>
          </w:p>
        </w:tc>
        <w:tc>
          <w:tcPr>
            <w:tcW w:w="980" w:type="dxa"/>
            <w:vAlign w:val="bottom"/>
            <w:tcBorders>
              <w:top w:val="single" w:sz="8" w:color="auto"/>
              <w:bottom w:val="single" w:sz="8" w:color="auto"/>
            </w:tcBorders>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798"/>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ind w:right="738"/>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1,084</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right="160" w:firstLine="318"/>
        <w:spacing w:after="0" w:line="264" w:lineRule="auto"/>
        <w:rPr>
          <w:sz w:val="20"/>
          <w:szCs w:val="20"/>
          <w:color w:val="auto"/>
        </w:rPr>
      </w:pPr>
      <w:r>
        <w:rPr>
          <w:rFonts w:ascii="Arial" w:cs="Arial" w:eastAsia="Arial" w:hAnsi="Arial"/>
          <w:sz w:val="18"/>
          <w:szCs w:val="18"/>
          <w:color w:val="auto"/>
        </w:rPr>
        <w:t>For the six months ended June 30, 2021 and 2020, cash paid for amounts included in the measurement of lease liabilities included in cash flows used in operating activities was $0.8 million and $0.8 million, respectively.</w:t>
      </w:r>
    </w:p>
    <w:p>
      <w:pPr>
        <w:spacing w:after="0" w:line="128" w:lineRule="exact"/>
        <w:rPr>
          <w:sz w:val="20"/>
          <w:szCs w:val="20"/>
          <w:color w:val="auto"/>
        </w:rPr>
      </w:pPr>
    </w:p>
    <w:p>
      <w:pPr>
        <w:ind w:right="700" w:firstLine="318"/>
        <w:spacing w:after="0" w:line="264" w:lineRule="auto"/>
        <w:rPr>
          <w:sz w:val="20"/>
          <w:szCs w:val="20"/>
          <w:color w:val="auto"/>
        </w:rPr>
      </w:pPr>
      <w:r>
        <w:rPr>
          <w:rFonts w:ascii="Arial" w:cs="Arial" w:eastAsia="Arial" w:hAnsi="Arial"/>
          <w:sz w:val="18"/>
          <w:szCs w:val="18"/>
          <w:color w:val="auto"/>
        </w:rPr>
        <w:t>As of June 30, 2021, the weighted-average remaining lease term and weighted-average discount rate for operating leases is 0.5 years and 10.0% respectively.</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Company's future principal contractual obligations for operating lease commitments as of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320" w:top="178" w:right="399" w:bottom="1440" w:gutter="0" w:footer="0" w:header="0"/>
        </w:sectPr>
      </w:pPr>
    </w:p>
    <w:bookmarkStart w:id="24" w:name="page25"/>
    <w:bookmarkEnd w:id="24"/>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2"/>
              </w:rPr>
              <w:t>Lease Obligations</w:t>
            </w:r>
          </w:p>
        </w:tc>
      </w:tr>
      <w:tr>
        <w:trPr>
          <w:trHeight w:val="224"/>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Six months ending December 31, 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Total future minimum lease payments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1,298</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8"/>
        </w:trPr>
        <w:tc>
          <w:tcPr>
            <w:tcW w:w="968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w:t>
            </w:r>
          </w:p>
        </w:tc>
      </w:tr>
      <w:tr>
        <w:trPr>
          <w:trHeight w:val="20"/>
        </w:trPr>
        <w:tc>
          <w:tcPr>
            <w:tcW w:w="9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right="320" w:firstLine="318"/>
        <w:spacing w:after="0" w:line="264" w:lineRule="auto"/>
        <w:rPr>
          <w:sz w:val="20"/>
          <w:szCs w:val="20"/>
          <w:color w:val="auto"/>
        </w:rPr>
      </w:pPr>
      <w:r>
        <w:rPr>
          <w:rFonts w:ascii="Arial" w:cs="Arial" w:eastAsia="Arial" w:hAnsi="Arial"/>
          <w:sz w:val="18"/>
          <w:szCs w:val="18"/>
          <w:color w:val="auto"/>
        </w:rPr>
        <w:t>Total future principal contractual obligations for operating lease commitments exceeded the undiscounted lease liability by $0.6 million as of June 30, 2021 because the lease liability in the condensed consolidated balance sheet excluded short-term lease payments.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64"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w:t>
      </w:r>
    </w:p>
    <w:p>
      <w:pPr>
        <w:spacing w:after="0" w:line="128"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64" w:lineRule="exact"/>
        <w:rPr>
          <w:sz w:val="20"/>
          <w:szCs w:val="20"/>
          <w:color w:val="auto"/>
        </w:rPr>
      </w:pPr>
    </w:p>
    <w:p>
      <w:pPr>
        <w:jc w:val="both"/>
        <w:ind w:right="20" w:firstLine="318"/>
        <w:spacing w:after="0" w:line="365" w:lineRule="auto"/>
        <w:rPr>
          <w:sz w:val="20"/>
          <w:szCs w:val="20"/>
          <w:color w:val="auto"/>
        </w:rPr>
      </w:pPr>
      <w:r>
        <w:rPr>
          <w:rFonts w:ascii="Arial" w:cs="Arial" w:eastAsia="Arial" w:hAnsi="Arial"/>
          <w:sz w:val="15"/>
          <w:szCs w:val="15"/>
          <w:color w:val="auto"/>
        </w:rPr>
        <w:t>In conjunction with the San Carlos lease agreement entered in December 2020, the Company issued a cash-collateralized letter of credit in lieu of security deposit of $0.6 million. The cash amount is recorded as restricted cash under Other long-term assets on the Company’s condensed consolidated balance sheet.</w:t>
      </w:r>
    </w:p>
    <w:p>
      <w:pPr>
        <w:spacing w:after="0" w:line="52" w:lineRule="exact"/>
        <w:rPr>
          <w:sz w:val="20"/>
          <w:szCs w:val="20"/>
          <w:color w:val="auto"/>
        </w:rPr>
      </w:pPr>
    </w:p>
    <w:p>
      <w:pPr>
        <w:ind w:left="620" w:hanging="614"/>
        <w:spacing w:after="0"/>
        <w:tabs>
          <w:tab w:leader="none" w:pos="6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tables set forth the computation of the Company’s basic and diluted net loss per share attributable to common stockholders for the three and six months ended June 30, 2021 and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4"/>
          </w:tcPr>
          <w:p>
            <w:pPr>
              <w:ind w:left="3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96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(10,713)</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(3,355)</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(19,122)</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(6,289)</w:t>
            </w:r>
          </w:p>
        </w:tc>
        <w:tc>
          <w:tcPr>
            <w:tcW w:w="0" w:type="dxa"/>
            <w:vAlign w:val="bottom"/>
          </w:tcPr>
          <w:p>
            <w:pPr>
              <w:spacing w:after="0"/>
              <w:rPr>
                <w:sz w:val="1"/>
                <w:szCs w:val="1"/>
                <w:color w:val="auto"/>
              </w:rPr>
            </w:pPr>
          </w:p>
        </w:tc>
      </w:tr>
      <w:tr>
        <w:trPr>
          <w:trHeight w:val="22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6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55,070,480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ind w:left="240"/>
              <w:spacing w:after="0"/>
              <w:rPr>
                <w:sz w:val="20"/>
                <w:szCs w:val="20"/>
                <w:color w:val="auto"/>
              </w:rPr>
            </w:pPr>
            <w:r>
              <w:rPr>
                <w:rFonts w:ascii="Arial" w:cs="Arial" w:eastAsia="Arial" w:hAnsi="Arial"/>
                <w:sz w:val="18"/>
                <w:szCs w:val="18"/>
                <w:color w:val="auto"/>
                <w:w w:val="93"/>
              </w:rPr>
              <w:t>32,948,898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ind w:left="240"/>
              <w:spacing w:after="0"/>
              <w:rPr>
                <w:sz w:val="20"/>
                <w:szCs w:val="20"/>
                <w:color w:val="auto"/>
              </w:rPr>
            </w:pPr>
            <w:r>
              <w:rPr>
                <w:rFonts w:ascii="Arial" w:cs="Arial" w:eastAsia="Arial" w:hAnsi="Arial"/>
                <w:sz w:val="18"/>
                <w:szCs w:val="18"/>
                <w:color w:val="auto"/>
                <w:w w:val="93"/>
              </w:rPr>
              <w:t>44,130,773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ind w:left="240"/>
              <w:spacing w:after="0"/>
              <w:rPr>
                <w:sz w:val="20"/>
                <w:szCs w:val="20"/>
                <w:color w:val="auto"/>
              </w:rPr>
            </w:pPr>
            <w:r>
              <w:rPr>
                <w:rFonts w:ascii="Arial" w:cs="Arial" w:eastAsia="Arial" w:hAnsi="Arial"/>
                <w:sz w:val="18"/>
                <w:szCs w:val="18"/>
                <w:color w:val="auto"/>
                <w:w w:val="93"/>
              </w:rPr>
              <w:t>32,940,561</w:t>
            </w:r>
          </w:p>
        </w:tc>
        <w:tc>
          <w:tcPr>
            <w:tcW w:w="0" w:type="dxa"/>
            <w:vAlign w:val="bottom"/>
          </w:tcPr>
          <w:p>
            <w:pPr>
              <w:spacing w:after="0"/>
              <w:rPr>
                <w:sz w:val="1"/>
                <w:szCs w:val="1"/>
                <w:color w:val="auto"/>
              </w:rPr>
            </w:pPr>
          </w:p>
        </w:tc>
      </w:tr>
      <w:tr>
        <w:trPr>
          <w:trHeight w:val="174"/>
        </w:trPr>
        <w:tc>
          <w:tcPr>
            <w:tcW w:w="496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i w:val="1"/>
                <w:iCs w:val="1"/>
                <w:color w:val="auto"/>
                <w:w w:val="86"/>
              </w:rPr>
              <w:t xml:space="preserve">Less: </w:t>
            </w:r>
            <w:r>
              <w:rPr>
                <w:rFonts w:ascii="Arial" w:cs="Arial" w:eastAsia="Arial" w:hAnsi="Arial"/>
                <w:sz w:val="18"/>
                <w:szCs w:val="18"/>
                <w:color w:val="auto"/>
                <w:w w:val="86"/>
              </w:rPr>
              <w:t>Weighted-average unvested restricted shares and shares subject</w:t>
            </w:r>
          </w:p>
        </w:tc>
        <w:tc>
          <w:tcPr>
            <w:tcW w:w="3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(4,764,366)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(34,624)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(5,618,947)</w:t>
            </w:r>
          </w:p>
        </w:tc>
        <w:tc>
          <w:tcPr>
            <w:tcW w:w="0" w:type="dxa"/>
            <w:vAlign w:val="bottom"/>
          </w:tcPr>
          <w:p>
            <w:pPr>
              <w:spacing w:after="0"/>
              <w:rPr>
                <w:sz w:val="1"/>
                <w:szCs w:val="1"/>
                <w:color w:val="auto"/>
              </w:rPr>
            </w:pPr>
          </w:p>
        </w:tc>
      </w:tr>
      <w:tr>
        <w:trPr>
          <w:trHeight w:val="224"/>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repurchase</w:t>
            </w:r>
          </w:p>
        </w:tc>
        <w:tc>
          <w:tcPr>
            <w:tcW w:w="3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4960" w:type="dxa"/>
            <w:vAlign w:val="bottom"/>
          </w:tcPr>
          <w:p>
            <w:pPr>
              <w:ind w:left="20"/>
              <w:spacing w:after="0" w:line="154" w:lineRule="exact"/>
              <w:rPr>
                <w:sz w:val="20"/>
                <w:szCs w:val="20"/>
                <w:color w:val="auto"/>
              </w:rPr>
            </w:pPr>
            <w:r>
              <w:rPr>
                <w:rFonts w:ascii="Arial" w:cs="Arial" w:eastAsia="Arial" w:hAnsi="Arial"/>
                <w:sz w:val="17"/>
                <w:szCs w:val="17"/>
                <w:color w:val="auto"/>
              </w:rPr>
              <w:t>Weighted average shares used in computing net loss per share</w:t>
            </w: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55,070,480</w:t>
            </w: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ind w:left="240"/>
              <w:spacing w:after="0"/>
              <w:rPr>
                <w:sz w:val="20"/>
                <w:szCs w:val="20"/>
                <w:color w:val="auto"/>
              </w:rPr>
            </w:pPr>
            <w:r>
              <w:rPr>
                <w:rFonts w:ascii="Arial" w:cs="Arial" w:eastAsia="Arial" w:hAnsi="Arial"/>
                <w:sz w:val="18"/>
                <w:szCs w:val="18"/>
                <w:color w:val="auto"/>
                <w:w w:val="93"/>
              </w:rPr>
              <w:t>28,184,532</w:t>
            </w: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ind w:left="240"/>
              <w:spacing w:after="0"/>
              <w:rPr>
                <w:sz w:val="20"/>
                <w:szCs w:val="20"/>
                <w:color w:val="auto"/>
              </w:rPr>
            </w:pPr>
            <w:r>
              <w:rPr>
                <w:rFonts w:ascii="Arial" w:cs="Arial" w:eastAsia="Arial" w:hAnsi="Arial"/>
                <w:sz w:val="18"/>
                <w:szCs w:val="18"/>
                <w:color w:val="auto"/>
                <w:w w:val="93"/>
              </w:rPr>
              <w:t>44,096,149</w:t>
            </w: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ind w:left="240"/>
              <w:spacing w:after="0"/>
              <w:rPr>
                <w:sz w:val="20"/>
                <w:szCs w:val="20"/>
                <w:color w:val="auto"/>
              </w:rPr>
            </w:pPr>
            <w:r>
              <w:rPr>
                <w:rFonts w:ascii="Arial" w:cs="Arial" w:eastAsia="Arial" w:hAnsi="Arial"/>
                <w:sz w:val="18"/>
                <w:szCs w:val="18"/>
                <w:color w:val="auto"/>
                <w:w w:val="93"/>
              </w:rPr>
              <w:t>27,321,614</w:t>
            </w:r>
          </w:p>
        </w:tc>
        <w:tc>
          <w:tcPr>
            <w:tcW w:w="0" w:type="dxa"/>
            <w:vAlign w:val="bottom"/>
          </w:tcPr>
          <w:p>
            <w:pPr>
              <w:spacing w:after="0"/>
              <w:rPr>
                <w:sz w:val="1"/>
                <w:szCs w:val="1"/>
                <w:color w:val="auto"/>
              </w:rPr>
            </w:pPr>
          </w:p>
        </w:tc>
      </w:tr>
      <w:tr>
        <w:trPr>
          <w:trHeight w:val="198"/>
        </w:trPr>
        <w:tc>
          <w:tcPr>
            <w:tcW w:w="4960" w:type="dxa"/>
            <w:vAlign w:val="bottom"/>
          </w:tcPr>
          <w:p>
            <w:pPr>
              <w:ind w:left="180"/>
              <w:spacing w:after="0" w:line="198" w:lineRule="exact"/>
              <w:rPr>
                <w:sz w:val="20"/>
                <w:szCs w:val="20"/>
                <w:color w:val="auto"/>
              </w:rPr>
            </w:pPr>
            <w:r>
              <w:rPr>
                <w:rFonts w:ascii="Arial" w:cs="Arial" w:eastAsia="Arial" w:hAnsi="Arial"/>
                <w:sz w:val="18"/>
                <w:szCs w:val="18"/>
                <w:color w:val="auto"/>
              </w:rPr>
              <w:t>attributable to common stockholders, basic and diluted</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960" w:type="dxa"/>
            <w:vAlign w:val="bottom"/>
            <w:shd w:val="clear" w:color="auto" w:fill="CCEEFF"/>
          </w:tcPr>
          <w:p>
            <w:pPr>
              <w:ind w:left="20"/>
              <w:spacing w:after="0" w:line="140" w:lineRule="exact"/>
              <w:rPr>
                <w:sz w:val="20"/>
                <w:szCs w:val="20"/>
                <w:color w:val="auto"/>
              </w:rPr>
            </w:pPr>
            <w:r>
              <w:rPr>
                <w:rFonts w:ascii="Arial" w:cs="Arial" w:eastAsia="Arial" w:hAnsi="Arial"/>
                <w:sz w:val="15"/>
                <w:szCs w:val="15"/>
                <w:color w:val="auto"/>
              </w:rPr>
              <w:t>Net loss per share attributable to common stockholders, basic and</w:t>
            </w:r>
          </w:p>
        </w:tc>
        <w:tc>
          <w:tcPr>
            <w:tcW w:w="34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8"/>
        </w:trPr>
        <w:tc>
          <w:tcPr>
            <w:tcW w:w="4960" w:type="dxa"/>
            <w:vAlign w:val="bottom"/>
            <w:tcBorders>
              <w:bottom w:val="single" w:sz="8" w:color="CCEEFF"/>
            </w:tcBorders>
            <w:shd w:val="clear" w:color="auto" w:fill="CCEEFF"/>
          </w:tcPr>
          <w:p>
            <w:pPr>
              <w:ind w:left="20"/>
              <w:spacing w:after="0" w:line="198"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78"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21"/>
          <w:szCs w:val="21"/>
          <w:b w:val="1"/>
          <w:bCs w:val="1"/>
          <w:color w:val="auto"/>
        </w:rPr>
        <w:t>Nautilus Biotechnology,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Notes to Condensed Financial Statements—(Continued)</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34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As a result of the Business Combination, the Company has retroactively adjusted the weighted-average number of shares of Common Stock outstanding prior to the Closing Date by multiplying them by the Exchange Ratio of 3.6281 used to determine the number of shares of New Nautilus Common Stock into which they converted (Note 3). The Common Stock issued as a result of the redeemable convertible preferred stock conversion on the Closing Date was included in the basic net loss per share calculation on a prospective basis.</w:t>
      </w:r>
    </w:p>
    <w:p>
      <w:pPr>
        <w:spacing w:after="0" w:line="138"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potential shares of common stock that were excluded from the computation of diluted net loss per share attributable to common stockholders for the periods presented because including them would have had an antidilutive effect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40" w:type="dxa"/>
            <w:vAlign w:val="bottom"/>
          </w:tcPr>
          <w:p>
            <w:pPr>
              <w:spacing w:after="0"/>
              <w:rPr>
                <w:sz w:val="16"/>
                <w:szCs w:val="16"/>
                <w:color w:val="auto"/>
              </w:rPr>
            </w:pPr>
          </w:p>
        </w:tc>
        <w:tc>
          <w:tcPr>
            <w:tcW w:w="298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4"/>
                <w:szCs w:val="14"/>
                <w:b w:val="1"/>
                <w:bCs w:val="1"/>
                <w:color w:val="auto"/>
              </w:rPr>
              <w:t>Three and Six Months Ended June 30,</w:t>
            </w:r>
          </w:p>
        </w:tc>
      </w:tr>
      <w:tr>
        <w:trPr>
          <w:trHeight w:val="183"/>
        </w:trPr>
        <w:tc>
          <w:tcPr>
            <w:tcW w:w="804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1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 (on an as-converted basis)</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52,175,965</w:t>
            </w:r>
          </w:p>
        </w:tc>
      </w:tr>
      <w:tr>
        <w:trPr>
          <w:trHeight w:val="225"/>
        </w:trPr>
        <w:tc>
          <w:tcPr>
            <w:tcW w:w="8040" w:type="dxa"/>
            <w:vAlign w:val="bottom"/>
          </w:tcPr>
          <w:p>
            <w:pPr>
              <w:ind w:left="20"/>
              <w:spacing w:after="0"/>
              <w:rPr>
                <w:sz w:val="20"/>
                <w:szCs w:val="20"/>
                <w:color w:val="auto"/>
              </w:rPr>
            </w:pPr>
            <w:r>
              <w:rPr>
                <w:rFonts w:ascii="Arial" w:cs="Arial" w:eastAsia="Arial" w:hAnsi="Arial"/>
                <w:sz w:val="18"/>
                <w:szCs w:val="18"/>
                <w:color w:val="auto"/>
              </w:rPr>
              <w:t>Options to purchase common stock</w:t>
            </w:r>
          </w:p>
        </w:tc>
        <w:tc>
          <w:tcPr>
            <w:tcW w:w="1440" w:type="dxa"/>
            <w:vAlign w:val="bottom"/>
          </w:tcPr>
          <w:p>
            <w:pPr>
              <w:jc w:val="right"/>
              <w:spacing w:after="0"/>
              <w:rPr>
                <w:sz w:val="20"/>
                <w:szCs w:val="20"/>
                <w:color w:val="auto"/>
              </w:rPr>
            </w:pPr>
            <w:r>
              <w:rPr>
                <w:rFonts w:ascii="Arial" w:cs="Arial" w:eastAsia="Arial" w:hAnsi="Arial"/>
                <w:sz w:val="18"/>
                <w:szCs w:val="18"/>
                <w:color w:val="auto"/>
              </w:rPr>
              <w:t>8,014,879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2,124,022</w:t>
            </w:r>
          </w:p>
        </w:tc>
      </w:tr>
      <w:tr>
        <w:trPr>
          <w:trHeight w:val="22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restricted common stock</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3,988,044</w:t>
            </w:r>
          </w:p>
        </w:tc>
      </w:tr>
      <w:tr>
        <w:trPr>
          <w:trHeight w:val="225"/>
        </w:trPr>
        <w:tc>
          <w:tcPr>
            <w:tcW w:w="8040" w:type="dxa"/>
            <w:vAlign w:val="bottom"/>
          </w:tcPr>
          <w:p>
            <w:pPr>
              <w:ind w:left="20"/>
              <w:spacing w:after="0"/>
              <w:rPr>
                <w:sz w:val="20"/>
                <w:szCs w:val="20"/>
                <w:color w:val="auto"/>
              </w:rPr>
            </w:pPr>
            <w:r>
              <w:rPr>
                <w:rFonts w:ascii="Arial" w:cs="Arial" w:eastAsia="Arial" w:hAnsi="Arial"/>
                <w:sz w:val="18"/>
                <w:szCs w:val="18"/>
                <w:color w:val="auto"/>
              </w:rPr>
              <w:t>Common stock warrants</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63,491</w:t>
            </w:r>
          </w:p>
        </w:tc>
      </w:tr>
      <w:tr>
        <w:trPr>
          <w:trHeight w:val="243"/>
        </w:trPr>
        <w:tc>
          <w:tcPr>
            <w:tcW w:w="8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potentially dilutive common share equivalents</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8,014,879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58,351,522</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40" w:hanging="634"/>
        <w:spacing w:after="0"/>
        <w:tabs>
          <w:tab w:leader="none" w:pos="6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0"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In July 2021, the Company entered into a 7-year non-cancellable operating lease, commencing in August 2021, for an additional office space in Seattle, Washington. Total non-cancellable payments under this lease aggregate $4.5 million through June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178" w:right="459" w:bottom="1440" w:gutter="0" w:footer="0" w:header="0"/>
        </w:sectPr>
      </w:pPr>
    </w:p>
    <w:bookmarkStart w:id="26" w:name="page27"/>
    <w:bookmarkEnd w:id="26"/>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0"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i w:val="1"/>
          <w:iCs w:val="1"/>
          <w:color w:val="auto"/>
        </w:rPr>
        <w:t>The following discussion and analysis provides information that our management believes is relevant to an assessment and understanding of Nautilus Biotechnology, Inc.’s (“Nautilus” or the “Company”) condensed consolidated results of operations and financial condition. The discussion should be read together with the condensed consolidated financial statements and the accompanying notes to those statements that are included elsewhere in this Quarterly Report on Form 10-Q and the audited financial statements for the year ended December 31, 2020 and the related notes included in the Company’s Current Report on Form 8-K filed with the SEC on June 10, 2021. This discussion may contain forward-looking statements based upon current expectations that involve risks and uncertainties. Nautilus’ actual results may differ materially from those anticipated in these forward-looking statements as a result of various factors, including those set forth in the section titled “Risk Factors” in Part II, Item 1A as set forth in this Quarterly Report on Form 10-Q.</w:t>
      </w:r>
    </w:p>
    <w:p>
      <w:pPr>
        <w:spacing w:after="0" w:line="104" w:lineRule="exact"/>
        <w:rPr>
          <w:sz w:val="20"/>
          <w:szCs w:val="20"/>
          <w:color w:val="auto"/>
        </w:rPr>
      </w:pPr>
    </w:p>
    <w:p>
      <w:pPr>
        <w:ind w:right="300" w:firstLine="318"/>
        <w:spacing w:after="0" w:line="277" w:lineRule="auto"/>
        <w:rPr>
          <w:sz w:val="20"/>
          <w:szCs w:val="20"/>
          <w:color w:val="auto"/>
        </w:rPr>
      </w:pPr>
      <w:r>
        <w:rPr>
          <w:rFonts w:ascii="Arial" w:cs="Arial" w:eastAsia="Arial" w:hAnsi="Arial"/>
          <w:sz w:val="17"/>
          <w:szCs w:val="17"/>
          <w:color w:val="auto"/>
        </w:rPr>
        <w:t>Unless otherwise indicated or the context otherwise requires, references in this “Management’s Discussion and Analysis of Financial Condition and Results of Operations” section to “Nautilus,” “we,” “us,” “our” and other similar terms refer to the business and operations of Legacy Nautilus prior to the Business Combination and to New Nautilus and its consolidated subsidiary following the Business Combination.</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We are a development stage life sciences company creating a platform technology for quantifying and unlocking the complexity of the human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single-molecule instrument, our Proteomic Analysis System, which will be further developed to deliver the speed, simplicity, accuracy, and versatility that we believe is necessary to establish a new gold standard in the field.</w:t>
      </w:r>
    </w:p>
    <w:p>
      <w:pPr>
        <w:spacing w:after="0" w:line="104"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Since our incorporation in 2016, we have devoted substantially all of our resources to research and development activities, including with respect to our proteomics platform, or Nautilus Platform, business planning, establishing and maintaining our intellectual property portfolio, hiring personnel, raising capital and providing general and administrative support for these operations. We do not have any products available for commercial sale, and we have not generated any revenue from our Nautilus Platform or other sources since inception. Our ability to generate revenue sufficient to achieve profitability, if ever, will depend on the successful development and eventual commercialization of our Nautilus Platform, which we expect, if it ever occurs, will take a number of years. Our Nautilus Platform, which includes our end-to-end solution comprised of instruments, consumables, and software analysis, is currently under development and will require significant additional research and development efforts, including extensive testing prior to commercialization. These efforts require significant amounts of additional capital and adequate personnel infrastructure. There can be no assurance that our research and development activities will be successfully completed, or that our Nautilus Platform will be commercially viable.</w:t>
      </w:r>
    </w:p>
    <w:p>
      <w:pPr>
        <w:spacing w:after="0" w:line="132" w:lineRule="exact"/>
        <w:rPr>
          <w:sz w:val="20"/>
          <w:szCs w:val="20"/>
          <w:color w:val="auto"/>
        </w:rPr>
      </w:pPr>
    </w:p>
    <w:p>
      <w:pPr>
        <w:ind w:right="60" w:firstLine="318"/>
        <w:spacing w:after="0" w:line="309" w:lineRule="auto"/>
        <w:rPr>
          <w:sz w:val="20"/>
          <w:szCs w:val="20"/>
          <w:color w:val="auto"/>
        </w:rPr>
      </w:pPr>
      <w:r>
        <w:rPr>
          <w:rFonts w:ascii="Arial" w:cs="Arial" w:eastAsia="Arial" w:hAnsi="Arial"/>
          <w:sz w:val="15"/>
          <w:szCs w:val="15"/>
          <w:color w:val="auto"/>
        </w:rPr>
        <w:t>In order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instruments, and related consumables. Among other factors, we will need to develop reliable supply chains for the various components in the Nautilus Platform, instruments, and consumables to support large-scale commercial production. In connection with our Nautilus Platform, we intend to utilize over 300 complex reagents and various antibodies in order to generate deep proteomic information at the speed and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1440" w:right="359" w:bottom="1440" w:gutter="0" w:footer="0" w:header="0"/>
        </w:sectPr>
      </w:pPr>
    </w:p>
    <w:bookmarkStart w:id="27" w:name="page28"/>
    <w:bookmarkEnd w:id="27"/>
    <w:p>
      <w:pPr>
        <w:spacing w:after="0" w:line="119" w:lineRule="exact"/>
        <w:rPr>
          <w:sz w:val="20"/>
          <w:szCs w:val="20"/>
          <w:color w:val="auto"/>
        </w:rPr>
      </w:pPr>
    </w:p>
    <w:p>
      <w:pPr>
        <w:ind w:right="440"/>
        <w:spacing w:after="0" w:line="330" w:lineRule="auto"/>
        <w:rPr>
          <w:sz w:val="20"/>
          <w:szCs w:val="20"/>
          <w:color w:val="auto"/>
        </w:rPr>
      </w:pPr>
      <w:r>
        <w:rPr>
          <w:rFonts w:ascii="Arial" w:cs="Arial" w:eastAsia="Arial" w:hAnsi="Arial"/>
          <w:sz w:val="15"/>
          <w:szCs w:val="15"/>
          <w:color w:val="auto"/>
        </w:rPr>
        <w:t>which we expect our Nautilus Platform to perform. Such reagents and antibodies are expected to be more difficult to manufacture and more expensive to procure. There is no assurance that we will be able to build manufacturing or consumable production capacity internally or find one or more suitable manufacturing or production partners, or both, to meet the volume and quality requirements necessary to be successful in the proteomics market.</w:t>
      </w:r>
    </w:p>
    <w:p>
      <w:pPr>
        <w:spacing w:after="0" w:line="84"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Given our stage of development, we have not yet established a commercial organization or distribution capabilities. We do intend to build a commercial infrastructure to support sales of our products. We expect to manage sales, marketing and distribution through both internal resources and third-party relationships. We plan to commercialize our proteomics platform using a three-phase plan that has been shown to be effective and optimal for introducing disruptive products in numerous life sciences technology markets. The first phase is expected to involve collaboration with biopharmaceutical companies and key opinion leaders to validate the performance and utility of Nautilus’ product, during which we do not expect to recognize significant revenue, if any. The second phase will include an early access limited release phase in which we expect to recognize limited revenue. Finally, the third phase is anticipated to include a broader commercial launch. We are currently in the collaboration phase during which we are seeking to enter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the early access limited release phase, we plan to leverage our publications to drive awareness and customer demand to pre-sell instruments and reagents to select customers performing large-scale proteomics research. During this phase, we plan to provide our early access program partners with broad-scale analysis and profiling of samples analyzed in our facility and shared via a cloud platform. We do not anticipate that the second phase will begin any earlier than the second half of 2022 and do not anticipate that it will result in any material revenue. During this phase, we expect to work closely with early access customers to demonstrate a unique value proposition for our proteomics product platform. We expect this second phase to continue through the end of 2023 and lead into the third phase of broad commercialization at the end of 2023 and the beginning of 2024. We do not expect to realize any material revenue prior to the second half of 2023.</w:t>
      </w:r>
    </w:p>
    <w:p>
      <w:pPr>
        <w:spacing w:after="0" w:line="321" w:lineRule="exact"/>
        <w:rPr>
          <w:sz w:val="20"/>
          <w:szCs w:val="20"/>
          <w:color w:val="auto"/>
        </w:rPr>
      </w:pPr>
    </w:p>
    <w:p>
      <w:pPr>
        <w:ind w:right="20" w:firstLine="318"/>
        <w:spacing w:after="0" w:line="318" w:lineRule="auto"/>
        <w:rPr>
          <w:sz w:val="20"/>
          <w:szCs w:val="20"/>
          <w:color w:val="auto"/>
        </w:rPr>
      </w:pPr>
      <w:r>
        <w:rPr>
          <w:rFonts w:ascii="Arial" w:cs="Arial" w:eastAsia="Arial" w:hAnsi="Arial"/>
          <w:sz w:val="15"/>
          <w:szCs w:val="15"/>
          <w:color w:val="auto"/>
        </w:rPr>
        <w:t>We intend to commercialize our Nautilus Platform through a direct sales channel in the United States, and through both direct and distributor sales channels in regions outside the United States. Given our stage of development, we currently have no marketing,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Nautilus Platform.</w:t>
      </w:r>
    </w:p>
    <w:p>
      <w:pPr>
        <w:spacing w:after="0" w:line="93" w:lineRule="exact"/>
        <w:rPr>
          <w:sz w:val="20"/>
          <w:szCs w:val="20"/>
          <w:color w:val="auto"/>
        </w:rPr>
      </w:pPr>
    </w:p>
    <w:p>
      <w:pPr>
        <w:ind w:right="40" w:firstLine="318"/>
        <w:spacing w:after="0" w:line="309" w:lineRule="auto"/>
        <w:rPr>
          <w:sz w:val="20"/>
          <w:szCs w:val="20"/>
          <w:color w:val="auto"/>
        </w:rPr>
      </w:pPr>
      <w:r>
        <w:rPr>
          <w:rFonts w:ascii="Arial" w:cs="Arial" w:eastAsia="Arial" w:hAnsi="Arial"/>
          <w:sz w:val="15"/>
          <w:szCs w:val="15"/>
          <w:color w:val="auto"/>
        </w:rPr>
        <w:t>Prior to the Business Combination, we financed our operations primarily through private placements of convertible preferred stock. Through June 30, 2021, we had raised aggregate net proceeds of $108.4 million from these private placements and as of June 30, 2021, we had cash, cash equivalents and short-term investments of $373.1 million. Following consummation of the Business Combination and PIPE Financing, we received additional gross proceeds of approximately $345.5 million from PIPE Investors and the Business Combination, offset by approximately $18.2 million of transaction costs and underwriters’ fees relating to the closing of the Business Combination. Based on this, we believe that our existing cash, cash equivalents, and short-term investments will enable us to fund our planned operating expenses and capital expenditures through at least the next 12 months.</w:t>
      </w:r>
    </w:p>
    <w:p>
      <w:pPr>
        <w:spacing w:after="0" w:line="99" w:lineRule="exact"/>
        <w:rPr>
          <w:sz w:val="20"/>
          <w:szCs w:val="20"/>
          <w:color w:val="auto"/>
        </w:rPr>
      </w:pPr>
    </w:p>
    <w:p>
      <w:pPr>
        <w:jc w:val="both"/>
        <w:ind w:right="220" w:firstLine="318"/>
        <w:spacing w:after="0" w:line="309" w:lineRule="auto"/>
        <w:rPr>
          <w:sz w:val="20"/>
          <w:szCs w:val="20"/>
          <w:color w:val="auto"/>
        </w:rPr>
      </w:pPr>
      <w:r>
        <w:rPr>
          <w:rFonts w:ascii="Arial" w:cs="Arial" w:eastAsia="Arial" w:hAnsi="Arial"/>
          <w:sz w:val="15"/>
          <w:szCs w:val="15"/>
          <w:color w:val="auto"/>
        </w:rPr>
        <w:t>We have incurred significant losses since the commencement of our operations. Our net loss was $19.1 million during the six months ended June 30, 2021, and we expect to continue to incur significant losses for the foreseeable future as we continue our research and development activities and planned commercialization of our proteomics platform. As of June 30, 2021, we had an accumulated deficit of $49.4 million. These losses have resulted primarily from costs incurred in connection with research and development activities and to a lesser extent from general and administrative costs associated with our operations. We expect to incur significant and increasing expenses and operating losses for the foreseeable future. Our net losses may fluctuate significantly from period to period, depending on the timing of and expenditures on our planned commercialization and research and development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expect our expenses and capital requirements will increase substantially in connection with our ongoing activities as we:</w:t>
      </w:r>
    </w:p>
    <w:p>
      <w:pPr>
        <w:spacing w:after="0" w:line="164" w:lineRule="exact"/>
        <w:rPr>
          <w:sz w:val="20"/>
          <w:szCs w:val="20"/>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our research and development activities, including with respect to our Nautilus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undertake activities to establish sales, marketing and distribution capabilities for our Nautilus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setup costs related to production tooling and required testing;</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 how;</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 hire and retain additional management, scientific and administrative personnel;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As a result, we will require substantial additional funding to develop our products and support our continuing operations. Until such time that we can generate significant revenue from product sales, if ever, we expect to finance our operations through the sale of equity, debt financings or other capital sources, which could include income from collaborations, strategic partnerships or marketing, distribution or licensing arrangements with third parties or from grants. We may be unable to raise additional funds or to enter into such agreements or arrangements on favorable terms, or at all. Our failure to obtain sufficient funds on acceptable terms when needed could have a material adverse effect on our business, results of operations or financial condition, and could force us to delay, reduce or eliminate our product development or future commercialization efforts. We may also be required to grant rights to develop and market products that we would otherwise prefer to develop and market ourselves.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170" w:lineRule="exact"/>
        <w:rPr>
          <w:sz w:val="20"/>
          <w:szCs w:val="20"/>
          <w:color w:val="auto"/>
        </w:rPr>
      </w:pPr>
    </w:p>
    <w:p>
      <w:pPr>
        <w:ind w:right="20" w:firstLine="318"/>
        <w:spacing w:after="0" w:line="303" w:lineRule="auto"/>
        <w:rPr>
          <w:sz w:val="20"/>
          <w:szCs w:val="20"/>
          <w:color w:val="auto"/>
        </w:rPr>
      </w:pPr>
      <w:r>
        <w:rPr>
          <w:rFonts w:ascii="Arial" w:cs="Arial" w:eastAsia="Arial" w:hAnsi="Arial"/>
          <w:sz w:val="15"/>
          <w:szCs w:val="15"/>
          <w:color w:val="auto"/>
        </w:rPr>
        <w:t>The global COVID-19 pandemic continues to rapidly evolve. The extent of the impact of the COVID-19 pandemic on our business, operations and development timelines and plans remains uncertain, and will depend on certain developments, including the duration and spread of the outbreak and its impact on our development activities, third-party manufacturers, and other third parties with whom we do business, as well as its impact on regulatory authorities and our key scientific and management personnel. As the COVID-19 pandemic has developed, we have taken numerous steps to help ensure the health and safety of our employees. We are maintaining hygiene and respiratory protocols; controls for social distancing; enhanced cleaning, disinfecting, decontamination, and ventilation protocols; health policies; and usage of personal protective equipment, where appropriate. During March and April of 2020 in which stay at home orders were in place in the state of California and Washington, the volume of ongoing lab work was reduced, and only critical program work in the lab has continued with staggered lab employee work shifts to minimize risk of exposure to COVID-19, which has and may continue to disrupt or delay our ability to conduct development activities. Employees whose tasks can be performed offsite have been instructed to work from home.</w:t>
      </w:r>
    </w:p>
    <w:p>
      <w:pPr>
        <w:spacing w:after="0" w:line="107"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We have been and continue to actively monitor our supply chain during the COVID-19 pandemic, including third-party materials and suppliers. To date, we have experienced some supply disruptions due to the pandemic, including closures at certain chip manufacturers, which led to extended lead times for certain chips; diversion of certain lab materials needed to support COVID-19 relief efforts; and lower availability of certain reagents. While certain of these disruptions have resolved since the start of the COVID-19 pandemic, we are continuing to monitor our supply chain and contingency planning is ongoing with our partners to reduce the possibility of an interruption to our development activities or the availability of necessary materials.</w:t>
      </w:r>
    </w:p>
    <w:p>
      <w:pPr>
        <w:spacing w:after="0" w:line="98" w:lineRule="exact"/>
        <w:rPr>
          <w:sz w:val="20"/>
          <w:szCs w:val="20"/>
          <w:color w:val="auto"/>
        </w:rPr>
      </w:pPr>
    </w:p>
    <w:p>
      <w:pPr>
        <w:jc w:val="both"/>
        <w:ind w:right="280" w:firstLine="318"/>
        <w:spacing w:after="0" w:line="255" w:lineRule="auto"/>
        <w:rPr>
          <w:sz w:val="20"/>
          <w:szCs w:val="20"/>
          <w:color w:val="auto"/>
        </w:rPr>
      </w:pPr>
      <w:r>
        <w:rPr>
          <w:rFonts w:ascii="Arial" w:cs="Arial" w:eastAsia="Arial" w:hAnsi="Arial"/>
          <w:sz w:val="18"/>
          <w:szCs w:val="18"/>
          <w:color w:val="auto"/>
        </w:rPr>
        <w:t>The ultimate impact of the COVID-19 pandemic or a similar health epidemic is highly uncertain and subject to change. To the extent possible, we are conducting business as usual, with necessary or advisable modifications to employee travel and with our employees working remotely. We will continue to actively monitor the rapidly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1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evolving situation related to COVID-19 and may take further actions that alter our operations, including those that may be required by federal, state or local authorities, or that we determine are in the best interests of our employees and other third parties with whom we do business. At this point, the extent to which the COVID-19 pandemic may affect our future business, operations and development timelines and plans, including the resulting impact on our expenditures and capital needs, remains uncertain.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Recapitalization Transaction</w:t>
      </w:r>
    </w:p>
    <w:p>
      <w:pPr>
        <w:spacing w:after="0" w:line="170" w:lineRule="exact"/>
        <w:rPr>
          <w:sz w:val="20"/>
          <w:szCs w:val="20"/>
          <w:color w:val="auto"/>
        </w:rPr>
      </w:pPr>
    </w:p>
    <w:p>
      <w:pPr>
        <w:ind w:right="220" w:firstLine="318"/>
        <w:spacing w:after="0" w:line="268" w:lineRule="auto"/>
        <w:rPr>
          <w:sz w:val="20"/>
          <w:szCs w:val="20"/>
          <w:color w:val="auto"/>
        </w:rPr>
      </w:pPr>
      <w:r>
        <w:rPr>
          <w:rFonts w:ascii="Arial" w:cs="Arial" w:eastAsia="Arial" w:hAnsi="Arial"/>
          <w:sz w:val="17"/>
          <w:szCs w:val="17"/>
          <w:color w:val="auto"/>
        </w:rPr>
        <w:t>On June 9, 2021 (the “Closing Date”), Nautilus Biotechnology, Inc., a Delaware corporation (f/k/a ARYA Sciences Acquisition Corp III, a Cayman Islands exempted company and our predecessor company (“ARYA”)) (the “Company”), consummated its previously announced business combination (the “Business Combination”) pursuant to the terms of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(“Legacy Nautilus”).</w:t>
      </w:r>
    </w:p>
    <w:p>
      <w:pPr>
        <w:spacing w:after="0" w:line="128" w:lineRule="exact"/>
        <w:rPr>
          <w:sz w:val="20"/>
          <w:szCs w:val="20"/>
          <w:color w:val="auto"/>
        </w:rPr>
      </w:pPr>
    </w:p>
    <w:p>
      <w:pPr>
        <w:ind w:right="120" w:firstLine="318"/>
        <w:spacing w:after="0" w:line="268" w:lineRule="auto"/>
        <w:rPr>
          <w:sz w:val="20"/>
          <w:szCs w:val="20"/>
          <w:color w:val="auto"/>
        </w:rPr>
      </w:pPr>
      <w:r>
        <w:rPr>
          <w:rFonts w:ascii="Arial" w:cs="Arial" w:eastAsia="Arial" w:hAnsi="Arial"/>
          <w:sz w:val="17"/>
          <w:szCs w:val="17"/>
          <w:color w:val="auto"/>
        </w:rPr>
        <w:t>Pursuant to the terms of the Business Combination Agreement, on the Closing Date, (i) ARYA changed its jurisdiction of incorporation by deregistering as a Cayman Islands exempted company and continuing and domesticating as a corporation incorporated under the laws of the State of Delaware (the “Domestication”), upon which ARYA changed its name to “Nautilus Biotechnology, Inc.” (together with its consolidated subsidiary, “New Nautilus” or “Nautilus”) and (ii) Mako Merger Sub merged with and into Legacy Nautilus (the “Merger”), with Legacy Nautilus as the surviving company in the Merger and, after giving effect to such Merger, Legacy Nautilus becoming a wholly-owned subsidiary of New Nautilus.</w:t>
      </w:r>
    </w:p>
    <w:p>
      <w:pPr>
        <w:spacing w:after="0" w:line="128" w:lineRule="exact"/>
        <w:rPr>
          <w:sz w:val="20"/>
          <w:szCs w:val="20"/>
          <w:color w:val="auto"/>
        </w:rPr>
      </w:pPr>
    </w:p>
    <w:p>
      <w:pPr>
        <w:ind w:right="100" w:firstLine="318"/>
        <w:spacing w:after="0" w:line="318" w:lineRule="auto"/>
        <w:rPr>
          <w:sz w:val="20"/>
          <w:szCs w:val="20"/>
          <w:color w:val="auto"/>
        </w:rPr>
      </w:pPr>
      <w:r>
        <w:rPr>
          <w:rFonts w:ascii="Arial" w:cs="Arial" w:eastAsia="Arial" w:hAnsi="Arial"/>
          <w:sz w:val="15"/>
          <w:szCs w:val="15"/>
          <w:color w:val="auto"/>
        </w:rPr>
        <w:t>In accordance with the terms and subject to the conditions of the Business Combination Agreement, at the effective time of the Merger (the “Effective Time”), (i) each share of Legacy Nautilus outstanding as of immediately prior to the Effective Time was exchanged for shares of common stock of New Nautilus, par value $0.0001 per share (“Common Stock”), and (ii) all vested and unvested options to purchase shares of Legacy Nautilus were exchanged for comparable options to purchase shares of Common Stock, in each case, based on an implied Legacy Nautilus equity value of $900,000,000.</w:t>
      </w:r>
    </w:p>
    <w:p>
      <w:pPr>
        <w:spacing w:after="0" w:line="93"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color w:val="auto"/>
        </w:rPr>
        <w:t>As of the open of trading on June 10, 2021, the Common Stock of the Company, formerly those of ARYA, began trading on the Nasdaq Global Select Market (“Nasdaq”) under the symbol “NAUT.”</w:t>
      </w:r>
    </w:p>
    <w:p>
      <w:pPr>
        <w:spacing w:after="0" w:line="128"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In conjunction with the consummation of the Business Combination with ARYA, we received gross proceeds of approximately $345.5 million from PIPE Investors and the Business Combination, offset by approximately $18.2 million of transaction costs and underwriters’ fees relating to the closing of the Business Combination.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To date, we have not generated any revenue and we may not generate any revenue from the sale of products or from other sources in the near future.</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Research and Development Expense</w:t>
      </w:r>
    </w:p>
    <w:p>
      <w:pPr>
        <w:spacing w:after="0" w:line="164" w:lineRule="exact"/>
        <w:rPr>
          <w:sz w:val="20"/>
          <w:szCs w:val="20"/>
          <w:color w:val="auto"/>
        </w:rPr>
      </w:pPr>
    </w:p>
    <w:p>
      <w:pPr>
        <w:ind w:right="140" w:firstLine="318"/>
        <w:spacing w:after="0" w:line="271" w:lineRule="auto"/>
        <w:rPr>
          <w:sz w:val="20"/>
          <w:szCs w:val="20"/>
          <w:color w:val="auto"/>
        </w:rPr>
      </w:pPr>
      <w:r>
        <w:rPr>
          <w:rFonts w:ascii="Arial" w:cs="Arial" w:eastAsia="Arial" w:hAnsi="Arial"/>
          <w:sz w:val="17"/>
          <w:szCs w:val="17"/>
          <w:color w:val="auto"/>
        </w:rPr>
        <w:t>Research and development expenses account for a significant portion of our operating expenses and consist primarily of salaries, related benefits and stock-based compensation expense of product development personnel, facilities costs, laboratory supplies and equipment, depreciation and amortization, external costs of vendors engaged to conduct research and development activities, and allocated expenses for technology and facilities. We expense research and development expenses in the periods in which they are incurred.</w:t>
      </w:r>
    </w:p>
    <w:p>
      <w:pPr>
        <w:spacing w:after="0" w:line="124"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auto"/>
        </w:rPr>
        <w:t>We plan to continue to invest in our research and development efforts and to increase our investment in research and development efforts related to our product development. As a result, we expect research and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320" w:top="1440" w:right="379" w:bottom="1440" w:gutter="0" w:footer="0" w:header="0"/>
        </w:sectPr>
      </w:pPr>
    </w:p>
    <w:bookmarkStart w:id="30" w:name="page31"/>
    <w:bookmarkEnd w:id="30"/>
    <w:p>
      <w:pPr>
        <w:spacing w:after="0" w:line="11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expenses to increase in absolute dollars as we continue to advance our product development, hire additional personnel and retain existing personnel, purchase supplies and materials and allocate expense to our research and development facilities.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64" w:lineRule="exact"/>
        <w:rPr>
          <w:sz w:val="20"/>
          <w:szCs w:val="20"/>
          <w:color w:val="auto"/>
        </w:rPr>
      </w:pPr>
    </w:p>
    <w:p>
      <w:pPr>
        <w:ind w:right="80" w:firstLine="318"/>
        <w:spacing w:after="0" w:line="330" w:lineRule="auto"/>
        <w:rPr>
          <w:sz w:val="20"/>
          <w:szCs w:val="20"/>
          <w:color w:val="auto"/>
        </w:rPr>
      </w:pPr>
      <w:r>
        <w:rPr>
          <w:rFonts w:ascii="Arial" w:cs="Arial" w:eastAsia="Arial" w:hAnsi="Arial"/>
          <w:sz w:val="15"/>
          <w:szCs w:val="15"/>
          <w:color w:val="auto"/>
        </w:rPr>
        <w:t>General and administrative expenses consist of salaries and benefits, and stock-based compensation expense for personnel in executive, operations, legal, human resources, finance and administrative functions, professional fees for legal, patent, consulting, accounting and audit services, and allocated expenses for technology and facilities. We expense general and administrative expenses in the periods in which they are incurred.</w:t>
      </w:r>
    </w:p>
    <w:p>
      <w:pPr>
        <w:spacing w:after="0" w:line="84" w:lineRule="exact"/>
        <w:rPr>
          <w:sz w:val="20"/>
          <w:szCs w:val="20"/>
          <w:color w:val="auto"/>
        </w:rPr>
      </w:pPr>
    </w:p>
    <w:p>
      <w:pPr>
        <w:ind w:right="140" w:firstLine="318"/>
        <w:spacing w:after="0" w:line="312" w:lineRule="auto"/>
        <w:rPr>
          <w:sz w:val="20"/>
          <w:szCs w:val="20"/>
          <w:color w:val="auto"/>
        </w:rPr>
      </w:pPr>
      <w:r>
        <w:rPr>
          <w:rFonts w:ascii="Arial" w:cs="Arial" w:eastAsia="Arial" w:hAnsi="Arial"/>
          <w:sz w:val="15"/>
          <w:szCs w:val="15"/>
          <w:color w:val="auto"/>
        </w:rPr>
        <w:t>We expect that our general and administrative expenses will increase substantially over the next several years as we hire additional personnel to support the continued research and development of our products and growth of our business. Following the completion of the Business Combination, we also anticipate that we will incur substantially higher expenses as a result of operating as a public company, including expenses related to accounting, audit, legal, regulatory, insurance, compliance with the rules and regulations of the SEC, Sarbanes-Oxley Act and those of any national securities exchange on which our securities are traded, director and officer insurance, investor and public relations, and other administrative and professional services.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64"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color w:val="auto"/>
        </w:rPr>
        <w:t>Other income (expense), net consists primarily of interest income on our cash, cash equivalents and investments and other miscellaneous non recurring expenses.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Comparison of the Three Months Ended June 30, 2021 to the Three Months Ended June, 2020</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shows our statements of operations for the periods indicated:</w:t>
      </w:r>
    </w:p>
    <w:p>
      <w:pPr>
        <w:spacing w:after="0" w:line="260" w:lineRule="exact"/>
        <w:rPr>
          <w:sz w:val="20"/>
          <w:szCs w:val="20"/>
          <w:color w:val="auto"/>
        </w:rPr>
      </w:pPr>
    </w:p>
    <w:p>
      <w:pPr>
        <w:ind w:left="532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2948305</wp:posOffset>
            </wp:positionH>
            <wp:positionV relativeFrom="paragraph">
              <wp:posOffset>21590</wp:posOffset>
            </wp:positionV>
            <wp:extent cx="20783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7835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51" w:lineRule="exact"/>
        <w:rPr>
          <w:sz w:val="20"/>
          <w:szCs w:val="20"/>
          <w:color w:val="auto"/>
        </w:rPr>
      </w:pPr>
    </w:p>
    <w:p>
      <w:pPr>
        <w:ind w:left="5280"/>
        <w:spacing w:after="0"/>
        <w:tabs>
          <w:tab w:leader="none" w:pos="6900"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2948305</wp:posOffset>
            </wp:positionH>
            <wp:positionV relativeFrom="paragraph">
              <wp:posOffset>36195</wp:posOffset>
            </wp:positionV>
            <wp:extent cx="20193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19300" cy="8255"/>
                    </a:xfrm>
                    <a:prstGeom prst="rect">
                      <a:avLst/>
                    </a:prstGeom>
                    <a:noFill/>
                  </pic:spPr>
                </pic:pic>
              </a:graphicData>
            </a:graphic>
          </wp:anchor>
        </w:drawing>
      </w:r>
    </w:p>
    <w:p>
      <w:pPr>
        <w:spacing w:after="0" w:line="54" w:lineRule="exact"/>
        <w:rPr>
          <w:sz w:val="20"/>
          <w:szCs w:val="20"/>
          <w:color w:val="auto"/>
        </w:rPr>
      </w:pPr>
    </w:p>
    <w:p>
      <w:pPr>
        <w:ind w:left="58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tabs>
          <w:tab w:leader="none" w:pos="1680" w:val="left"/>
        </w:tabs>
        <w:rPr>
          <w:sz w:val="20"/>
          <w:szCs w:val="20"/>
          <w:color w:val="auto"/>
        </w:rPr>
      </w:pPr>
      <w:r>
        <w:rPr>
          <w:rFonts w:ascii="Arial" w:cs="Arial" w:eastAsia="Arial" w:hAnsi="Arial"/>
          <w:sz w:val="12"/>
          <w:szCs w:val="12"/>
          <w:b w:val="1"/>
          <w:bCs w:val="1"/>
          <w:color w:val="auto"/>
        </w:rPr>
        <w:t>Change</w:t>
      </w:r>
      <w:r>
        <w:rPr>
          <w:sz w:val="20"/>
          <w:szCs w:val="20"/>
          <w:color w:val="auto"/>
        </w:rPr>
        <w:tab/>
      </w:r>
      <w:r>
        <w:rPr>
          <w:rFonts w:ascii="Arial" w:cs="Arial" w:eastAsia="Arial" w:hAnsi="Arial"/>
          <w:sz w:val="12"/>
          <w:szCs w:val="12"/>
          <w:b w:val="1"/>
          <w:bCs w:val="1"/>
          <w:color w:val="auto"/>
        </w:rPr>
        <w:t>Change</w:t>
      </w:r>
    </w:p>
    <w:p>
      <w:pPr>
        <w:spacing w:after="0" w:line="11" w:lineRule="exact"/>
        <w:rPr>
          <w:sz w:val="20"/>
          <w:szCs w:val="20"/>
          <w:color w:val="auto"/>
        </w:rPr>
      </w:pPr>
    </w:p>
    <w:p>
      <w:pPr>
        <w:ind w:left="140"/>
        <w:spacing w:after="0"/>
        <w:tabs>
          <w:tab w:leader="none" w:pos="180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w:t>
      </w:r>
    </w:p>
    <w:p>
      <w:pPr>
        <w:spacing w:after="0" w:line="7" w:lineRule="exact"/>
        <w:rPr>
          <w:sz w:val="20"/>
          <w:szCs w:val="20"/>
          <w:color w:val="auto"/>
        </w:rPr>
      </w:pPr>
    </w:p>
    <w:p>
      <w:pPr>
        <w:sectPr>
          <w:pgSz w:w="11900" w:h="16838" w:orient="portrait"/>
          <w:cols w:equalWidth="0" w:num="2">
            <w:col w:w="7740" w:space="720"/>
            <w:col w:w="27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5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25"/>
        </w:trPr>
        <w:tc>
          <w:tcPr>
            <w:tcW w:w="46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6,380</w:t>
            </w:r>
          </w:p>
        </w:tc>
        <w:tc>
          <w:tcPr>
            <w:tcW w:w="80" w:type="dxa"/>
            <w:vAlign w:val="bottom"/>
          </w:tcPr>
          <w:p>
            <w:pPr>
              <w:spacing w:after="0"/>
              <w:rPr>
                <w:sz w:val="19"/>
                <w:szCs w:val="19"/>
                <w:color w:val="auto"/>
              </w:rPr>
            </w:pPr>
          </w:p>
        </w:tc>
        <w:tc>
          <w:tcPr>
            <w:tcW w:w="560" w:type="dxa"/>
            <w:vAlign w:val="bottom"/>
          </w:tcPr>
          <w:p>
            <w:pPr>
              <w:jc w:val="right"/>
              <w:ind w:right="35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2,751</w:t>
            </w:r>
          </w:p>
        </w:tc>
        <w:tc>
          <w:tcPr>
            <w:tcW w:w="100" w:type="dxa"/>
            <w:vAlign w:val="bottom"/>
          </w:tcPr>
          <w:p>
            <w:pPr>
              <w:spacing w:after="0"/>
              <w:rPr>
                <w:sz w:val="19"/>
                <w:szCs w:val="19"/>
                <w:color w:val="auto"/>
              </w:rPr>
            </w:pPr>
          </w:p>
        </w:tc>
        <w:tc>
          <w:tcPr>
            <w:tcW w:w="560" w:type="dxa"/>
            <w:vAlign w:val="bottom"/>
          </w:tcPr>
          <w:p>
            <w:pPr>
              <w:jc w:val="right"/>
              <w:ind w:right="37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132 %</w:t>
            </w:r>
          </w:p>
        </w:tc>
      </w:tr>
      <w:tr>
        <w:trPr>
          <w:trHeight w:val="226"/>
        </w:trPr>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4,317</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565 %</w:t>
            </w:r>
          </w:p>
        </w:tc>
      </w:tr>
      <w:tr>
        <w:trPr>
          <w:trHeight w:val="218"/>
        </w:trPr>
        <w:tc>
          <w:tcPr>
            <w:tcW w:w="46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operating expenses</w:t>
            </w: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10,697</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7,297</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215 %</w:t>
            </w:r>
          </w:p>
        </w:tc>
      </w:tr>
      <w:tr>
        <w:trPr>
          <w:trHeight w:val="21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19"/>
        </w:trPr>
        <w:tc>
          <w:tcPr>
            <w:tcW w:w="4640" w:type="dxa"/>
            <w:vAlign w:val="bottom"/>
          </w:tcPr>
          <w:p>
            <w:pPr>
              <w:ind w:left="660"/>
              <w:spacing w:after="0"/>
              <w:rPr>
                <w:sz w:val="20"/>
                <w:szCs w:val="20"/>
                <w:color w:val="auto"/>
              </w:rPr>
            </w:pPr>
            <w:r>
              <w:rPr>
                <w:rFonts w:ascii="Arial" w:cs="Arial" w:eastAsia="Arial" w:hAnsi="Arial"/>
                <w:sz w:val="18"/>
                <w:szCs w:val="18"/>
                <w:color w:val="auto"/>
              </w:rPr>
              <w:t>Net loss</w:t>
            </w: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(10,713)</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(3,355)</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(7,358)</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219 %</w:t>
            </w:r>
          </w:p>
        </w:tc>
      </w:tr>
      <w:tr>
        <w:trPr>
          <w:trHeight w:val="20"/>
        </w:trPr>
        <w:tc>
          <w:tcPr>
            <w:tcW w:w="46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Research and Development Expenses</w:t>
      </w:r>
    </w:p>
    <w:p>
      <w:pPr>
        <w:spacing w:after="0" w:line="164"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Research and development expenses were $6.4 million for the three months ended June 30, 2021, compared to $2.8 million for the three months ended June 30, 2020, an increase of $3.6 million, or 132%. The increase was primarily due to a $2.0 million increase in salaries, related benefits, and stock-based compensation due to an increase in headcount to support on-going development of our products, a $0.9 million increase in laboratory supplies and equipment expense and a $0.2 million increase in facilities costs.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64" w:lineRule="exact"/>
        <w:rPr>
          <w:sz w:val="20"/>
          <w:szCs w:val="20"/>
          <w:color w:val="auto"/>
        </w:rPr>
      </w:pPr>
    </w:p>
    <w:p>
      <w:pPr>
        <w:jc w:val="both"/>
        <w:ind w:right="240" w:firstLine="318"/>
        <w:spacing w:after="0" w:line="330" w:lineRule="auto"/>
        <w:rPr>
          <w:sz w:val="20"/>
          <w:szCs w:val="20"/>
          <w:color w:val="auto"/>
        </w:rPr>
      </w:pPr>
      <w:r>
        <w:rPr>
          <w:rFonts w:ascii="Arial" w:cs="Arial" w:eastAsia="Arial" w:hAnsi="Arial"/>
          <w:sz w:val="15"/>
          <w:szCs w:val="15"/>
          <w:color w:val="auto"/>
        </w:rPr>
        <w:t>General and administrative expenses were $4.3 million for the three months ended June 30, 2021, compared to $0.6 million for the three months ended June 30, 2020, an increase of $3.7 million, or 565%. The increase was primarily due to a $2.2 million increase in salaries, related benefits, and stock-based compensation, a $0.6 million increase in professional services, primarily related to audit and legal activities and a $0.2 million increase in marketing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type w:val="continuous"/>
        </w:sectPr>
      </w:pPr>
    </w:p>
    <w:bookmarkStart w:id="31" w:name="page32"/>
    <w:bookmarkEnd w:id="31"/>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 Income (Expense), Net</w:t>
      </w:r>
    </w:p>
    <w:p>
      <w:pPr>
        <w:spacing w:after="0" w:line="164"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color w:val="auto"/>
        </w:rPr>
        <w:t>Other income (expense), net for the three months ended June 30, 2021 as compared to the three months ended June 30, 2020 changed primarily due to lower interest income as well as state franchise taxes incurred in the three months ended June 30, 2021.</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Comparison of the Six Months Ended June 30, 2021 to the Six Months Ended June, 2020</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shows our statements of operations for the periods indicated:</w:t>
      </w:r>
    </w:p>
    <w:p>
      <w:pPr>
        <w:spacing w:after="0" w:line="260" w:lineRule="exact"/>
        <w:rPr>
          <w:sz w:val="20"/>
          <w:szCs w:val="20"/>
          <w:color w:val="auto"/>
        </w:rPr>
      </w:pPr>
    </w:p>
    <w:p>
      <w:pPr>
        <w:ind w:left="540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2948305</wp:posOffset>
            </wp:positionH>
            <wp:positionV relativeFrom="paragraph">
              <wp:posOffset>21590</wp:posOffset>
            </wp:positionV>
            <wp:extent cx="20193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193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51" w:lineRule="exact"/>
        <w:rPr>
          <w:sz w:val="20"/>
          <w:szCs w:val="20"/>
          <w:color w:val="auto"/>
        </w:rPr>
      </w:pPr>
    </w:p>
    <w:p>
      <w:pPr>
        <w:ind w:left="5280"/>
        <w:spacing w:after="0"/>
        <w:tabs>
          <w:tab w:leader="none" w:pos="6900"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2948305</wp:posOffset>
            </wp:positionH>
            <wp:positionV relativeFrom="paragraph">
              <wp:posOffset>36195</wp:posOffset>
            </wp:positionV>
            <wp:extent cx="20193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19300" cy="8255"/>
                    </a:xfrm>
                    <a:prstGeom prst="rect">
                      <a:avLst/>
                    </a:prstGeom>
                    <a:noFill/>
                  </pic:spPr>
                </pic:pic>
              </a:graphicData>
            </a:graphic>
          </wp:anchor>
        </w:drawing>
      </w:r>
    </w:p>
    <w:p>
      <w:pPr>
        <w:spacing w:after="0" w:line="54" w:lineRule="exact"/>
        <w:rPr>
          <w:sz w:val="20"/>
          <w:szCs w:val="20"/>
          <w:color w:val="auto"/>
        </w:rPr>
      </w:pPr>
    </w:p>
    <w:p>
      <w:pPr>
        <w:ind w:left="58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tabs>
          <w:tab w:leader="none" w:pos="1700" w:val="left"/>
        </w:tabs>
        <w:rPr>
          <w:sz w:val="20"/>
          <w:szCs w:val="20"/>
          <w:color w:val="auto"/>
        </w:rPr>
      </w:pPr>
      <w:r>
        <w:rPr>
          <w:rFonts w:ascii="Arial" w:cs="Arial" w:eastAsia="Arial" w:hAnsi="Arial"/>
          <w:sz w:val="12"/>
          <w:szCs w:val="12"/>
          <w:b w:val="1"/>
          <w:bCs w:val="1"/>
          <w:color w:val="auto"/>
        </w:rPr>
        <w:t>Change</w:t>
      </w:r>
      <w:r>
        <w:rPr>
          <w:sz w:val="20"/>
          <w:szCs w:val="20"/>
          <w:color w:val="auto"/>
        </w:rPr>
        <w:tab/>
      </w:r>
      <w:r>
        <w:rPr>
          <w:rFonts w:ascii="Arial" w:cs="Arial" w:eastAsia="Arial" w:hAnsi="Arial"/>
          <w:sz w:val="12"/>
          <w:szCs w:val="12"/>
          <w:b w:val="1"/>
          <w:bCs w:val="1"/>
          <w:color w:val="auto"/>
        </w:rPr>
        <w:t>Change</w:t>
      </w:r>
    </w:p>
    <w:p>
      <w:pPr>
        <w:spacing w:after="0" w:line="11" w:lineRule="exact"/>
        <w:rPr>
          <w:sz w:val="20"/>
          <w:szCs w:val="20"/>
          <w:color w:val="auto"/>
        </w:rPr>
      </w:pPr>
    </w:p>
    <w:p>
      <w:pPr>
        <w:ind w:left="160"/>
        <w:spacing w:after="0"/>
        <w:tabs>
          <w:tab w:leader="none" w:pos="182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w:t>
      </w:r>
    </w:p>
    <w:p>
      <w:pPr>
        <w:spacing w:after="0" w:line="7" w:lineRule="exact"/>
        <w:rPr>
          <w:sz w:val="20"/>
          <w:szCs w:val="20"/>
          <w:color w:val="auto"/>
        </w:rPr>
      </w:pPr>
    </w:p>
    <w:p>
      <w:pPr>
        <w:sectPr>
          <w:pgSz w:w="11900" w:h="16838" w:orient="portrait"/>
          <w:cols w:equalWidth="0" w:num="2">
            <w:col w:w="7720" w:space="720"/>
            <w:col w:w="280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5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25"/>
        </w:trPr>
        <w:tc>
          <w:tcPr>
            <w:tcW w:w="46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11,215</w:t>
            </w:r>
          </w:p>
        </w:tc>
        <w:tc>
          <w:tcPr>
            <w:tcW w:w="80" w:type="dxa"/>
            <w:vAlign w:val="bottom"/>
          </w:tcPr>
          <w:p>
            <w:pPr>
              <w:spacing w:after="0"/>
              <w:rPr>
                <w:sz w:val="19"/>
                <w:szCs w:val="19"/>
                <w:color w:val="auto"/>
              </w:rPr>
            </w:pPr>
          </w:p>
        </w:tc>
        <w:tc>
          <w:tcPr>
            <w:tcW w:w="560" w:type="dxa"/>
            <w:vAlign w:val="bottom"/>
          </w:tcPr>
          <w:p>
            <w:pPr>
              <w:jc w:val="right"/>
              <w:ind w:right="35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5,221</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5,994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115 %</w:t>
            </w:r>
          </w:p>
        </w:tc>
      </w:tr>
      <w:tr>
        <w:trPr>
          <w:trHeight w:val="226"/>
        </w:trPr>
        <w:tc>
          <w:tcPr>
            <w:tcW w:w="4640" w:type="dxa"/>
            <w:vAlign w:val="bottom"/>
            <w:shd w:val="clear" w:color="auto" w:fill="CCEEFF"/>
          </w:tcPr>
          <w:p>
            <w:pPr>
              <w:jc w:val="right"/>
              <w:ind w:right="2452"/>
              <w:spacing w:after="0"/>
              <w:rPr>
                <w:sz w:val="20"/>
                <w:szCs w:val="20"/>
                <w:color w:val="auto"/>
              </w:rPr>
            </w:pPr>
            <w:r>
              <w:rPr>
                <w:rFonts w:ascii="Arial" w:cs="Arial" w:eastAsia="Arial" w:hAnsi="Arial"/>
                <w:sz w:val="18"/>
                <w:szCs w:val="18"/>
                <w:color w:val="auto"/>
                <w:w w:val="96"/>
              </w:rPr>
              <w:t>General and administrative</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7,899</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6,723</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572 %</w:t>
            </w:r>
          </w:p>
        </w:tc>
      </w:tr>
      <w:tr>
        <w:trPr>
          <w:trHeight w:val="218"/>
        </w:trPr>
        <w:tc>
          <w:tcPr>
            <w:tcW w:w="4640" w:type="dxa"/>
            <w:vAlign w:val="bottom"/>
            <w:tcBorders>
              <w:bottom w:val="single" w:sz="8" w:color="CCEEFF"/>
            </w:tcBorders>
          </w:tcPr>
          <w:p>
            <w:pPr>
              <w:jc w:val="right"/>
              <w:ind w:right="2452"/>
              <w:spacing w:after="0"/>
              <w:rPr>
                <w:sz w:val="20"/>
                <w:szCs w:val="20"/>
                <w:color w:val="auto"/>
              </w:rPr>
            </w:pPr>
            <w:r>
              <w:rPr>
                <w:rFonts w:ascii="Arial" w:cs="Arial" w:eastAsia="Arial" w:hAnsi="Arial"/>
                <w:sz w:val="18"/>
                <w:szCs w:val="18"/>
                <w:color w:val="auto"/>
              </w:rPr>
              <w:t>Total operating expenses</w:t>
            </w: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19,114</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6,397</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12,717</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199 %</w:t>
            </w:r>
          </w:p>
        </w:tc>
      </w:tr>
      <w:tr>
        <w:trPr>
          <w:trHeight w:val="21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18"/>
        </w:trPr>
        <w:tc>
          <w:tcPr>
            <w:tcW w:w="4640" w:type="dxa"/>
            <w:vAlign w:val="bottom"/>
          </w:tcPr>
          <w:p>
            <w:pPr>
              <w:ind w:left="340"/>
              <w:spacing w:after="0"/>
              <w:rPr>
                <w:sz w:val="20"/>
                <w:szCs w:val="20"/>
                <w:color w:val="auto"/>
              </w:rPr>
            </w:pPr>
            <w:r>
              <w:rPr>
                <w:rFonts w:ascii="Arial" w:cs="Arial" w:eastAsia="Arial" w:hAnsi="Arial"/>
                <w:sz w:val="18"/>
                <w:szCs w:val="18"/>
                <w:color w:val="auto"/>
              </w:rPr>
              <w:t>Net loss</w:t>
            </w: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(19,122)</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(6,289)</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(12,833)</w:t>
            </w:r>
          </w:p>
        </w:tc>
        <w:tc>
          <w:tcPr>
            <w:tcW w:w="10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204 %</w:t>
            </w:r>
          </w:p>
        </w:tc>
      </w:tr>
      <w:tr>
        <w:trPr>
          <w:trHeight w:val="20"/>
        </w:trPr>
        <w:tc>
          <w:tcPr>
            <w:tcW w:w="46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4" w:lineRule="exact"/>
        <w:rPr>
          <w:sz w:val="20"/>
          <w:szCs w:val="20"/>
          <w:color w:val="auto"/>
        </w:rPr>
      </w:pPr>
    </w:p>
    <w:p>
      <w:pPr>
        <w:ind w:right="100" w:firstLine="318"/>
        <w:spacing w:after="0" w:line="252" w:lineRule="auto"/>
        <w:rPr>
          <w:sz w:val="20"/>
          <w:szCs w:val="20"/>
          <w:color w:val="auto"/>
        </w:rPr>
      </w:pPr>
      <w:r>
        <w:rPr>
          <w:rFonts w:ascii="Arial" w:cs="Arial" w:eastAsia="Arial" w:hAnsi="Arial"/>
          <w:sz w:val="18"/>
          <w:szCs w:val="18"/>
          <w:color w:val="auto"/>
        </w:rPr>
        <w:t>Research and development expenses were $11.2 million for the six months ended June 30, 2021, compared to $5.2 million for the six months ended June 30, 2020, an increase of $6.0 million, or 115%. The increase was primarily due to a $3.4 million increase in salaries, related benefits, and stock-based compensation due to an increase in headcount to support on-going development of our products, a $1.5 million increase in laboratory supplies and equipment expense and a $0.3 million increase in facilities cost.</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4" w:lineRule="exact"/>
        <w:rPr>
          <w:sz w:val="20"/>
          <w:szCs w:val="20"/>
          <w:color w:val="auto"/>
        </w:rPr>
      </w:pPr>
    </w:p>
    <w:p>
      <w:pPr>
        <w:ind w:right="180" w:firstLine="318"/>
        <w:spacing w:after="0" w:line="330" w:lineRule="auto"/>
        <w:rPr>
          <w:sz w:val="20"/>
          <w:szCs w:val="20"/>
          <w:color w:val="auto"/>
        </w:rPr>
      </w:pPr>
      <w:r>
        <w:rPr>
          <w:rFonts w:ascii="Arial" w:cs="Arial" w:eastAsia="Arial" w:hAnsi="Arial"/>
          <w:sz w:val="15"/>
          <w:szCs w:val="15"/>
          <w:color w:val="auto"/>
        </w:rPr>
        <w:t>General and administrative expenses were $7.9 million for the six months ended June 30, 2021, compared to $1.2 million for the six months ended June 30, 2020, an increase of $6.7 million, or 572%. The increase was primarily due to a $3.7 million increase in salaries, related benefits, and stock-based compensation, a $1.8 million increase in professional services, a $0.2 million increase in facilities costs and a $0.2 million increase in marketing costs.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64"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Other income (expense), net for the six months ended June 30, 2021 as compared to the six months ended June 30, 2020 changed primarily as a result of a $0.1 million increase in amortization of discounts on investments.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64"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Since our inception, we have not generated any revenue from product sales and have incurred significant operating losses and negative cash flows from our operations. Our net loss was $19.1 million for the six months ended June 30, 2021. As of June 30, 2021, we had an accumulated deficit of $49.4 million. Prior to the Business Combination, we funded our operations primarily with proceeds from the sale of convertible preferred stock. Through June 30, 2021, we had raised net proceeds of $108.4 million from these private placements of our convertible preferred stock and had cash, cash equivalents and short-term investments of $373.1 million. In June 2021, in conjunction with the consummation of the Business Combination with ARYA, we received additional gross proceeds of approximately $345.5 million from PIPE Investors and the Business Combination, offset by approximately $18.2 million of transaction costs and underwriters’ fees relating to the closing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40" w:right="339" w:bottom="1440" w:gutter="0" w:footer="0" w:header="0"/>
          <w:type w:val="continuous"/>
        </w:sectPr>
      </w:pPr>
    </w:p>
    <w:bookmarkStart w:id="32" w:name="page33"/>
    <w:bookmarkEnd w:id="32"/>
    <w:p>
      <w:pPr>
        <w:spacing w:after="0" w:line="119" w:lineRule="exact"/>
        <w:rPr>
          <w:sz w:val="20"/>
          <w:szCs w:val="20"/>
          <w:color w:val="auto"/>
        </w:rPr>
      </w:pPr>
    </w:p>
    <w:p>
      <w:pPr>
        <w:ind w:right="720" w:firstLine="318"/>
        <w:spacing w:after="0" w:line="365" w:lineRule="auto"/>
        <w:rPr>
          <w:sz w:val="20"/>
          <w:szCs w:val="20"/>
          <w:color w:val="auto"/>
        </w:rPr>
      </w:pPr>
      <w:r>
        <w:rPr>
          <w:rFonts w:ascii="Arial" w:cs="Arial" w:eastAsia="Arial" w:hAnsi="Arial"/>
          <w:sz w:val="15"/>
          <w:szCs w:val="15"/>
          <w:color w:val="auto"/>
        </w:rPr>
        <w:t>Our primary uses of cash to date have been to fund our research and development activities, business planning, establishing and maintaining our intellectual property portfolio, hiring personnel, raising capital, and providing general and administrative support for these operations.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64" w:lineRule="exact"/>
        <w:rPr>
          <w:sz w:val="20"/>
          <w:szCs w:val="20"/>
          <w:color w:val="auto"/>
        </w:rPr>
      </w:pPr>
    </w:p>
    <w:p>
      <w:pPr>
        <w:ind w:right="260" w:firstLine="318"/>
        <w:spacing w:after="0" w:line="255" w:lineRule="auto"/>
        <w:rPr>
          <w:sz w:val="20"/>
          <w:szCs w:val="20"/>
          <w:color w:val="auto"/>
        </w:rPr>
      </w:pPr>
      <w:r>
        <w:rPr>
          <w:rFonts w:ascii="Arial" w:cs="Arial" w:eastAsia="Arial" w:hAnsi="Arial"/>
          <w:sz w:val="18"/>
          <w:szCs w:val="18"/>
          <w:color w:val="auto"/>
        </w:rPr>
        <w:t>To date, we have not generated any revenue and we may not generate any revenue from the sale of products or from other sources in the near future. Following the completion of the Business Combination, we expect our expenses and capital requirements will increase substantially in connection with our ongoing activities as we:</w:t>
      </w:r>
    </w:p>
    <w:p>
      <w:pPr>
        <w:spacing w:after="0" w:line="135" w:lineRule="exact"/>
        <w:rPr>
          <w:sz w:val="20"/>
          <w:szCs w:val="20"/>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our research and development activities, including with respect to our proteomics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undertake activities to establish sales, marketing and distribution capabilities for our proteomics platform;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setup costs related to production tooling and required testing;</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 how;</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 hire and retain additional management, scientific and administrative personnel;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64"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Based on our planned operations, we expect our current cash, cash equivalents, and short-term investments will be sufficient to fund our operating expenses for at least the next 12 months. We continue to face challenges and uncertainties and, as a result, our available capital resources may be consumed more rapidly than currently expected due to: delays in execution of our development plans; the scope and timing of our investment in our sales, marketing, and distribution capabilities; changes we may make to the business that affect ongoing operating expenses; the costs of filing, prosecuting, defending and enforcing any patent claims and other intellectual property rights; changes we may make in our business or commercialization strategy; changes we may make in our research and development spending plans; our need to implement additional infrastructure and internal systems; the impact of the COVID-19 pandemic; and other items affecting our forecasted level of expenditures and use of cash resources including potential acquisitions.</w:t>
      </w:r>
    </w:p>
    <w:p>
      <w:pPr>
        <w:spacing w:after="0" w:line="104" w:lineRule="exact"/>
        <w:rPr>
          <w:sz w:val="20"/>
          <w:szCs w:val="20"/>
          <w:color w:val="auto"/>
        </w:rPr>
      </w:pPr>
    </w:p>
    <w:p>
      <w:pPr>
        <w:ind w:right="120" w:firstLine="318"/>
        <w:spacing w:after="0" w:line="268" w:lineRule="auto"/>
        <w:rPr>
          <w:sz w:val="20"/>
          <w:szCs w:val="20"/>
          <w:color w:val="auto"/>
        </w:rPr>
      </w:pPr>
      <w:r>
        <w:rPr>
          <w:rFonts w:ascii="Arial" w:cs="Arial" w:eastAsia="Arial" w:hAnsi="Arial"/>
          <w:sz w:val="17"/>
          <w:szCs w:val="17"/>
          <w:color w:val="auto"/>
        </w:rPr>
        <w:t>Until such time as we can generate significant revenue from commercialization of our products, if ever, we will continue to require substantial additional capital to develop our proteomics platform and fund operations for the foreseeable future. We intend to obtain such capital through public or private equity offerings or debt financings, credit or loan facilities or a combination of one or more of these funding sources. We may also seek additional financing opportunistically. We may be unable to raise additional funds on favorable terms or at all. Our failure to raise additional capital, if needed, would have a negative impact on our financial condition and our ability to execute our business plan.</w:t>
      </w:r>
    </w:p>
    <w:p>
      <w:pPr>
        <w:spacing w:after="0" w:line="128"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Our expected future capital requirements depend on many factors including expansion of our product portfolio and the timing and extent of spending on sales and marketing and the development of our technology. If we raise additional funds by issuing equity securities,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 the Six Months Ended June 30, 2021 and 2020</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six months ended June 30, 2021 and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center"/>
              <w:ind w:right="295"/>
              <w:spacing w:after="0"/>
              <w:rPr>
                <w:sz w:val="20"/>
                <w:szCs w:val="20"/>
                <w:color w:val="auto"/>
              </w:rPr>
            </w:pPr>
            <w:r>
              <w:rPr>
                <w:rFonts w:ascii="Arial" w:cs="Arial" w:eastAsia="Arial" w:hAnsi="Arial"/>
                <w:sz w:val="14"/>
                <w:szCs w:val="14"/>
                <w:b w:val="1"/>
                <w:bCs w:val="1"/>
                <w:color w:val="auto"/>
                <w:w w:val="91"/>
              </w:rPr>
              <w:t>Six Months Ended June 30,</w:t>
            </w:r>
          </w:p>
        </w:tc>
      </w:tr>
      <w:tr>
        <w:trPr>
          <w:trHeight w:val="183"/>
        </w:trPr>
        <w:tc>
          <w:tcPr>
            <w:tcW w:w="80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179"/>
        </w:trPr>
        <w:tc>
          <w:tcPr>
            <w:tcW w:w="8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0" w:type="dxa"/>
            <w:vAlign w:val="bottom"/>
            <w:gridSpan w:val="3"/>
          </w:tcPr>
          <w:p>
            <w:pPr>
              <w:jc w:val="center"/>
              <w:ind w:left="579"/>
              <w:spacing w:after="0"/>
              <w:rPr>
                <w:sz w:val="20"/>
                <w:szCs w:val="20"/>
                <w:color w:val="auto"/>
              </w:rPr>
            </w:pPr>
            <w:r>
              <w:rPr>
                <w:rFonts w:ascii="Arial" w:cs="Arial" w:eastAsia="Arial" w:hAnsi="Arial"/>
                <w:sz w:val="14"/>
                <w:szCs w:val="14"/>
                <w:b w:val="1"/>
                <w:bCs w:val="1"/>
                <w:color w:val="auto"/>
                <w:w w:val="89"/>
              </w:rPr>
              <w:t>(in thousands)</w:t>
            </w:r>
          </w:p>
        </w:tc>
        <w:tc>
          <w:tcPr>
            <w:tcW w:w="1040" w:type="dxa"/>
            <w:vAlign w:val="bottom"/>
          </w:tcPr>
          <w:p>
            <w:pPr>
              <w:spacing w:after="0"/>
              <w:rPr>
                <w:sz w:val="15"/>
                <w:szCs w:val="15"/>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9"/>
              </w:rPr>
              <w:t>(14,545)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19"/>
                <w:szCs w:val="19"/>
                <w:color w:val="auto"/>
              </w:rPr>
            </w:pPr>
          </w:p>
        </w:tc>
        <w:tc>
          <w:tcPr>
            <w:tcW w:w="1180" w:type="dxa"/>
            <w:vAlign w:val="bottom"/>
          </w:tcPr>
          <w:p>
            <w:pPr>
              <w:ind w:left="560"/>
              <w:spacing w:after="0"/>
              <w:rPr>
                <w:sz w:val="20"/>
                <w:szCs w:val="20"/>
                <w:color w:val="auto"/>
              </w:rPr>
            </w:pPr>
            <w:r>
              <w:rPr>
                <w:rFonts w:ascii="Arial" w:cs="Arial" w:eastAsia="Arial" w:hAnsi="Arial"/>
                <w:sz w:val="18"/>
                <w:szCs w:val="18"/>
                <w:color w:val="auto"/>
                <w:w w:val="89"/>
              </w:rPr>
              <w:t>(61,048)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(37,687)</w:t>
            </w: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5"/>
              </w:rPr>
              <w:t>327,373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75,861</w:t>
            </w:r>
          </w:p>
        </w:tc>
      </w:tr>
      <w:tr>
        <w:trPr>
          <w:trHeight w:val="219"/>
        </w:trPr>
        <w:tc>
          <w:tcPr>
            <w:tcW w:w="8020" w:type="dxa"/>
            <w:vAlign w:val="bottom"/>
          </w:tcPr>
          <w:p>
            <w:pPr>
              <w:ind w:left="180"/>
              <w:spacing w:after="0"/>
              <w:rPr>
                <w:sz w:val="20"/>
                <w:szCs w:val="20"/>
                <w:color w:val="auto"/>
              </w:rPr>
            </w:pPr>
            <w:r>
              <w:rPr>
                <w:rFonts w:ascii="Arial" w:cs="Arial" w:eastAsia="Arial" w:hAnsi="Arial"/>
                <w:sz w:val="18"/>
                <w:szCs w:val="18"/>
                <w:color w:val="auto"/>
              </w:rPr>
              <w:t>Net increase in cash, cash equivalents and restricted cash</w:t>
            </w: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5"/>
              </w:rPr>
              <w:t>251,780</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32,276</w:t>
            </w:r>
          </w:p>
        </w:tc>
      </w:tr>
      <w:tr>
        <w:trPr>
          <w:trHeight w:val="20"/>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Operating Activities</w:t>
      </w:r>
    </w:p>
    <w:p>
      <w:pPr>
        <w:spacing w:after="0" w:line="164"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During the six months ended June 30, 2021, net cash used in operating activities was $14.5 million, primarily resulting from our operating loss of $19.1 million, offset by non-cash charges aggregating $4.6 million, which primarily included $3.2 million of stock-based compensation and $0.8 million amortization of operating lease right-of-use assets.</w:t>
      </w:r>
    </w:p>
    <w:p>
      <w:pPr>
        <w:spacing w:after="0" w:line="135" w:lineRule="exact"/>
        <w:rPr>
          <w:sz w:val="20"/>
          <w:szCs w:val="20"/>
          <w:color w:val="auto"/>
        </w:rPr>
      </w:pPr>
    </w:p>
    <w:p>
      <w:pPr>
        <w:ind w:right="220" w:firstLine="318"/>
        <w:spacing w:after="0" w:line="252" w:lineRule="auto"/>
        <w:rPr>
          <w:sz w:val="20"/>
          <w:szCs w:val="20"/>
          <w:color w:val="auto"/>
        </w:rPr>
      </w:pPr>
      <w:r>
        <w:rPr>
          <w:rFonts w:ascii="Arial" w:cs="Arial" w:eastAsia="Arial" w:hAnsi="Arial"/>
          <w:sz w:val="18"/>
          <w:szCs w:val="18"/>
          <w:color w:val="auto"/>
        </w:rPr>
        <w:t>During the six months ended June 30, 2020, net cash used in operating activities was $5.9 million, primarily resulting from our operating loss of $6.3 million, offset by non-cash charges aggregating $1.3 million, which primarily included $0.8 million amortization of operating lease right-of-use assets. Net cash used in operating activities was increased by net changes in assets and liabilities aggregating $0.9 million, primarily driven by $0.8 million decrease in operating lease liability.</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Investing Activities</w:t>
      </w:r>
    </w:p>
    <w:p>
      <w:pPr>
        <w:spacing w:after="0" w:line="164"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During the six months ended June 30, 2021, net cash used in investing activities was $61.0 million, primarily resulting from $100.0 million in purchases of securities, partially offset by $40.0 million in proceeds from sale and maturities of securities.</w:t>
      </w:r>
    </w:p>
    <w:p>
      <w:pPr>
        <w:spacing w:after="0" w:line="128"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During the six months ended June 30, 2020, net cash used in investing activities was $37.7 million, primarily resulting from $48.3 million in purchases of securities, partially offset by $11.0 million in proceeds from sale and maturities of securities.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Financing Activities</w:t>
      </w:r>
    </w:p>
    <w:p>
      <w:pPr>
        <w:spacing w:after="0" w:line="164" w:lineRule="exact"/>
        <w:rPr>
          <w:sz w:val="20"/>
          <w:szCs w:val="20"/>
          <w:color w:val="auto"/>
        </w:rPr>
      </w:pPr>
    </w:p>
    <w:p>
      <w:pPr>
        <w:ind w:right="440" w:firstLine="318"/>
        <w:spacing w:after="0" w:line="294" w:lineRule="auto"/>
        <w:rPr>
          <w:sz w:val="20"/>
          <w:szCs w:val="20"/>
          <w:color w:val="auto"/>
        </w:rPr>
      </w:pPr>
      <w:r>
        <w:rPr>
          <w:rFonts w:ascii="Arial" w:cs="Arial" w:eastAsia="Arial" w:hAnsi="Arial"/>
          <w:sz w:val="17"/>
          <w:szCs w:val="17"/>
          <w:color w:val="auto"/>
        </w:rPr>
        <w:t>During the six months ended June 30, 2021, net cash provided by financing activities was $327.4 million, primarily resulting from $335.4 million in proceeds from the Business Combination and PIPE Financing, partially offset by $8.1 million in payments of deferred offering costs.</w:t>
      </w:r>
    </w:p>
    <w:p>
      <w:pPr>
        <w:spacing w:after="0" w:line="104" w:lineRule="exact"/>
        <w:rPr>
          <w:sz w:val="20"/>
          <w:szCs w:val="20"/>
          <w:color w:val="auto"/>
        </w:rPr>
      </w:pPr>
    </w:p>
    <w:p>
      <w:pPr>
        <w:ind w:right="460" w:firstLine="318"/>
        <w:spacing w:after="0" w:line="264" w:lineRule="auto"/>
        <w:rPr>
          <w:sz w:val="20"/>
          <w:szCs w:val="20"/>
          <w:color w:val="auto"/>
        </w:rPr>
      </w:pPr>
      <w:r>
        <w:rPr>
          <w:rFonts w:ascii="Arial" w:cs="Arial" w:eastAsia="Arial" w:hAnsi="Arial"/>
          <w:sz w:val="18"/>
          <w:szCs w:val="18"/>
          <w:color w:val="auto"/>
        </w:rPr>
        <w:t>During the six months ended June 30, 2020, net cash provided by financing activities was $75.9 million from proceeds from issuance of convertible preferred stock, net of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0"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The following table summarizes our contractual obligations as of June 30, 2021 and the effects that such obligations are expected to have on our liquidity and cash flows in future periods: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6"/>
              </w:rPr>
              <w:t>Payments Due by Period</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83"/>
        </w:trPr>
        <w:tc>
          <w:tcPr>
            <w:tcW w:w="308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Less than 1 Year</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1-3 Years</w:t>
            </w: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3-5 Years</w:t>
            </w: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More than 5 years</w:t>
            </w:r>
          </w:p>
        </w:tc>
      </w:tr>
      <w:tr>
        <w:trPr>
          <w:trHeight w:val="179"/>
        </w:trPr>
        <w:tc>
          <w:tcPr>
            <w:tcW w:w="3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26"/>
        </w:trPr>
        <w:tc>
          <w:tcPr>
            <w:tcW w:w="308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22"/>
                <w:szCs w:val="22"/>
                <w:color w:val="auto"/>
                <w:vertAlign w:val="superscript"/>
              </w:rPr>
              <w:t>(1)(2)(3)</w:t>
            </w:r>
          </w:p>
        </w:tc>
        <w:tc>
          <w:tcPr>
            <w:tcW w:w="1000" w:type="dxa"/>
            <w:vAlign w:val="bottom"/>
            <w:shd w:val="clear" w:color="auto" w:fill="CCEEFF"/>
          </w:tcPr>
          <w:p>
            <w:pPr>
              <w:jc w:val="right"/>
              <w:ind w:right="81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25"/>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 obligations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w:t>
            </w:r>
          </w:p>
        </w:tc>
      </w:tr>
      <w:tr>
        <w:trPr>
          <w:trHeight w:val="239"/>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ind w:right="81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minimum payments due for office space and laboratory space under our short-term and long-term leases in San Carlos, California.</w:t>
      </w:r>
    </w:p>
    <w:p>
      <w:pPr>
        <w:ind w:left="320" w:right="140" w:hanging="314"/>
        <w:spacing w:after="0" w:line="237" w:lineRule="auto"/>
        <w:tabs>
          <w:tab w:leader="none" w:pos="312"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 December 2020, we entered into a new lease in San Carlos, California for ten years commencing in September 2021 and expiring in September 2031 with total minimum lease payments of $42.1 million. This lease has not commenced as of June 30, 2021, and therefore is not included in the operating lease obligations.</w:t>
      </w:r>
    </w:p>
    <w:p>
      <w:pPr>
        <w:ind w:left="320" w:right="260" w:hanging="314"/>
        <w:spacing w:after="0" w:line="247" w:lineRule="auto"/>
        <w:tabs>
          <w:tab w:leader="none" w:pos="312"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 July 2021, we entered into a new lease in Seattle, Washington for seven years commencing in August 2021 and expiring in June 2028 with total minimum lease payments of $4.5 million. This lease had not commenced as of June 30, 2021, and therefore is not included in the operating lease obligations.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0"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We currently do not have, and did not have during the periods presented, any off-balance sheet arrangements, as defined in the rules and regulations of the SEC.</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condensed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liabilities, and expenses. We evaluate our estimates and assumptions on an ongoing basis, and base our estimates on historical experience and on various other assumptions that we believe to be reasonable under the circumstances, the results of which form the basis for the judgments we make about the carrying value of assets and liabilities that are not readily apparent from other sources. Because these estimates can vary depending on the situation, actual results may differ from these estimates. Making estimates and judgments about future events is inherently unpredictable and is subject to significant uncertainties, some of which are beyond our control. Should any of these estimates and assumptions change or prove to have been incorrect, it could have a material impact on our results of operations, financial position and statement of cash flows.</w:t>
      </w:r>
    </w:p>
    <w:p>
      <w:pPr>
        <w:spacing w:after="0" w:line="132" w:lineRule="exact"/>
        <w:rPr>
          <w:sz w:val="20"/>
          <w:szCs w:val="20"/>
          <w:color w:val="auto"/>
        </w:rPr>
      </w:pPr>
    </w:p>
    <w:p>
      <w:pPr>
        <w:jc w:val="both"/>
        <w:ind w:right="200" w:firstLine="318"/>
        <w:spacing w:after="0" w:line="255" w:lineRule="auto"/>
        <w:rPr>
          <w:sz w:val="20"/>
          <w:szCs w:val="20"/>
          <w:color w:val="auto"/>
        </w:rPr>
      </w:pPr>
      <w:r>
        <w:rPr>
          <w:rFonts w:ascii="Arial" w:cs="Arial" w:eastAsia="Arial" w:hAnsi="Arial"/>
          <w:sz w:val="18"/>
          <w:szCs w:val="18"/>
          <w:color w:val="auto"/>
        </w:rPr>
        <w:t>Other than the policies noted in Part I, Item 1, Note 2, “Significant Accounting Policies,” in our notes to condensed consolidated financial statements in this Quarterly Report on Form 10-Q, there have been no material changes to our critical accounting policies and estimates as compared to those disclosed in our audited financial statements as of and for the years ended December 31, 2020 and 2019.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0"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color w:val="auto"/>
        </w:rPr>
        <w:t>For a description of recent accounting pronouncements, including the expected dates of adoption and estimated effects, if any, on our condensed consolidated financial statements, see Part I, Item 1, Note 2 “Significant Accounting Policies” in our notes to condensed consolidated financial statements in this Quarterly Report on Form 10-Q.</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Accounting Election</w:t>
      </w:r>
    </w:p>
    <w:p>
      <w:pPr>
        <w:spacing w:after="0" w:line="170"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The Jumpstart Our Business Startups Act of 2012, or the JOBS Act, permits an “emerging growth company” such as us to take advantage of an extended transition period to comply with new or revised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19"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41" w:lineRule="exact"/>
        <w:rPr>
          <w:sz w:val="20"/>
          <w:szCs w:val="20"/>
          <w:color w:val="auto"/>
        </w:rPr>
      </w:pPr>
    </w:p>
    <w:p>
      <w:pPr>
        <w:ind w:right="120" w:firstLine="318"/>
        <w:spacing w:after="0" w:line="302" w:lineRule="auto"/>
        <w:rPr>
          <w:sz w:val="20"/>
          <w:szCs w:val="20"/>
          <w:color w:val="auto"/>
        </w:rPr>
      </w:pPr>
      <w:r>
        <w:rPr>
          <w:rFonts w:ascii="Arial" w:cs="Arial" w:eastAsia="Arial" w:hAnsi="Arial"/>
          <w:sz w:val="15"/>
          <w:szCs w:val="15"/>
          <w:color w:val="auto"/>
        </w:rPr>
        <w:t>We will cease to be an emerging growth company on the date that is the earliest of (i) the last day of the fiscal year in which we have total annual gross revenue of $1.07 billion or more, (ii) the last day of our fiscal year following the fifth anniversary of the date of the closing of ARYA’s initial public offering,</w:t>
      </w:r>
    </w:p>
    <w:p>
      <w:pPr>
        <w:spacing w:after="0" w:line="1" w:lineRule="exact"/>
        <w:rPr>
          <w:sz w:val="20"/>
          <w:szCs w:val="20"/>
          <w:color w:val="auto"/>
        </w:rPr>
      </w:pPr>
    </w:p>
    <w:p>
      <w:pPr>
        <w:ind w:firstLine="6"/>
        <w:spacing w:after="0" w:line="251" w:lineRule="auto"/>
        <w:tabs>
          <w:tab w:leader="none" w:pos="30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in nonconvertible debt during the previous three years or (iv) the date on which we are deemed to be a large accelerated filer under the rules of the Securities and Exchange Commission.</w:t>
      </w:r>
    </w:p>
    <w:p>
      <w:pPr>
        <w:spacing w:after="0" w:line="139"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Further,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 proxy statements.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1440" w:right="359" w:bottom="1440" w:gutter="0" w:footer="0" w:header="0"/>
        </w:sectPr>
      </w:pPr>
    </w:p>
    <w:bookmarkStart w:id="36" w:name="page37"/>
    <w:bookmarkEnd w:id="36"/>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170" w:lineRule="exact"/>
        <w:rPr>
          <w:sz w:val="20"/>
          <w:szCs w:val="20"/>
          <w:color w:val="auto"/>
        </w:rPr>
      </w:pPr>
    </w:p>
    <w:p>
      <w:pPr>
        <w:ind w:right="60" w:firstLine="318"/>
        <w:spacing w:after="0" w:line="294" w:lineRule="auto"/>
        <w:rPr>
          <w:sz w:val="20"/>
          <w:szCs w:val="20"/>
          <w:color w:val="auto"/>
        </w:rPr>
      </w:pPr>
      <w:r>
        <w:rPr>
          <w:rFonts w:ascii="Arial" w:cs="Arial" w:eastAsia="Arial" w:hAnsi="Arial"/>
          <w:sz w:val="17"/>
          <w:szCs w:val="17"/>
          <w:color w:val="auto"/>
        </w:rPr>
        <w:t>Market risk represents the risk of loss that may impact our financial position due to adverse changes in financial market prices and rates. Our market risk exposure is primarily a result of fluctuations in interest rates. We do not hold or issue financial instruments for trading purposes.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64" w:lineRule="exact"/>
        <w:rPr>
          <w:sz w:val="20"/>
          <w:szCs w:val="20"/>
          <w:color w:val="auto"/>
        </w:rPr>
      </w:pPr>
    </w:p>
    <w:p>
      <w:pPr>
        <w:ind w:right="200" w:firstLine="318"/>
        <w:spacing w:after="0" w:line="318" w:lineRule="auto"/>
        <w:rPr>
          <w:sz w:val="20"/>
          <w:szCs w:val="20"/>
          <w:color w:val="auto"/>
        </w:rPr>
      </w:pPr>
      <w:r>
        <w:rPr>
          <w:rFonts w:ascii="Arial" w:cs="Arial" w:eastAsia="Arial" w:hAnsi="Arial"/>
          <w:sz w:val="15"/>
          <w:szCs w:val="15"/>
          <w:color w:val="auto"/>
        </w:rPr>
        <w:t>We had cash, cash equivalents, short-term and long-term investments of $388.4 million and $76.7 million as of June 30, 2021 and December 31, 2020, respectively. The primary goals of our investment policy are liquidity and capital preservation. We do not enter into investments for trading or speculative purposes. We believe that we do not have any material exposure to changes in the fair value of these assets as a result of changes in interest rates due to the short-term nature of our cash and cash equivalents. Declines in interest rates, however, would reduce future investment income.</w:t>
      </w:r>
    </w:p>
    <w:p>
      <w:pPr>
        <w:spacing w:after="0" w:line="9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A hypothetical 1.00% (100 basis points) relative change in interest rates would not have materially impacted the fair value of our marketable securities as of June 30, 2021 and December 31, 2020.</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64"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Inflation generally affects us by increasing our cost of labor and research and development contracts. We do not believe that inflation has had a material effect on our financial results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80"/>
          </w:cols>
          <w:pgMar w:left="320" w:top="1440" w:right="399" w:bottom="1440" w:gutter="0" w:footer="0" w:header="0"/>
        </w:sectPr>
      </w:pPr>
    </w:p>
    <w:bookmarkStart w:id="37" w:name="page38"/>
    <w:bookmarkEnd w:id="37"/>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0" w:lineRule="exact"/>
        <w:rPr>
          <w:sz w:val="20"/>
          <w:szCs w:val="20"/>
          <w:color w:val="auto"/>
        </w:rPr>
      </w:pPr>
    </w:p>
    <w:p>
      <w:pPr>
        <w:ind w:firstLine="318"/>
        <w:spacing w:after="0" w:line="214" w:lineRule="exact"/>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defined in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under the Exchange Act, as of the end of the period covered by this Quarterly Report on Form 10-Q. In designing and evaluating the disclosure controls and procedures, management recognized that any controls and procedures, no matter how well designed and operated, can provide only reasonable and not absolute assurance of achieving the desired control objectives and management necessarily applies its judgment in evaluating the cost benefit relationship of possible controls and procedures. Based on this evaluation, our Chief Executive Officer and Chief Financial Officer concluded that our disclosure controls and procedures were effective at the reasonable assurance level as of June 30, 2021.</w:t>
      </w:r>
    </w:p>
    <w:p>
      <w:pPr>
        <w:spacing w:after="0" w:line="14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4" w:lineRule="exact"/>
        <w:rPr>
          <w:sz w:val="20"/>
          <w:szCs w:val="20"/>
          <w:color w:val="auto"/>
        </w:rPr>
      </w:pPr>
    </w:p>
    <w:p>
      <w:pPr>
        <w:ind w:right="600" w:firstLine="318"/>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June 30, 2021 that has materially affected, or is reasonably likely to materially affect, our internal control over financial reporting.</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164" w:lineRule="exact"/>
        <w:rPr>
          <w:sz w:val="20"/>
          <w:szCs w:val="20"/>
          <w:color w:val="auto"/>
        </w:rPr>
      </w:pPr>
    </w:p>
    <w:p>
      <w:pPr>
        <w:ind w:right="260" w:firstLine="318"/>
        <w:spacing w:after="0" w:line="250"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1440" w:right="359" w:bottom="1440" w:gutter="0" w:footer="0" w:header="0"/>
        </w:sectPr>
      </w:pPr>
    </w:p>
    <w:bookmarkStart w:id="38" w:name="page39"/>
    <w:bookmarkEnd w:id="38"/>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0" w:lineRule="exact"/>
        <w:rPr>
          <w:sz w:val="20"/>
          <w:szCs w:val="20"/>
          <w:color w:val="auto"/>
        </w:rPr>
      </w:pPr>
    </w:p>
    <w:p>
      <w:pPr>
        <w:jc w:val="both"/>
        <w:ind w:right="20" w:firstLine="318"/>
        <w:spacing w:after="0" w:line="252" w:lineRule="auto"/>
        <w:rPr>
          <w:sz w:val="20"/>
          <w:szCs w:val="20"/>
          <w:color w:val="auto"/>
        </w:rPr>
      </w:pPr>
      <w:r>
        <w:rPr>
          <w:rFonts w:ascii="Arial" w:cs="Arial" w:eastAsia="Arial" w:hAnsi="Arial"/>
          <w:sz w:val="18"/>
          <w:szCs w:val="18"/>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0"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on Form 10-Q and in our other public filings, in evaluating our business. If any of the following risks actually occurs, our business, financial condition, results of operations, and future growth prospects would likely be materially and adversely affected. In these circumstances, the market price of our common stock would likely decline.</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Summary Risk Factors</w:t>
      </w:r>
    </w:p>
    <w:p>
      <w:pPr>
        <w:spacing w:after="0" w:line="170"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Our business is subject to numerous risks and uncertainties that you should consider before investing in our company, as more fully described below. The principal factors and uncertainties that make investing in our company risky include, among others:</w:t>
      </w:r>
    </w:p>
    <w:p>
      <w:pPr>
        <w:spacing w:after="0" w:line="128" w:lineRule="exact"/>
        <w:rPr>
          <w:sz w:val="20"/>
          <w:szCs w:val="20"/>
          <w:color w:val="auto"/>
        </w:rPr>
      </w:pPr>
    </w:p>
    <w:p>
      <w:pPr>
        <w:ind w:right="280" w:firstLine="324"/>
        <w:spacing w:after="0" w:line="264" w:lineRule="auto"/>
        <w:tabs>
          <w:tab w:leader="none" w:pos="6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a development stage company that has incurred net losses in every period to date, has not yet commercialized any products, and expects to continue to incur significant losses as we develop our business.</w:t>
      </w:r>
    </w:p>
    <w:p>
      <w:pPr>
        <w:spacing w:after="0" w:line="127" w:lineRule="exact"/>
        <w:rPr>
          <w:rFonts w:ascii="Arial" w:cs="Arial" w:eastAsia="Arial" w:hAnsi="Arial"/>
          <w:sz w:val="18"/>
          <w:szCs w:val="18"/>
          <w:color w:val="auto"/>
        </w:rPr>
      </w:pPr>
    </w:p>
    <w:p>
      <w:pPr>
        <w:ind w:right="100" w:firstLine="324"/>
        <w:spacing w:after="0" w:line="264" w:lineRule="auto"/>
        <w:tabs>
          <w:tab w:leader="none" w:pos="6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business is entirely dependent on the success of our proteomics platform (the “Nautilus Platform”), which remains in the development stage and subject to scientific and technical validation.</w:t>
      </w:r>
    </w:p>
    <w:p>
      <w:pPr>
        <w:spacing w:after="0" w:line="127" w:lineRule="exact"/>
        <w:rPr>
          <w:rFonts w:ascii="Arial" w:cs="Arial" w:eastAsia="Arial" w:hAnsi="Arial"/>
          <w:sz w:val="18"/>
          <w:szCs w:val="18"/>
          <w:color w:val="auto"/>
        </w:rPr>
      </w:pPr>
    </w:p>
    <w:p>
      <w:pPr>
        <w:ind w:right="1080" w:firstLine="324"/>
        <w:spacing w:after="0" w:line="264" w:lineRule="auto"/>
        <w:tabs>
          <w:tab w:leader="none" w:pos="6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able to launch our Nautilus Platform successfully and even if it is successful, we may experience material delays in our commercialization program relative to current expectations.</w:t>
      </w:r>
    </w:p>
    <w:p>
      <w:pPr>
        <w:spacing w:after="0" w:line="127" w:lineRule="exact"/>
        <w:rPr>
          <w:rFonts w:ascii="Arial" w:cs="Arial" w:eastAsia="Arial" w:hAnsi="Arial"/>
          <w:sz w:val="18"/>
          <w:szCs w:val="18"/>
          <w:color w:val="auto"/>
        </w:rPr>
      </w:pPr>
    </w:p>
    <w:p>
      <w:pPr>
        <w:ind w:right="520" w:firstLine="324"/>
        <w:spacing w:after="0" w:line="264" w:lineRule="auto"/>
        <w:tabs>
          <w:tab w:leader="none" w:pos="6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in the future, which makes our future operating results difficult to predict and could cause our operating results to fall below expectations or our guidance.</w:t>
      </w:r>
    </w:p>
    <w:p>
      <w:pPr>
        <w:spacing w:after="0" w:line="127" w:lineRule="exact"/>
        <w:rPr>
          <w:rFonts w:ascii="Arial" w:cs="Arial" w:eastAsia="Arial" w:hAnsi="Arial"/>
          <w:sz w:val="18"/>
          <w:szCs w:val="18"/>
          <w:color w:val="auto"/>
        </w:rPr>
      </w:pPr>
    </w:p>
    <w:p>
      <w:pPr>
        <w:ind w:firstLine="324"/>
        <w:spacing w:after="0" w:line="264" w:lineRule="auto"/>
        <w:tabs>
          <w:tab w:leader="none" w:pos="6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business depends significantly on research and development spending by pharmaceutical companies as well as by academic institutions and other research institutions and any reduction in spending could limit demand for our products.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development and commercialization plans.</w:t>
      </w:r>
    </w:p>
    <w:p>
      <w:pPr>
        <w:spacing w:after="0" w:line="164" w:lineRule="exact"/>
        <w:rPr>
          <w:rFonts w:ascii="Arial" w:cs="Arial" w:eastAsia="Arial" w:hAnsi="Arial"/>
          <w:sz w:val="18"/>
          <w:szCs w:val="18"/>
          <w:color w:val="auto"/>
        </w:rPr>
      </w:pPr>
    </w:p>
    <w:p>
      <w:pPr>
        <w:ind w:right="320" w:firstLine="324"/>
        <w:spacing w:after="0" w:line="264" w:lineRule="auto"/>
        <w:tabs>
          <w:tab w:leader="none" w:pos="6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dependent on single source suppliers for some of the components and materials used in our Nautilus Platform, and the loss of any of these suppliers could harm our business.</w:t>
      </w:r>
    </w:p>
    <w:p>
      <w:pPr>
        <w:spacing w:after="0" w:line="127" w:lineRule="exact"/>
        <w:rPr>
          <w:rFonts w:ascii="Arial" w:cs="Arial" w:eastAsia="Arial" w:hAnsi="Arial"/>
          <w:sz w:val="18"/>
          <w:szCs w:val="18"/>
          <w:color w:val="auto"/>
        </w:rPr>
      </w:pPr>
    </w:p>
    <w:p>
      <w:pPr>
        <w:ind w:right="40" w:firstLine="324"/>
        <w:spacing w:after="0" w:line="294" w:lineRule="auto"/>
        <w:tabs>
          <w:tab w:leader="none" w:pos="631"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be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w:t>
      </w:r>
    </w:p>
    <w:p>
      <w:pPr>
        <w:spacing w:after="0" w:line="104" w:lineRule="exact"/>
        <w:rPr>
          <w:rFonts w:ascii="Arial" w:cs="Arial" w:eastAsia="Arial" w:hAnsi="Arial"/>
          <w:sz w:val="17"/>
          <w:szCs w:val="17"/>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and proprietary rights throughout the world.</w:t>
      </w:r>
    </w:p>
    <w:p>
      <w:pPr>
        <w:spacing w:after="0" w:line="164" w:lineRule="exact"/>
        <w:rPr>
          <w:rFonts w:ascii="Arial" w:cs="Arial" w:eastAsia="Arial" w:hAnsi="Arial"/>
          <w:sz w:val="18"/>
          <w:szCs w:val="18"/>
          <w:color w:val="auto"/>
        </w:rPr>
      </w:pPr>
    </w:p>
    <w:p>
      <w:pPr>
        <w:ind w:right="100" w:firstLine="324"/>
        <w:spacing w:after="0" w:line="330" w:lineRule="auto"/>
        <w:tabs>
          <w:tab w:leader="none" w:pos="631" w:val="left"/>
        </w:tabs>
        <w:numPr>
          <w:ilvl w:val="0"/>
          <w:numId w:val="21"/>
        </w:numPr>
        <w:rPr>
          <w:rFonts w:ascii="Arial" w:cs="Arial" w:eastAsia="Arial" w:hAnsi="Arial"/>
          <w:sz w:val="15"/>
          <w:szCs w:val="15"/>
          <w:color w:val="auto"/>
        </w:rPr>
      </w:pPr>
      <w:r>
        <w:rPr>
          <w:rFonts w:ascii="Arial" w:cs="Arial" w:eastAsia="Arial" w:hAnsi="Arial"/>
          <w:sz w:val="15"/>
          <w:szCs w:val="15"/>
          <w:color w:val="auto"/>
        </w:rPr>
        <w:t>Although our products currently are not labeled or intended for any use which would subject us to regulation by the U.S. Food and Drug Administration (“FDA”) or other regulatory authorities, if we elect to label and promote any of our products as clinical or medical device products, we would be subject to regulation in the future and would be required to obtain prior approval or clearance by the FDA or other regulatory authorities,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could take significant time and expense and could fail to result in FDA clearance or approval for the intended uses we believe are commercially attractive.</w:t>
      </w:r>
    </w:p>
    <w:p>
      <w:pPr>
        <w:spacing w:after="0" w:line="199" w:lineRule="exact"/>
        <w:rPr>
          <w:sz w:val="20"/>
          <w:szCs w:val="20"/>
          <w:color w:val="auto"/>
        </w:rPr>
      </w:pPr>
    </w:p>
    <w:p>
      <w:pPr>
        <w:ind w:right="20" w:firstLine="324"/>
        <w:spacing w:after="0" w:line="318" w:lineRule="auto"/>
        <w:tabs>
          <w:tab w:leader="none" w:pos="631" w:val="left"/>
        </w:tabs>
        <w:numPr>
          <w:ilvl w:val="0"/>
          <w:numId w:val="22"/>
        </w:numPr>
        <w:rPr>
          <w:rFonts w:ascii="Arial" w:cs="Arial" w:eastAsia="Arial" w:hAnsi="Arial"/>
          <w:sz w:val="15"/>
          <w:szCs w:val="15"/>
          <w:color w:val="auto"/>
        </w:rPr>
      </w:pPr>
      <w:r>
        <w:rPr>
          <w:rFonts w:ascii="Arial" w:cs="Arial" w:eastAsia="Arial" w:hAnsi="Arial"/>
          <w:sz w:val="15"/>
          <w:szCs w:val="15"/>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92" w:lineRule="exact"/>
        <w:rPr>
          <w:rFonts w:ascii="Arial" w:cs="Arial" w:eastAsia="Arial" w:hAnsi="Arial"/>
          <w:sz w:val="15"/>
          <w:szCs w:val="15"/>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experience a significant disruption in our information technology systems or breaches of data security.</w:t>
      </w:r>
    </w:p>
    <w:p>
      <w:pPr>
        <w:spacing w:after="0" w:line="164" w:lineRule="exact"/>
        <w:rPr>
          <w:rFonts w:ascii="Arial" w:cs="Arial" w:eastAsia="Arial" w:hAnsi="Arial"/>
          <w:sz w:val="18"/>
          <w:szCs w:val="18"/>
          <w:color w:val="auto"/>
        </w:rPr>
      </w:pPr>
    </w:p>
    <w:p>
      <w:pPr>
        <w:ind w:right="60" w:firstLine="324"/>
        <w:spacing w:after="0" w:line="264" w:lineRule="auto"/>
        <w:tabs>
          <w:tab w:leader="none" w:pos="631"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unable to recruit and retain key executives and scientists, we may not be able to achieve our goals.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operations and financial results could be adversely impacted by the COVID-19 pandemic in the United States and the rest of the world.</w:t>
      </w:r>
    </w:p>
    <w:p>
      <w:pPr>
        <w:spacing w:after="0" w:line="175" w:lineRule="exact"/>
        <w:rPr>
          <w:rFonts w:ascii="Arial" w:cs="Arial" w:eastAsia="Arial" w:hAnsi="Arial"/>
          <w:sz w:val="17"/>
          <w:szCs w:val="17"/>
          <w:color w:val="auto"/>
        </w:rPr>
      </w:pPr>
    </w:p>
    <w:p>
      <w:pPr>
        <w:ind w:right="180" w:firstLine="324"/>
        <w:spacing w:after="0" w:line="255" w:lineRule="auto"/>
        <w:tabs>
          <w:tab w:leader="none" w:pos="63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price of our Common Stock may be volatile, which could result in substantial losses for investors. Further, an active, liquid and orderly trading market for our Common Stock may not be sustained and we do not know what the market price of our Common Stock will be, and as a result it may be difficult for you to sell your shares of our Common Stock.</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Our Business</w:t>
      </w:r>
    </w:p>
    <w:p>
      <w:pPr>
        <w:spacing w:after="0" w:line="170" w:lineRule="exact"/>
        <w:rPr>
          <w:sz w:val="20"/>
          <w:szCs w:val="20"/>
          <w:color w:val="auto"/>
        </w:rPr>
      </w:pPr>
    </w:p>
    <w:p>
      <w:pPr>
        <w:ind w:right="360" w:firstLine="318"/>
        <w:spacing w:after="0" w:line="264" w:lineRule="auto"/>
        <w:rPr>
          <w:sz w:val="20"/>
          <w:szCs w:val="20"/>
          <w:color w:val="auto"/>
        </w:rPr>
      </w:pPr>
      <w:r>
        <w:rPr>
          <w:rFonts w:ascii="Arial" w:cs="Arial" w:eastAsia="Arial" w:hAnsi="Arial"/>
          <w:sz w:val="18"/>
          <w:szCs w:val="18"/>
          <w:b w:val="1"/>
          <w:bCs w:val="1"/>
          <w:i w:val="1"/>
          <w:iCs w:val="1"/>
          <w:color w:val="auto"/>
        </w:rPr>
        <w:t>We are a development stage company that has incurred net losses in every period to date, has not yet commercialized any products, and expects to continue to incur significant losses as we develop our business. We may never achieve profitability.</w:t>
      </w:r>
    </w:p>
    <w:p>
      <w:pPr>
        <w:spacing w:after="0" w:line="128"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We are a development stage company that has incurred net losses in each quarterly and annual period since inception and that has not yet generated any revenue. We expect to incur increasing costs as we continue to devote substantially all of our resources towards the development and anticipated future commercialization of our Nautilus Platform, which includes our end-to-end solution comprised of instruments, consumables, and software analysis. We cannot be certain if we will ever generate revenue or if or when we will produce sufficient revenue from operations to support our costs. Even if profitability is achieved, we may not be able to sustain profitability. We incurred net losses of $10.7 million and $19.1 million during the three and six months ended June 30, 2021, respectively, and net losses of $3.4 million and $6.3 million during the three and six months ended June 30, 2020, respectively. As of June 30, 2021, we had an accumulated deficit of $49.4 million. These losses and accumulated deficit were primarily due to the substantial investments we made in the scientific and technological development of our Nautilus Platform. We expect to incur substantial losses and negative cash flows for the foreseeable future. In addition, as a public company, we will incur significant legal, accounting, and other expenses that we did not incur as a private company. These increased expenses will make it harder for us to achieve and sustain future profitability. We may incur significant losses in the future for a number of reasons, many of which are beyond our control, including the other risks described in this Quarterly Report on Form 10-Q.</w:t>
      </w:r>
    </w:p>
    <w:p>
      <w:pPr>
        <w:spacing w:after="0" w:line="321" w:lineRule="exact"/>
        <w:rPr>
          <w:sz w:val="20"/>
          <w:szCs w:val="20"/>
          <w:color w:val="auto"/>
        </w:rPr>
      </w:pPr>
    </w:p>
    <w:p>
      <w:pPr>
        <w:ind w:right="320" w:firstLine="318"/>
        <w:spacing w:after="0" w:line="252" w:lineRule="auto"/>
        <w:rPr>
          <w:sz w:val="20"/>
          <w:szCs w:val="20"/>
          <w:color w:val="auto"/>
        </w:rPr>
      </w:pPr>
      <w:r>
        <w:rPr>
          <w:rFonts w:ascii="Arial" w:cs="Arial" w:eastAsia="Arial" w:hAnsi="Arial"/>
          <w:sz w:val="18"/>
          <w:szCs w:val="18"/>
          <w:b w:val="1"/>
          <w:bCs w:val="1"/>
          <w:i w:val="1"/>
          <w:iCs w:val="1"/>
          <w:color w:val="auto"/>
        </w:rPr>
        <w:t>Our business is entirely dependent on the success of our Nautilus Platform, which remains in the development stage and subject to scientific and technical validation. If we are unable to develop and commercialize our Nautilus Platform successfully and in a manner that provides currently anticipated functionality and levels of performance, we may never be able to recognize any revenue, and our business, operating results, and financial condition will suffer.</w:t>
      </w:r>
    </w:p>
    <w:p>
      <w:pPr>
        <w:spacing w:after="0" w:line="138" w:lineRule="exact"/>
        <w:rPr>
          <w:sz w:val="20"/>
          <w:szCs w:val="20"/>
          <w:color w:val="auto"/>
        </w:rPr>
      </w:pPr>
    </w:p>
    <w:p>
      <w:pPr>
        <w:ind w:right="40" w:firstLine="318"/>
        <w:spacing w:after="0" w:line="330" w:lineRule="auto"/>
        <w:rPr>
          <w:sz w:val="20"/>
          <w:szCs w:val="20"/>
          <w:color w:val="auto"/>
        </w:rPr>
      </w:pPr>
      <w:r>
        <w:rPr>
          <w:rFonts w:ascii="Arial" w:cs="Arial" w:eastAsia="Arial" w:hAnsi="Arial"/>
          <w:sz w:val="15"/>
          <w:szCs w:val="15"/>
          <w:color w:val="auto"/>
        </w:rPr>
        <w:t>Our future success is entirely dependent on our ability to successfully develop and commercialize our Nautilus Platform, which is based on innovative yet complex and unproven technologies and which is anticipated to be used in demanding scientific research that requires substantial levels of accuracy and precision. We are investing substantially all of our management efforts and financial resources in the development and commercialization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19"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Nautilus Platform. While our goal is to leverage our Nautilus Platform to comprehensively measure the human proteome by the end of 2023, the human proteome is dynamic and far more complex and diverse in structure, composition and number of variants than either the genome or transcriptome. If we cannot successfully complete platform development, if we are unable to achieve our goals for mapping the proteome, if our products fail to deliver currently anticipated functionality and levels of performance, if our products are found by a court of law to infringe the intellectual property of another party, or if we are unable to obtain broad scientific and market acceptance of our products and technologies, we may never recognize material revenue and may be unable to continue our operations.</w:t>
      </w:r>
    </w:p>
    <w:p>
      <w:pPr>
        <w:spacing w:after="0" w:line="143" w:lineRule="exact"/>
        <w:rPr>
          <w:sz w:val="20"/>
          <w:szCs w:val="20"/>
          <w:color w:val="auto"/>
        </w:rPr>
      </w:pPr>
    </w:p>
    <w:p>
      <w:pPr>
        <w:ind w:right="380" w:firstLine="318"/>
        <w:spacing w:after="0" w:line="294" w:lineRule="auto"/>
        <w:rPr>
          <w:sz w:val="20"/>
          <w:szCs w:val="20"/>
          <w:color w:val="auto"/>
        </w:rPr>
      </w:pPr>
      <w:r>
        <w:rPr>
          <w:rFonts w:ascii="Arial" w:cs="Arial" w:eastAsia="Arial" w:hAnsi="Arial"/>
          <w:sz w:val="17"/>
          <w:szCs w:val="17"/>
          <w:b w:val="1"/>
          <w:bCs w:val="1"/>
          <w:i w:val="1"/>
          <w:iCs w:val="1"/>
          <w:color w:val="auto"/>
        </w:rPr>
        <w:t>We have not yet commercially launched our Nautilus Platform. We may not be able to launch our Nautilus Platform successfully and even if it is successful, we may experience material delays in our commercialization program relative to current expectations.</w:t>
      </w:r>
    </w:p>
    <w:p>
      <w:pPr>
        <w:spacing w:after="0" w:line="104"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We anticipate commercializing our Nautilus Platform in three phases involving first collaboration with biopharmaceutical companies and key opinion leaders to validate the performance and utility of our product, during which we do not expect to recognize significant revenue, if any; secondly an early access limited release phase in which we expect to recognize limited revenue; and finally a broader commercial launch phase. We are currently in the collaboration phase during which we are seeking to enter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this phase, we plan to provide early access program partners with broad-scale analysis and profiling of samples analyzed in its facility and shared via a cloud platform. We do not anticipate that the second phase will begin any earlier than the second half of 2022 and do not anticipate that it will result in any material revenue. During this phase, we expect to work closely with early access customers to demonstrate a unique value proposition for our Nautilus Platform. We expect this second phase to continue through the end of 2023 and lead into the third phase of broad commercialization at the end of 2023 and the beginning of 2024. We do not expect to realize any material revenue prior to the second half of 2023.</w:t>
      </w:r>
    </w:p>
    <w:p>
      <w:pPr>
        <w:spacing w:after="0" w:line="109" w:lineRule="exact"/>
        <w:rPr>
          <w:sz w:val="20"/>
          <w:szCs w:val="20"/>
          <w:color w:val="auto"/>
        </w:rPr>
      </w:pPr>
    </w:p>
    <w:p>
      <w:pPr>
        <w:ind w:firstLine="318"/>
        <w:spacing w:after="0" w:line="267" w:lineRule="auto"/>
        <w:rPr>
          <w:sz w:val="20"/>
          <w:szCs w:val="20"/>
          <w:color w:val="auto"/>
        </w:rPr>
      </w:pPr>
      <w:r>
        <w:rPr>
          <w:rFonts w:ascii="Arial" w:cs="Arial" w:eastAsia="Arial" w:hAnsi="Arial"/>
          <w:sz w:val="17"/>
          <w:szCs w:val="17"/>
          <w:color w:val="auto"/>
        </w:rPr>
        <w:t>Achieving the scientific and commercial objectives identified above within currently anticipated timelines will require substantial investments in our technologies and in the underlying science. Scientific and technological development of the nature being undertaken by us is extraordinarily complex, and there can be no assurances that any of these phases of commercial development will be successful or that they will be completed within the timelines currently anticipated. Given the scientific and technical complexity of our products, we could experience material delays in product development and commercial launch. If our research and product development efforts do not result in commercially viable products within the anticipated timelines, our business, operating results, and financial condition will be adversely affected.</w:t>
      </w:r>
    </w:p>
    <w:p>
      <w:pPr>
        <w:spacing w:after="0" w:line="126"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b w:val="1"/>
          <w:bCs w:val="1"/>
          <w:i w:val="1"/>
          <w:iCs w:val="1"/>
          <w:color w:val="auto"/>
        </w:rPr>
        <w:t>The commercialization of our products will require us to establish relationships and successfully collaborate with leading life science companies and research institutions, initially to test and validate our products and subsequently as we seek to expand the markets for our products. We may be unable to establish sufficient collaborations of this nature, and such collaborations could result in agreements that limit or otherwise impair our flexibility to pursue other strategic opportunities.</w:t>
      </w:r>
    </w:p>
    <w:p>
      <w:pPr>
        <w:spacing w:after="0" w:line="138"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As noted above, establishing collaborations and partnerships with large pharmaceutical and biotechnology companies and with major research institutions is a material element of our commercialization strategy. While early collaborations are expected to focus on the assessment and validation of our Nautilus Platform with a focus in part on publication of results in peer-reviewed scientific journals, we also intend to pursue additional, potentially revenue-generating collaborations in areas of biological interest. Among other examples, we may pursue collaborations relating to the development and commercialization of therapeutic product candidates targeting proteins identified by our Nautilus Platform.</w:t>
      </w:r>
    </w:p>
    <w:p>
      <w:pPr>
        <w:spacing w:after="0" w:line="128"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There can be no assurance that we will be successful in developing or maintaining collaborations or that, if established, these collaborations will achieve the desired objectives. Establishing collaborations is difficult and time-consuming. Discussions may not lead to collaborations on favorable terms, if at all, and particularly where we are negotiating against major pharmaceutical companies, we may have relatively less leverage in negotiating favorable terms. To the extent we agree to work exclusively with a party in a given field, our opportunities to collaborate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1440" w:right="359" w:bottom="1440" w:gutter="0" w:footer="0" w:header="0"/>
        </w:sectPr>
      </w:pPr>
    </w:p>
    <w:bookmarkStart w:id="41" w:name="page42"/>
    <w:bookmarkEnd w:id="41"/>
    <w:p>
      <w:pPr>
        <w:spacing w:after="0" w:line="11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others in that field would be limited. Certain parties may seek to partner with other companies in addition to us in connection with a project. This, in turn, may limit the commercial potential of any products that are the subject of such collaborations. Potential collaborators may elect not to work with us based upon their assessment of our financial, regulatory, commercial or intellectual property position.</w:t>
      </w:r>
    </w:p>
    <w:p>
      <w:pPr>
        <w:spacing w:after="0" w:line="135" w:lineRule="exact"/>
        <w:rPr>
          <w:sz w:val="20"/>
          <w:szCs w:val="20"/>
          <w:color w:val="auto"/>
        </w:rPr>
      </w:pPr>
    </w:p>
    <w:p>
      <w:pPr>
        <w:ind w:right="580" w:firstLine="318"/>
        <w:spacing w:after="0" w:line="264" w:lineRule="auto"/>
        <w:rPr>
          <w:sz w:val="20"/>
          <w:szCs w:val="20"/>
          <w:color w:val="auto"/>
        </w:rPr>
      </w:pPr>
      <w:r>
        <w:rPr>
          <w:rFonts w:ascii="Arial" w:cs="Arial" w:eastAsia="Arial" w:hAnsi="Arial"/>
          <w:sz w:val="18"/>
          <w:szCs w:val="18"/>
          <w:color w:val="auto"/>
        </w:rPr>
        <w:t>Even if we are successful in entering into collaborations, the success of such collaborations will depend heavily on the efforts and activities of our collaborators.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Scientific collaborations of the nature we propose to pursue are subject to numerous risks, including that:</w:t>
      </w:r>
    </w:p>
    <w:p>
      <w:pPr>
        <w:spacing w:after="0" w:line="164" w:lineRule="exact"/>
        <w:rPr>
          <w:sz w:val="20"/>
          <w:szCs w:val="20"/>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a specific project;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products or may elect not to continue or renew development or</w:t>
      </w:r>
    </w:p>
    <w:p>
      <w:pPr>
        <w:spacing w:after="0" w:line="16" w:lineRule="exact"/>
        <w:rPr>
          <w:rFonts w:ascii="Arial" w:cs="Arial" w:eastAsia="Arial" w:hAnsi="Arial"/>
          <w:sz w:val="18"/>
          <w:szCs w:val="18"/>
          <w:color w:val="auto"/>
        </w:rPr>
      </w:pPr>
    </w:p>
    <w:p>
      <w:pPr>
        <w:ind w:right="580"/>
        <w:spacing w:after="0" w:line="280" w:lineRule="auto"/>
        <w:rPr>
          <w:rFonts w:ascii="Arial" w:cs="Arial" w:eastAsia="Arial" w:hAnsi="Arial"/>
          <w:sz w:val="18"/>
          <w:szCs w:val="18"/>
          <w:color w:val="auto"/>
        </w:rPr>
      </w:pPr>
      <w:r>
        <w:rPr>
          <w:rFonts w:ascii="Arial" w:cs="Arial" w:eastAsia="Arial" w:hAnsi="Arial"/>
          <w:sz w:val="17"/>
          <w:szCs w:val="17"/>
          <w:color w:val="auto"/>
        </w:rPr>
        <w:t>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115" w:lineRule="exact"/>
        <w:rPr>
          <w:rFonts w:ascii="Arial" w:cs="Arial" w:eastAsia="Arial" w:hAnsi="Arial"/>
          <w:sz w:val="18"/>
          <w:szCs w:val="18"/>
          <w:color w:val="auto"/>
        </w:rPr>
      </w:pPr>
    </w:p>
    <w:p>
      <w:pPr>
        <w:ind w:right="40" w:firstLine="324"/>
        <w:spacing w:after="0" w:line="264" w:lineRule="auto"/>
        <w:tabs>
          <w:tab w:leader="none" w:pos="631"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own intellectual property covering products that result from our collaboration with them, and in such cases, we would not have the right to develop or commercialize such intellectual property;</w:t>
      </w:r>
    </w:p>
    <w:p>
      <w:pPr>
        <w:spacing w:after="0" w:line="127" w:lineRule="exact"/>
        <w:rPr>
          <w:rFonts w:ascii="Arial" w:cs="Arial" w:eastAsia="Arial" w:hAnsi="Arial"/>
          <w:sz w:val="18"/>
          <w:szCs w:val="18"/>
          <w:color w:val="auto"/>
        </w:rPr>
      </w:pPr>
    </w:p>
    <w:p>
      <w:pPr>
        <w:ind w:right="80" w:firstLine="324"/>
        <w:spacing w:after="0" w:line="264" w:lineRule="auto"/>
        <w:tabs>
          <w:tab w:leader="none" w:pos="631"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co-own intellectual property covering products that result from our collaboration with them, and in such cases, we would not have the right to exclude others from developing or commercializing such intellectual property;</w:t>
      </w:r>
    </w:p>
    <w:p>
      <w:pPr>
        <w:spacing w:after="0" w:line="127" w:lineRule="exact"/>
        <w:rPr>
          <w:rFonts w:ascii="Arial" w:cs="Arial" w:eastAsia="Arial" w:hAnsi="Arial"/>
          <w:sz w:val="18"/>
          <w:szCs w:val="18"/>
          <w:color w:val="auto"/>
        </w:rPr>
      </w:pPr>
    </w:p>
    <w:p>
      <w:pPr>
        <w:ind w:right="40" w:firstLine="324"/>
        <w:spacing w:after="0" w:line="264" w:lineRule="auto"/>
        <w:tabs>
          <w:tab w:leader="none" w:pos="631"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product candidates that are being developed under the collaboration with us;</w:t>
      </w:r>
    </w:p>
    <w:p>
      <w:pPr>
        <w:spacing w:after="0" w:line="127" w:lineRule="exact"/>
        <w:rPr>
          <w:rFonts w:ascii="Arial" w:cs="Arial" w:eastAsia="Arial" w:hAnsi="Arial"/>
          <w:sz w:val="18"/>
          <w:szCs w:val="18"/>
          <w:color w:val="auto"/>
        </w:rPr>
      </w:pPr>
    </w:p>
    <w:p>
      <w:pPr>
        <w:ind w:firstLine="324"/>
        <w:spacing w:after="0" w:line="264" w:lineRule="auto"/>
        <w:tabs>
          <w:tab w:leader="none" w:pos="631"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64" w:lineRule="exact"/>
        <w:rPr>
          <w:rFonts w:ascii="Arial" w:cs="Arial" w:eastAsia="Arial" w:hAnsi="Arial"/>
          <w:sz w:val="18"/>
          <w:szCs w:val="18"/>
          <w:color w:val="auto"/>
        </w:rPr>
      </w:pPr>
    </w:p>
    <w:p>
      <w:pPr>
        <w:ind w:right="60" w:firstLine="324"/>
        <w:spacing w:after="0" w:line="255" w:lineRule="auto"/>
        <w:tabs>
          <w:tab w:leader="none" w:pos="631"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35" w:lineRule="exact"/>
        <w:rPr>
          <w:rFonts w:ascii="Arial" w:cs="Arial" w:eastAsia="Arial" w:hAnsi="Arial"/>
          <w:sz w:val="18"/>
          <w:szCs w:val="18"/>
          <w:color w:val="auto"/>
        </w:rPr>
      </w:pPr>
    </w:p>
    <w:p>
      <w:pPr>
        <w:ind w:right="120" w:firstLine="324"/>
        <w:spacing w:after="0" w:line="264" w:lineRule="auto"/>
        <w:tabs>
          <w:tab w:leader="none" w:pos="631"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 the delay or termination of the research, development, or commercialization of products or that result in costly litigation or arbitration that diverts management attention and resources;</w:t>
      </w:r>
    </w:p>
    <w:p>
      <w:pPr>
        <w:spacing w:after="0" w:line="127" w:lineRule="exact"/>
        <w:rPr>
          <w:rFonts w:ascii="Arial" w:cs="Arial" w:eastAsia="Arial" w:hAnsi="Arial"/>
          <w:sz w:val="18"/>
          <w:szCs w:val="18"/>
          <w:color w:val="auto"/>
        </w:rPr>
      </w:pPr>
    </w:p>
    <w:p>
      <w:pPr>
        <w:ind w:right="340" w:firstLine="324"/>
        <w:spacing w:after="0" w:line="264" w:lineRule="auto"/>
        <w:tabs>
          <w:tab w:leader="none" w:pos="631"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in addition to reducing our revenue, may reduce exposure to research and clinical trials that facilitate the collection and incorporation of new information into our platform; and</w:t>
      </w:r>
    </w:p>
    <w:p>
      <w:pPr>
        <w:spacing w:after="0" w:line="127" w:lineRule="exact"/>
        <w:rPr>
          <w:rFonts w:ascii="Arial" w:cs="Arial" w:eastAsia="Arial" w:hAnsi="Arial"/>
          <w:sz w:val="18"/>
          <w:szCs w:val="18"/>
          <w:color w:val="auto"/>
        </w:rPr>
      </w:pPr>
    </w:p>
    <w:p>
      <w:pPr>
        <w:ind w:right="580" w:firstLine="324"/>
        <w:spacing w:after="0" w:line="264" w:lineRule="auto"/>
        <w:tabs>
          <w:tab w:leader="none" w:pos="631"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28" w:lineRule="exact"/>
        <w:rPr>
          <w:sz w:val="20"/>
          <w:szCs w:val="20"/>
          <w:color w:val="auto"/>
        </w:rPr>
      </w:pPr>
    </w:p>
    <w:p>
      <w:pPr>
        <w:ind w:right="360" w:firstLine="318"/>
        <w:spacing w:after="0" w:line="318" w:lineRule="auto"/>
        <w:rPr>
          <w:sz w:val="20"/>
          <w:szCs w:val="20"/>
          <w:color w:val="auto"/>
        </w:rPr>
      </w:pPr>
      <w:r>
        <w:rPr>
          <w:rFonts w:ascii="Arial" w:cs="Arial" w:eastAsia="Arial" w:hAnsi="Arial"/>
          <w:sz w:val="15"/>
          <w:szCs w:val="15"/>
          <w:color w:val="auto"/>
        </w:rPr>
        <w:t>In addition, before obtaining marketing approval from regulatory authorities for the sale of product candidates subject to future collaborations, our collaborators must conduct extensive clinical trials to demonstrate the safety and efficacy of the product candidates. If clinical trials of product candidates resulting from collaborations are prolonged or delayed, collaborators may be unable to obtain required regulatory approvals and therefore be unable to commercialize product candidates on a timely basis or at all, which may have a material impact on the revenue recognized from such collaborations.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Even if we are able to complete development of our Nautilus Platform, we may not achieve or maintain significant commercial market acceptance.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1440" w:right="359" w:bottom="1440" w:gutter="0" w:footer="0" w:header="0"/>
        </w:sectPr>
      </w:pPr>
    </w:p>
    <w:bookmarkStart w:id="42" w:name="page43"/>
    <w:bookmarkEnd w:id="42"/>
    <w:p>
      <w:pPr>
        <w:spacing w:after="0" w:line="119"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Even if we are able to complete development of our Nautilus Platform, the platform will be subject to market forces and adoption curves common to new technologies. The market for novel proteomics technologies and products like those being developed by us is in the early stages of development. While these technologies present the potential to displace legacy products, changing long-standing scientific workflows with new instruments requiring substantial capital expenditures will require us to invest substantial financial and management resources to educate potential customers on the benefits of our Nautilus Platform relative to existing technologies and to validate our Nautilus Platform’s ability to meet customer requirements. In that regard, we anticipate that our initial market focus will be pharmaceutical development and associated research, which are characterized by demanding and exacting requirements for product performance and accuracy. If widespread adoption of our Nautilus Platform takes longer than anticipated or does not occur, our business will be materially and adversely affected.</w:t>
      </w:r>
    </w:p>
    <w:p>
      <w:pPr>
        <w:spacing w:after="0" w:line="128"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More specifically, the successful introduction of new technologies in life science markets requires substantial engagement with the scientific community in order to encourage community acceptance of the utility, performance, and cost of the technology relative to its benefits in the applicable field or fields of research. The life sciences scientific community is often led by a small number of early adopters and key opinion leaders who significantly influence the larger community through publications in peer-reviewed journals. In these journal publications, the researchers describe not only their discoveries but also the methods and typically the products used to fuel these discoveries. We expect that references to the use of our Nautilus Platform in peer-reviewed journal publications will be critical to our ability to obtain widespread acceptance within the scientific community. In addition, continuing collaborative relationships with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customers may be less willing to engage with us concerning our products, which could materially delay our commercialization plan and/or substantially extend our sales cycles. Moreover, these customers may ultimately be less willing to purchase our products, which would adversely affect our business and future revenue.</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Specific, material factors that will influence our ability to achieve market acceptance include the following:</w:t>
      </w:r>
    </w:p>
    <w:p>
      <w:pPr>
        <w:spacing w:after="0" w:line="164" w:lineRule="exact"/>
        <w:rPr>
          <w:sz w:val="20"/>
          <w:szCs w:val="20"/>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our marketing and engagement initiatives to increase awareness of the capabilities of our Nautilus Platform;</w:t>
      </w:r>
    </w:p>
    <w:p>
      <w:pPr>
        <w:spacing w:after="0" w:line="164" w:lineRule="exact"/>
        <w:rPr>
          <w:rFonts w:ascii="Arial" w:cs="Arial" w:eastAsia="Arial" w:hAnsi="Arial"/>
          <w:sz w:val="18"/>
          <w:szCs w:val="18"/>
          <w:color w:val="auto"/>
        </w:rPr>
      </w:pPr>
    </w:p>
    <w:p>
      <w:pPr>
        <w:ind w:right="440" w:firstLine="324"/>
        <w:spacing w:after="0" w:line="264" w:lineRule="auto"/>
        <w:tabs>
          <w:tab w:leader="none" w:pos="63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our Nautilus Platform to demonstrate reliable performance in intended use applications, in particular, when the platform is used by customers in their own research;</w:t>
      </w:r>
    </w:p>
    <w:p>
      <w:pPr>
        <w:spacing w:after="0" w:line="127" w:lineRule="exact"/>
        <w:rPr>
          <w:rFonts w:ascii="Arial" w:cs="Arial" w:eastAsia="Arial" w:hAnsi="Arial"/>
          <w:sz w:val="18"/>
          <w:szCs w:val="18"/>
          <w:color w:val="auto"/>
        </w:rPr>
      </w:pPr>
    </w:p>
    <w:p>
      <w:pPr>
        <w:ind w:right="220" w:firstLine="324"/>
        <w:spacing w:after="0" w:line="264" w:lineRule="auto"/>
        <w:tabs>
          <w:tab w:leader="none" w:pos="631"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demonstrate that the functionality and performance of our Nautilus Platform relative to alternative products and technologies justifies the substantial anticipated cost of the platform;</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willingness of prospective customers to adopt new products and workflows;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ease of use of our Nautilus Platform and whether it reliably provides significant advantages over alternative products and technologies;</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rate of adoption of our Nautilus Platform by biopharmaceutical companies, laboratories, academic institutions and others;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develop new products, workflows, and solutions that meet customer requirements;</w:t>
      </w:r>
    </w:p>
    <w:p>
      <w:pPr>
        <w:spacing w:after="0" w:line="164" w:lineRule="exact"/>
        <w:rPr>
          <w:rFonts w:ascii="Arial" w:cs="Arial" w:eastAsia="Arial" w:hAnsi="Arial"/>
          <w:sz w:val="18"/>
          <w:szCs w:val="18"/>
          <w:color w:val="auto"/>
        </w:rPr>
      </w:pPr>
    </w:p>
    <w:p>
      <w:pPr>
        <w:ind w:right="420" w:firstLine="324"/>
        <w:spacing w:after="0" w:line="264" w:lineRule="auto"/>
        <w:tabs>
          <w:tab w:leader="none" w:pos="63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introduction or development and commercialization by competitors of new products or enhancements to existing products with functionality and/or performance similar to our Nautilus Platform; and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our investments in product innovation and commercial growth.</w:t>
      </w:r>
    </w:p>
    <w:p>
      <w:pPr>
        <w:spacing w:after="0" w:line="164"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We cannot assure you that we will be successful in addressing any of these criteria or any additional criteria that might affect the market acceptance of our products. If we are unsuccessful in achieving and maintaining market acceptance of our Nautilus Platform, our business, financial condition and results of operations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19"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b w:val="1"/>
          <w:bCs w:val="1"/>
          <w:i w:val="1"/>
          <w:iCs w:val="1"/>
          <w:color w:val="auto"/>
        </w:rPr>
        <w:t>We have no experience in manufacturing our products at commercial scale. If we are unable to establish manufacturing capacity by ourselves or with partners in a timely manner after completing development, commercialization of our Nautilus Platform would be delayed, which would result in lost revenue and harm our business.</w:t>
      </w:r>
    </w:p>
    <w:p>
      <w:pPr>
        <w:spacing w:after="0" w:line="135"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In order for us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including our Proteomic Analysis System and related consumables. Among other factors, we will need to develop reliable supply chains for the various components in our platform and consumables to support large-scale commercial production. In connection with our Nautilus Platform,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are no assurances that we will be able to build manufacturing or consumable production capacity internally or find one or more suitable manufacturing or production partners, or both, to meet the volume and quality requirements necessary to be successful in the proteomics market. In addition, in connection with establishing third party relationships or sourcing component supplies, including with respect to reagents and antibodies, we may incur costs that are higher than currently expected and that may adversely affect our gross margins and operating results following commercialization. Assuming we complete development of our Nautilus Platform, we may experience manufacturing and product quality issues as we increase the scale of our production. Any delay or inability in establishing or expanding our manufacturing capacity could diminish our ability to develop or sell our products, result in increased or unanticipated costs, result in lost revenue, and seriously harm our business, results of operations and financial condition.</w:t>
      </w:r>
    </w:p>
    <w:p>
      <w:pPr>
        <w:spacing w:after="0" w:line="324"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b w:val="1"/>
          <w:bCs w:val="1"/>
          <w:i w:val="1"/>
          <w:iCs w:val="1"/>
          <w:color w:val="auto"/>
        </w:rPr>
        <w:t>If we are unable to establish an effective commercial organization, including effective distribution channels and sales and marketing functions, we may not be successful in commercializing our Nautilus Platform.</w:t>
      </w:r>
    </w:p>
    <w:p>
      <w:pPr>
        <w:spacing w:after="0" w:line="128"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We are only beginning to establish an internal organization focused specifically on the commercialization of our Nautilus Platform. Our initial hiring has focused on senior commercial leadership, and although this leadership has considerable industry experience, in order to achieve substantial revenue growth and profitability, we will be required to develop sales, marketing, distribution, customer service, and customer support capabilities. Staffing of these functions will frequently require individuals with the requisite technical and scientific expertise to establish and support sales of a sophisticated and complex platform for life sciences experimentation. We will be required to expend substantial financial resources to hire personnel and develop our commercial operations prior to commercial launch of our Nautilus Platform. Accordingly, these initiatives will adversely affect our operating expenses prior to us having material off-setting revenue, if any.</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 develop these functions successfully, we will face a number of additional risks, including:</w:t>
      </w:r>
    </w:p>
    <w:p>
      <w:pPr>
        <w:spacing w:after="0" w:line="164" w:lineRule="exact"/>
        <w:rPr>
          <w:sz w:val="20"/>
          <w:szCs w:val="20"/>
          <w:color w:val="auto"/>
        </w:rPr>
      </w:pPr>
    </w:p>
    <w:p>
      <w:pPr>
        <w:ind w:right="240" w:firstLine="324"/>
        <w:spacing w:after="0" w:line="255" w:lineRule="auto"/>
        <w:tabs>
          <w:tab w:leader="none" w:pos="631"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attract, retain, and manage the sales, marketing, customer service, and customer support force necessary to commercialize and gain market acceptance for our technology, with the additional challenge that many of these new hires will require specific scientific and technological expertise that may be more difficult to find; and</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time and cost of establishing a specialized sales, marketing and customer service and support force.</w:t>
      </w:r>
    </w:p>
    <w:p>
      <w:pPr>
        <w:spacing w:after="0" w:line="164" w:lineRule="exact"/>
        <w:rPr>
          <w:sz w:val="20"/>
          <w:szCs w:val="20"/>
          <w:color w:val="auto"/>
        </w:rPr>
      </w:pPr>
    </w:p>
    <w:p>
      <w:pPr>
        <w:ind w:right="40" w:firstLine="318"/>
        <w:spacing w:after="0" w:line="267" w:lineRule="auto"/>
        <w:rPr>
          <w:sz w:val="20"/>
          <w:szCs w:val="20"/>
          <w:color w:val="auto"/>
        </w:rPr>
      </w:pPr>
      <w:r>
        <w:rPr>
          <w:rFonts w:ascii="Arial" w:cs="Arial" w:eastAsia="Arial" w:hAnsi="Arial"/>
          <w:sz w:val="17"/>
          <w:szCs w:val="17"/>
          <w:color w:val="auto"/>
        </w:rPr>
        <w:t>In addition to our internal organization, we may seek to enlist one or more third parties to assist with sales, distribution, and customer service and support globally or in certain regions of the world. In certain markets, we could seek to establish partnerships with larger market participants to provide access to their distribution channels and which could also involve scientific or technological collaboration. There is no guarantee, if we do seek to enter into any of these arrangements, that we will be successful in attracting desirable partners or that we will be able to enter into such arrangements on commercially favorable terms. If our commercialization efforts, or those of any third-party partners, are not successful, our Nautilus Platform may not gain market acceptance, which could materially impact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440" w:right="359" w:bottom="1440" w:gutter="0" w:footer="0" w:header="0"/>
        </w:sectPr>
      </w:pPr>
    </w:p>
    <w:bookmarkStart w:id="44" w:name="page45"/>
    <w:bookmarkEnd w:id="44"/>
    <w:p>
      <w:pPr>
        <w:spacing w:after="0" w:line="119" w:lineRule="exact"/>
        <w:rPr>
          <w:sz w:val="20"/>
          <w:szCs w:val="20"/>
          <w:color w:val="auto"/>
        </w:rPr>
      </w:pPr>
    </w:p>
    <w:p>
      <w:pPr>
        <w:ind w:right="440" w:firstLine="318"/>
        <w:spacing w:after="0" w:line="264" w:lineRule="auto"/>
        <w:rPr>
          <w:sz w:val="20"/>
          <w:szCs w:val="20"/>
          <w:color w:val="auto"/>
        </w:rPr>
      </w:pPr>
      <w:r>
        <w:rPr>
          <w:rFonts w:ascii="Arial" w:cs="Arial" w:eastAsia="Arial" w:hAnsi="Arial"/>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28" w:lineRule="exact"/>
        <w:rPr>
          <w:sz w:val="20"/>
          <w:szCs w:val="20"/>
          <w:color w:val="auto"/>
        </w:rPr>
      </w:pPr>
    </w:p>
    <w:p>
      <w:pPr>
        <w:ind w:right="260" w:firstLine="318"/>
        <w:spacing w:after="0" w:line="255"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In the near term, as we devote substantially all of our resources towards the development and anticipated future commercialization of our Nautilus Platform, specific factors that may result in fluctuations include, without limitation:</w:t>
      </w:r>
    </w:p>
    <w:p>
      <w:pPr>
        <w:spacing w:after="0" w:line="135" w:lineRule="exact"/>
        <w:rPr>
          <w:sz w:val="20"/>
          <w:szCs w:val="20"/>
          <w:color w:val="auto"/>
        </w:rPr>
      </w:pPr>
    </w:p>
    <w:p>
      <w:pPr>
        <w:ind w:left="640" w:hanging="316"/>
        <w:spacing w:after="0"/>
        <w:tabs>
          <w:tab w:leader="none" w:pos="6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timing and cost of, and level of investment in, research and development and commercialization activities relating to, our Nautilus Platform;</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ability to successfully establish and successfully maintain appropriate collaborations and derive revenue from those collaborations; and</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successfully develop and commercialize our Nautilus Platform on our anticipated timeline.</w:t>
      </w:r>
    </w:p>
    <w:p>
      <w:pPr>
        <w:spacing w:after="0" w:line="164" w:lineRule="exact"/>
        <w:rPr>
          <w:rFonts w:ascii="Arial" w:cs="Arial" w:eastAsia="Arial" w:hAnsi="Arial"/>
          <w:sz w:val="18"/>
          <w:szCs w:val="18"/>
          <w:color w:val="auto"/>
        </w:rPr>
      </w:pPr>
    </w:p>
    <w:p>
      <w:pPr>
        <w:ind w:right="260" w:firstLine="324"/>
        <w:spacing w:after="0" w:line="264" w:lineRule="auto"/>
        <w:tabs>
          <w:tab w:leader="none" w:pos="631"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we transition from a company with a focus on research and development to a company capable of supporting manufacturing, these fluctuations may also occur due to a variety of other factors, many of which are outside of our control, including, but not limited to:</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level of demand for any products we are able to commercialize, particularly our Nautilus Platform, which may vary significantly from period to</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period;</w:t>
      </w:r>
    </w:p>
    <w:p>
      <w:pPr>
        <w:spacing w:after="0" w:line="152" w:lineRule="exact"/>
        <w:rPr>
          <w:rFonts w:ascii="Arial" w:cs="Arial" w:eastAsia="Arial" w:hAnsi="Arial"/>
          <w:sz w:val="15"/>
          <w:szCs w:val="15"/>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drive adoption of our Nautilus Platform in our target markets and our ability to expand into any future target markets;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prices at which we will be able to sell our Nautilus Platform;</w:t>
      </w:r>
    </w:p>
    <w:p>
      <w:pPr>
        <w:spacing w:after="0" w:line="164" w:lineRule="exact"/>
        <w:rPr>
          <w:rFonts w:ascii="Arial" w:cs="Arial" w:eastAsia="Arial" w:hAnsi="Arial"/>
          <w:sz w:val="18"/>
          <w:szCs w:val="18"/>
          <w:color w:val="auto"/>
        </w:rPr>
      </w:pPr>
    </w:p>
    <w:p>
      <w:pPr>
        <w:ind w:right="560" w:firstLine="324"/>
        <w:spacing w:after="0" w:line="264" w:lineRule="auto"/>
        <w:tabs>
          <w:tab w:leader="none" w:pos="63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volume and mix of our sales between consumables, instruments and software, or changes in the manufacturing or sales costs related to our products;</w:t>
      </w:r>
    </w:p>
    <w:p>
      <w:pPr>
        <w:spacing w:after="0" w:line="127" w:lineRule="exact"/>
        <w:rPr>
          <w:rFonts w:ascii="Arial" w:cs="Arial" w:eastAsia="Arial" w:hAnsi="Arial"/>
          <w:sz w:val="18"/>
          <w:szCs w:val="18"/>
          <w:color w:val="auto"/>
        </w:rPr>
      </w:pPr>
    </w:p>
    <w:p>
      <w:pPr>
        <w:ind w:right="400" w:firstLine="324"/>
        <w:spacing w:after="0" w:line="264" w:lineRule="auto"/>
        <w:tabs>
          <w:tab w:leader="none" w:pos="63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and amount of expenditures that we may incur to develop, commercialize or acquire additional products and technologies or for other purposes, such as the expansion of our facilities;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governmental funding of life sciences research and development or changes that impact budgets and budget cycles;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seasonal spending patterns of our customers;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when we recognize any revenue;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outcome of any future litigation or governmental investigations involving us, our industry or both;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than anticipated service, replacement and warranty costs;</w:t>
      </w:r>
    </w:p>
    <w:p>
      <w:pPr>
        <w:spacing w:after="0" w:line="164" w:lineRule="exact"/>
        <w:rPr>
          <w:rFonts w:ascii="Arial" w:cs="Arial" w:eastAsia="Arial" w:hAnsi="Arial"/>
          <w:sz w:val="18"/>
          <w:szCs w:val="18"/>
          <w:color w:val="auto"/>
        </w:rPr>
      </w:pPr>
    </w:p>
    <w:p>
      <w:pPr>
        <w:ind w:right="260" w:firstLine="324"/>
        <w:spacing w:after="0" w:line="264" w:lineRule="auto"/>
        <w:tabs>
          <w:tab w:leader="none" w:pos="63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the COVID-19 pandemic on the economy, investment in life sciences and research industries, our business operations, and resources and operations of our customers, suppliers, and distributors; and</w:t>
      </w:r>
    </w:p>
    <w:p>
      <w:pPr>
        <w:spacing w:after="0" w:line="127" w:lineRule="exact"/>
        <w:rPr>
          <w:rFonts w:ascii="Arial" w:cs="Arial" w:eastAsia="Arial" w:hAnsi="Arial"/>
          <w:sz w:val="18"/>
          <w:szCs w:val="18"/>
          <w:color w:val="auto"/>
        </w:rPr>
      </w:pPr>
    </w:p>
    <w:p>
      <w:pPr>
        <w:ind w:right="600" w:firstLine="324"/>
        <w:spacing w:after="0" w:line="264" w:lineRule="auto"/>
        <w:tabs>
          <w:tab w:leader="none" w:pos="631"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industry, economic and market conditions and other factors, including factors unrelated to our operating performance or the operating performance of our competitors.</w:t>
      </w:r>
    </w:p>
    <w:p>
      <w:pPr>
        <w:spacing w:after="0" w:line="128"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19"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This variability and unpredictability could also result in us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Common Stock to decline.</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The life sciences technology market is highly competitive. If we fail to compete effectively, our business and results of operation will suffer.</w:t>
      </w:r>
    </w:p>
    <w:p>
      <w:pPr>
        <w:spacing w:after="0" w:line="199" w:lineRule="exact"/>
        <w:rPr>
          <w:sz w:val="20"/>
          <w:szCs w:val="20"/>
          <w:color w:val="auto"/>
        </w:rPr>
      </w:pPr>
    </w:p>
    <w:p>
      <w:pPr>
        <w:ind w:right="200" w:firstLine="318"/>
        <w:spacing w:after="0" w:line="271" w:lineRule="auto"/>
        <w:rPr>
          <w:sz w:val="20"/>
          <w:szCs w:val="20"/>
          <w:color w:val="auto"/>
        </w:rPr>
      </w:pPr>
      <w:r>
        <w:rPr>
          <w:rFonts w:ascii="Arial" w:cs="Arial" w:eastAsia="Arial" w:hAnsi="Arial"/>
          <w:sz w:val="17"/>
          <w:szCs w:val="17"/>
          <w:color w:val="auto"/>
        </w:rPr>
        <w:t>We face significant competition in the life sciences technology market. We currently compete with technology and diagnostic companies that supply components, products, and services to customers engaged in proteomics analysis. These companies include Agilent Technologies; Becton, Dickinson and Company; Bruker Corporation; Danaher; Luminex; Olink Proteomics; Quanterix; SomaLogic; Quantum-Si; and Thermo Fisher Scientific. We also compete with a number of emerging companies that are developing proteomic products and solutions.</w:t>
      </w:r>
    </w:p>
    <w:p>
      <w:pPr>
        <w:spacing w:after="0" w:line="124" w:lineRule="exact"/>
        <w:rPr>
          <w:sz w:val="20"/>
          <w:szCs w:val="20"/>
          <w:color w:val="auto"/>
        </w:rPr>
      </w:pPr>
    </w:p>
    <w:p>
      <w:pPr>
        <w:ind w:right="680" w:firstLine="318"/>
        <w:spacing w:after="0" w:line="264" w:lineRule="auto"/>
        <w:rPr>
          <w:sz w:val="20"/>
          <w:szCs w:val="20"/>
          <w:color w:val="auto"/>
        </w:rPr>
      </w:pPr>
      <w:r>
        <w:rPr>
          <w:rFonts w:ascii="Arial" w:cs="Arial" w:eastAsia="Arial" w:hAnsi="Arial"/>
          <w:sz w:val="18"/>
          <w:szCs w:val="18"/>
          <w:color w:val="auto"/>
        </w:rPr>
        <w:t>Some of our current competitors are large publicly-traded companies, or are divisions of large publicly-traded companies, and enjoy a number of competitive advantages over us, including:</w:t>
      </w:r>
    </w:p>
    <w:p>
      <w:pPr>
        <w:spacing w:after="0" w:line="128" w:lineRule="exact"/>
        <w:rPr>
          <w:sz w:val="20"/>
          <w:szCs w:val="20"/>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greater name and brand recognition;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greater financial and human resources;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broader product lines;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larger sales forces and more established distributor networks;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substantial intellectual property portfolios;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larger and more established customer bases and relationships;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better established, larger scale and lower cost manufacturing capabilities.</w:t>
      </w:r>
    </w:p>
    <w:p>
      <w:pPr>
        <w:spacing w:after="0" w:line="164" w:lineRule="exact"/>
        <w:rPr>
          <w:sz w:val="20"/>
          <w:szCs w:val="20"/>
          <w:color w:val="auto"/>
        </w:rPr>
      </w:pPr>
    </w:p>
    <w:p>
      <w:pPr>
        <w:ind w:right="60" w:firstLine="318"/>
        <w:spacing w:after="0" w:line="312" w:lineRule="auto"/>
        <w:rPr>
          <w:sz w:val="20"/>
          <w:szCs w:val="20"/>
          <w:color w:val="auto"/>
        </w:rPr>
      </w:pPr>
      <w:r>
        <w:rPr>
          <w:rFonts w:ascii="Arial" w:cs="Arial" w:eastAsia="Arial" w:hAnsi="Arial"/>
          <w:sz w:val="15"/>
          <w:szCs w:val="15"/>
          <w:color w:val="auto"/>
        </w:rPr>
        <w:t>We cannot assure investors that our products will compete favorably or that we will be successful in the face of increasing competition from products and technologies introduced by our existing or future competitors or by companies entering our markets or that are developed by our customers internally. In addition, we cannot assure investors that our competitors do not have or will not develop products or technologies that currently or in the future will enable them to produce competitive products with superior functionality or performance or at lower costs than ours or that are able to run comparable experiments at a lower total experiment cost. Any failure to compete effectively could materially and adversely affect our business, financial condition and operating results.</w:t>
      </w:r>
    </w:p>
    <w:p>
      <w:pPr>
        <w:spacing w:after="0" w:line="98"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b w:val="1"/>
          <w:bCs w:val="1"/>
          <w:i w:val="1"/>
          <w:iCs w:val="1"/>
          <w:color w:val="auto"/>
        </w:rPr>
        <w:t>Our business will depend significantly on research and development spending by pharmaceutical companies as well as by academic institutions and other research institutions. Any reduction in spending could limit demand for our products and adversely affect our business, results of operations, financial condition and prospects.</w:t>
      </w:r>
    </w:p>
    <w:p>
      <w:pPr>
        <w:spacing w:after="0" w:line="135" w:lineRule="exact"/>
        <w:rPr>
          <w:sz w:val="20"/>
          <w:szCs w:val="20"/>
          <w:color w:val="auto"/>
        </w:rPr>
      </w:pPr>
    </w:p>
    <w:p>
      <w:pPr>
        <w:ind w:firstLine="318"/>
        <w:spacing w:after="0" w:line="304" w:lineRule="auto"/>
        <w:rPr>
          <w:sz w:val="20"/>
          <w:szCs w:val="20"/>
          <w:color w:val="auto"/>
        </w:rPr>
      </w:pPr>
      <w:r>
        <w:rPr>
          <w:rFonts w:ascii="Arial" w:cs="Arial" w:eastAsia="Arial" w:hAnsi="Arial"/>
          <w:sz w:val="15"/>
          <w:szCs w:val="15"/>
          <w:color w:val="auto"/>
        </w:rPr>
        <w:t>We expect that our revenue in the foreseeable future will be derived primarily from sales of our Nautilus Platform to biotechnology companies and life science laboratories worldwide, and to a lesser extent, academic institutions and non-profit organizations. Our success will depend upon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expenditures by these customers may result in lower than expected system sales and, similarly, reductions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1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operating expenditures by these customers could result in lower than expected sales of our Nautilus Platform. These reductions and delays may result from factors that are not within our control, such as:</w:t>
      </w:r>
    </w:p>
    <w:p>
      <w:pPr>
        <w:spacing w:after="0" w:line="128" w:lineRule="exact"/>
        <w:rPr>
          <w:sz w:val="20"/>
          <w:szCs w:val="20"/>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64" w:lineRule="exact"/>
        <w:rPr>
          <w:sz w:val="20"/>
          <w:szCs w:val="20"/>
          <w:color w:val="auto"/>
        </w:rPr>
      </w:pPr>
    </w:p>
    <w:p>
      <w:pPr>
        <w:ind w:right="60" w:firstLine="318"/>
        <w:spacing w:after="0" w:line="294" w:lineRule="auto"/>
        <w:rPr>
          <w:sz w:val="20"/>
          <w:szCs w:val="20"/>
          <w:color w:val="auto"/>
        </w:rPr>
      </w:pPr>
      <w:r>
        <w:rPr>
          <w:rFonts w:ascii="Arial" w:cs="Arial" w:eastAsia="Arial" w:hAnsi="Arial"/>
          <w:sz w:val="17"/>
          <w:szCs w:val="17"/>
          <w:color w:val="auto"/>
        </w:rPr>
        <w:t>Any decrease in our customers’ budgets or expenditures or in the size, scope or frequency of capital or operating expenditures as a result of the foregoing or other factors could materially and adversely affect our business, results of operations, financial condition, and prospects.</w:t>
      </w:r>
    </w:p>
    <w:p>
      <w:pPr>
        <w:spacing w:after="0" w:line="104"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b w:val="1"/>
          <w:bCs w:val="1"/>
          <w:i w:val="1"/>
          <w:iCs w:val="1"/>
          <w:color w:val="auto"/>
        </w:rPr>
        <w:t>Even if our Nautilus Platform is commercialized and achieves broad scientific and market acceptance, if we fail to improve it or introduce compelling new products, our revenue and our prospects could be harmed.</w:t>
      </w:r>
    </w:p>
    <w:p>
      <w:pPr>
        <w:spacing w:after="0" w:line="12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 life sciences industry is characterized by rapid and significant technological changes, frequent new product introductions and enhancements and evolving industry standards. Even if we are able to commercialize our Nautilus Platform and achieve broad scientific and market acceptance, our ability to attract new customers and increase revenue from existing customers will depend in large part on our ability to enhance and improve our Nautilus Platform and to introduce compelling new products. The success of any enhancement to our Nautilus Platform or introduction of new products depends on several factors, including timely completion and delivery, competitive pricing, adequate quality testing, integration with existing technologies, freedom from intellectual property encumbrance, appropriately timed and staged introduction and overall market acceptance. Any new product or enhancement to our Nautilus Platform that we develop may not be introduced in a timely or cost-effective manner, may contain defects, errors, vulnerabilities or bugs, or may not achieve the market acceptance necessary to generate significant revenue.</w:t>
      </w:r>
    </w:p>
    <w:p>
      <w:pPr>
        <w:spacing w:after="0" w:line="128"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proteomics product platform to meet customer requirements, compete with alternative products, or otherwise gain and maintain market acceptance, our business, results of operations and financial condition could be harmed.</w:t>
      </w:r>
    </w:p>
    <w:p>
      <w:pPr>
        <w:spacing w:after="0" w:line="144"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b w:val="1"/>
          <w:bCs w:val="1"/>
          <w:i w:val="1"/>
          <w:iCs w:val="1"/>
          <w:color w:val="auto"/>
        </w:rPr>
        <w:t>We have a limited operating history, which may make it difficult to evaluate our current business and the prospects for our future viability, and to predict our future performance.</w:t>
      </w:r>
    </w:p>
    <w:p>
      <w:pPr>
        <w:spacing w:after="0" w:line="128" w:lineRule="exact"/>
        <w:rPr>
          <w:sz w:val="20"/>
          <w:szCs w:val="20"/>
          <w:color w:val="auto"/>
        </w:rPr>
      </w:pPr>
    </w:p>
    <w:p>
      <w:pPr>
        <w:ind w:right="20" w:firstLine="318"/>
        <w:spacing w:after="0" w:line="271" w:lineRule="auto"/>
        <w:rPr>
          <w:sz w:val="20"/>
          <w:szCs w:val="20"/>
          <w:color w:val="auto"/>
        </w:rPr>
      </w:pPr>
      <w:r>
        <w:rPr>
          <w:rFonts w:ascii="Arial" w:cs="Arial" w:eastAsia="Arial" w:hAnsi="Arial"/>
          <w:sz w:val="17"/>
          <w:szCs w:val="17"/>
          <w:color w:val="auto"/>
        </w:rPr>
        <w:t>We are a life sciences technology company with a limited operating history. We have not completed development of our Nautilus Platform or any other products and have not generated any revenue to date. Our operations to date have been limited to developing our Nautilus Platform. Our prospects must be considered in light of the uncertainties, risks, expenses, and difficulties frequently encountered by companies in their early stages of operations. Consequently, predictions about our future success or viability are highly uncertain and may not be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1440" w:right="359" w:bottom="1440" w:gutter="0" w:footer="0" w:header="0"/>
        </w:sectPr>
      </w:pPr>
    </w:p>
    <w:bookmarkStart w:id="47" w:name="page48"/>
    <w:bookmarkEnd w:id="47"/>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accurate as they could be if we had a longer operating history or a company history of successfully developing and commercializing products.</w:t>
      </w:r>
    </w:p>
    <w:p>
      <w:pPr>
        <w:spacing w:after="0" w:line="176"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manufacturing and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need to raise additional capital to fund our development and commercialization plans.</w:t>
      </w:r>
    </w:p>
    <w:p>
      <w:pPr>
        <w:spacing w:after="0" w:line="164" w:lineRule="exact"/>
        <w:rPr>
          <w:sz w:val="20"/>
          <w:szCs w:val="20"/>
          <w:color w:val="auto"/>
        </w:rPr>
      </w:pPr>
    </w:p>
    <w:p>
      <w:pPr>
        <w:ind w:right="60" w:firstLine="318"/>
        <w:spacing w:after="0" w:line="312" w:lineRule="auto"/>
        <w:rPr>
          <w:sz w:val="20"/>
          <w:szCs w:val="20"/>
          <w:color w:val="auto"/>
        </w:rPr>
      </w:pPr>
      <w:r>
        <w:rPr>
          <w:rFonts w:ascii="Arial" w:cs="Arial" w:eastAsia="Arial" w:hAnsi="Arial"/>
          <w:sz w:val="15"/>
          <w:szCs w:val="15"/>
          <w:color w:val="auto"/>
        </w:rPr>
        <w:t>Based on our current plans, we believe that our available resources and existing cash and cash equivalents, including the net proceeds from the Business Combination and PIPE Financing, will be sufficient to meet our anticipated cash requirements for at least 12 months from the date of this Quarterly Report on Form 10-Q. If our available resources and existing cash and cash equivalents are insufficient to satisfy our liquidity requirements, including because of the realization of other risks described in this Quarterly Report on Form 10-Q, we may be required to raise additional capital prior to such time through issuances of equity or convertible debt securities, enter into a credit facility or another form of third-party funding or seek other debt financing.</w:t>
      </w:r>
    </w:p>
    <w:p>
      <w:pPr>
        <w:spacing w:after="0" w:line="98" w:lineRule="exact"/>
        <w:rPr>
          <w:sz w:val="20"/>
          <w:szCs w:val="20"/>
          <w:color w:val="auto"/>
        </w:rPr>
      </w:pPr>
    </w:p>
    <w:p>
      <w:pPr>
        <w:ind w:right="660" w:firstLine="318"/>
        <w:spacing w:after="0" w:line="264" w:lineRule="auto"/>
        <w:rPr>
          <w:sz w:val="20"/>
          <w:szCs w:val="20"/>
          <w:color w:val="auto"/>
        </w:rPr>
      </w:pPr>
      <w:r>
        <w:rPr>
          <w:rFonts w:ascii="Arial" w:cs="Arial" w:eastAsia="Arial" w:hAnsi="Arial"/>
          <w:sz w:val="18"/>
          <w:szCs w:val="18"/>
          <w:color w:val="auto"/>
        </w:rPr>
        <w:t>We may consider raising additional capital in the future to expand our business, to pursue strategic investments, to take advantage of financing or acquisition opportunities or for other reasons, including:</w:t>
      </w:r>
    </w:p>
    <w:p>
      <w:pPr>
        <w:spacing w:after="0" w:line="128" w:lineRule="exact"/>
        <w:rPr>
          <w:sz w:val="20"/>
          <w:szCs w:val="20"/>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funding development and marketing efforts of our Nautilus Platform or any other future products;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increasing our sales and marketing and other commercialization efforts to drive market adoption of our Nautilus Platform, once commercialized;</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expanding our technologies into additional markets;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preparing, filing, prosecuting, defending and enforcing any patent claims and other intellectual property rights;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acquiring, licensing or defending against third party intellectual property rights;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acquiring or investing in complementary technologies, businesses or assets;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financing capital expenditures and general and administrative expenses.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64" w:lineRule="exact"/>
        <w:rPr>
          <w:sz w:val="20"/>
          <w:szCs w:val="20"/>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execution of our development plans;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scope and timing of our investment in our sales, marketing, and distribution capabilities;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we may make to our business that affect ongoing operating expenses;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we may make in our business or commercialization strategy;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we may make in our research and development spending plans;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19" w:lineRule="exact"/>
        <w:rPr>
          <w:sz w:val="20"/>
          <w:szCs w:val="20"/>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of the COVID-19 pandemic;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items affecting our forecasted level of expenditures and use of cash resources including potential acquisitions.</w:t>
      </w:r>
    </w:p>
    <w:p>
      <w:pPr>
        <w:spacing w:after="0" w:line="164"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The various ways we could raise additional capital carry potential risks. If we raise funds by issuing equity securities, dilution to our stockholders could result. If we raise funds by issuing debt securities, those debt securities could have rights, preferences and privileges senior to those of holders of our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41"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35"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28"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the Sarbanes-Oxley Act of 2002 (“SOX”) or any subsequent testing by us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spacing w:after="0" w:line="128" w:lineRule="exact"/>
        <w:rPr>
          <w:sz w:val="20"/>
          <w:szCs w:val="20"/>
          <w:color w:val="auto"/>
        </w:rPr>
      </w:pPr>
    </w:p>
    <w:p>
      <w:pPr>
        <w:ind w:right="200" w:firstLine="318"/>
        <w:spacing w:after="0" w:line="267" w:lineRule="auto"/>
        <w:rPr>
          <w:sz w:val="20"/>
          <w:szCs w:val="20"/>
          <w:color w:val="auto"/>
        </w:rPr>
      </w:pPr>
      <w:r>
        <w:rPr>
          <w:rFonts w:ascii="Arial" w:cs="Arial" w:eastAsia="Arial" w:hAnsi="Arial"/>
          <w:sz w:val="17"/>
          <w:szCs w:val="17"/>
          <w:color w:val="auto"/>
        </w:rPr>
        <w:t>We will be required to disclose material changes made in our internal controls over financing reporting and procedures on a quarterly basis and our management will be required to assess the effectiveness of these controls annually. We will be required to make a formal assessment of the effectiveness of our internal control over financial reporting, and once we cease to be an “emerging growth company” under the Tax Cuts and Jobs Act of 2017 (the “JOBS Act”), we will be required to include an attestation report on internal control over financial reporting issued by our independent registered public accounting firm. However, for as long as we are an “emerging growth company,” our independent registered public accounting firm will not be required to attest to the effectiveness of our internal controls over financial reporting pursuant to Section 404(b) of SOX.</w:t>
      </w:r>
    </w:p>
    <w:p>
      <w:pPr>
        <w:spacing w:after="0" w:line="126"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To achieve compliance with Section 404(a) of SOX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An independent assessment of the effectiveness of our internal controls could detect problems that our management’s assessment might not identify.</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Undetected material weaknesses in our internal controls could lead to financial statement restatements and require us to incur the expense of remediation.</w:t>
      </w:r>
    </w:p>
    <w:p>
      <w:pPr>
        <w:spacing w:after="0" w:line="187"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19" w:lineRule="exact"/>
        <w:rPr>
          <w:sz w:val="20"/>
          <w:szCs w:val="20"/>
          <w:color w:val="auto"/>
        </w:rPr>
      </w:pPr>
    </w:p>
    <w:p>
      <w:pPr>
        <w:ind w:right="100" w:firstLine="318"/>
        <w:spacing w:after="0" w:line="303" w:lineRule="auto"/>
        <w:rPr>
          <w:sz w:val="20"/>
          <w:szCs w:val="20"/>
          <w:color w:val="auto"/>
        </w:rPr>
      </w:pPr>
      <w:r>
        <w:rPr>
          <w:rFonts w:ascii="Arial" w:cs="Arial" w:eastAsia="Arial" w:hAnsi="Arial"/>
          <w:sz w:val="15"/>
          <w:szCs w:val="15"/>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spacing w:after="0" w:line="319" w:lineRule="exact"/>
        <w:rPr>
          <w:sz w:val="20"/>
          <w:szCs w:val="20"/>
          <w:color w:val="auto"/>
        </w:rPr>
      </w:pPr>
    </w:p>
    <w:p>
      <w:pPr>
        <w:ind w:right="140" w:firstLine="318"/>
        <w:spacing w:after="0" w:line="294"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04"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We are an “emerging growth company,” as defined in the JOBS Act. For so long as we remain an emerging growth company, we are permitted by SEC rules and plan to rely on exemptions from certain disclosure requirements that are applicable to other SEC registered public companies that are not emerging growth companies. These exemptions include not being required to comply with the auditor attestation requirements of Section 404 of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To the extent that we continue to qualify as a “smaller reporting company,” as such term is defined in Rule 12b-2 under the Securities Exchange Act of 1934, as amended (the “Exchange Act”), after we cease to qualify as an emerging growth company, we will continue to be permitted to make certain reduced disclosures in our periodic reports and other documents that we files with the SEC.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07" w:lineRule="exact"/>
        <w:rPr>
          <w:sz w:val="20"/>
          <w:szCs w:val="20"/>
          <w:color w:val="auto"/>
        </w:rPr>
      </w:pPr>
    </w:p>
    <w:p>
      <w:pPr>
        <w:ind w:right="160" w:firstLine="318"/>
        <w:spacing w:after="0" w:line="312" w:lineRule="auto"/>
        <w:rPr>
          <w:sz w:val="20"/>
          <w:szCs w:val="20"/>
          <w:color w:val="auto"/>
        </w:rPr>
      </w:pPr>
      <w:r>
        <w:rPr>
          <w:rFonts w:ascii="Arial" w:cs="Arial" w:eastAsia="Arial" w:hAnsi="Arial"/>
          <w:sz w:val="15"/>
          <w:szCs w:val="15"/>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98" w:lineRule="exact"/>
        <w:rPr>
          <w:sz w:val="20"/>
          <w:szCs w:val="20"/>
          <w:color w:val="auto"/>
        </w:rPr>
      </w:pPr>
    </w:p>
    <w:p>
      <w:pPr>
        <w:ind w:right="360" w:firstLine="318"/>
        <w:spacing w:after="0" w:line="264" w:lineRule="auto"/>
        <w:rPr>
          <w:sz w:val="20"/>
          <w:szCs w:val="20"/>
          <w:color w:val="auto"/>
        </w:rPr>
      </w:pPr>
      <w:r>
        <w:rPr>
          <w:rFonts w:ascii="Arial" w:cs="Arial" w:eastAsia="Arial" w:hAnsi="Arial"/>
          <w:sz w:val="18"/>
          <w:szCs w:val="18"/>
          <w:b w:val="1"/>
          <w:bCs w:val="1"/>
          <w:i w:val="1"/>
          <w:iCs w:val="1"/>
          <w:color w:val="auto"/>
        </w:rPr>
        <w:t>The size of the markets for our Nautilus Platform may be smaller than estimated, and new market opportunities may not develop as quickly as we expect, or at all, limiting our ability to successfully sell our products.</w:t>
      </w:r>
    </w:p>
    <w:p>
      <w:pPr>
        <w:spacing w:after="0" w:line="128" w:lineRule="exact"/>
        <w:rPr>
          <w:sz w:val="20"/>
          <w:szCs w:val="20"/>
          <w:color w:val="auto"/>
        </w:rPr>
      </w:pPr>
    </w:p>
    <w:p>
      <w:pPr>
        <w:ind w:right="100" w:firstLine="318"/>
        <w:spacing w:after="0" w:line="249" w:lineRule="auto"/>
        <w:rPr>
          <w:sz w:val="20"/>
          <w:szCs w:val="20"/>
          <w:color w:val="auto"/>
        </w:rPr>
      </w:pPr>
      <w:r>
        <w:rPr>
          <w:rFonts w:ascii="Arial" w:cs="Arial" w:eastAsia="Arial" w:hAnsi="Arial"/>
          <w:sz w:val="18"/>
          <w:szCs w:val="18"/>
          <w:color w:val="auto"/>
        </w:rPr>
        <w:t>The market for proteomics technologies and products is evolving, making it difficult to predict with any accuracy the size of the markets for our current and future products, including our Nautilus Platform. Our estimates of the total addressable market for our current and future products, including with respect to the proteomics market, the diagnostic market, and the mass spectrometry market,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19" w:lineRule="exact"/>
        <w:rPr>
          <w:sz w:val="20"/>
          <w:szCs w:val="20"/>
          <w:color w:val="auto"/>
        </w:rPr>
      </w:pPr>
    </w:p>
    <w:p>
      <w:pPr>
        <w:ind w:right="20"/>
        <w:spacing w:after="0" w:line="300" w:lineRule="auto"/>
        <w:rPr>
          <w:sz w:val="20"/>
          <w:szCs w:val="20"/>
          <w:color w:val="auto"/>
        </w:rPr>
      </w:pPr>
      <w:r>
        <w:rPr>
          <w:rFonts w:ascii="Arial" w:cs="Arial" w:eastAsia="Arial" w:hAnsi="Arial"/>
          <w:sz w:val="15"/>
          <w:szCs w:val="15"/>
          <w:color w:val="auto"/>
        </w:rPr>
        <w:t>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market, the proteomics market may develop more slowly or differently. In addition, our Nautilus Platform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324"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320" w:top="1440" w:right="379" w:bottom="1440" w:gutter="0" w:footer="0" w:header="0"/>
        </w:sectPr>
      </w:pPr>
    </w:p>
    <w:bookmarkStart w:id="51" w:name="page52"/>
    <w:bookmarkEnd w:id="51"/>
    <w:p>
      <w:pPr>
        <w:spacing w:after="0" w:line="119"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b w:val="1"/>
          <w:bCs w:val="1"/>
          <w:i w:val="1"/>
          <w:iCs w:val="1"/>
          <w:color w:val="auto"/>
        </w:rPr>
        <w:t>We are dependent on single source suppliers for some of the components and materials used in our Nautilus Platform, and the loss of any of these suppliers could harm our business.</w:t>
      </w:r>
    </w:p>
    <w:p>
      <w:pPr>
        <w:spacing w:after="0" w:line="128"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We rely on single source suppliers for certain components and materials used in our Nautilus Platform, including our click-reagent modified oligos, glass that is nano-fabricated into our biochips and high-speed stage used in the instrument. The loss of any of these single source suppliers would require us to expend significant time and effort to locate and qualify an alternative source of supply for these components. Though we do not currently have contracts for third parties to provide manufacturing capabilities for our Nautilus Platform, if we are successful in reaching the point of manufacturing our products for commercialization, we may rely on a single company for such manufacturing. Any contractual disputes between us and such manufacturer or loss of manufacturing ability by such manufacturer could similarly require significant time, effort and expense to locate and qualify an alternative source of manufacturing, which could materially harm our business.</w:t>
      </w:r>
    </w:p>
    <w:p>
      <w:pPr>
        <w:spacing w:after="0" w:line="132"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We also rely, and expect to continue to rely, on third-party manufacturers and, in many cases, single third-party manufacturers for the production of certain reagents and antibodies needed to generate the deep proteomic information at the speed and scale which we expect our Nautilus Platform to perform. With respect to any antibodies or reagents that are single sourced, the loss of any suppliers would require significant time and effort to locate and qualify an alternative source of supply. Such reagents and antibodies may also become scarce, more expensive to procure, or not meet quality standards, and we may not be able to obtain favorable terms in agreements with suppliers. Given their complexity, our suppliers may not be able to provide these reagents and antibodies in a cost-effective manner or in a time frame that is consistent with our expected future needs. If our suppliers cease or interrupt production or if suppliers fail to supply materials, products or services to us for any reason, such interruption could delay development, or interrupt the commercial supply, with the potential for additional costs and lost revenue. If this were to occur, we might also need to seek alternative means to fulfill our manufacturing needs. Any such transition would require significant efforts in testing and validation and could result in delays or other issues, which could materially harm our business.</w:t>
      </w:r>
    </w:p>
    <w:p>
      <w:pPr>
        <w:spacing w:after="0" w:line="107"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b w:val="1"/>
          <w:bCs w:val="1"/>
          <w:i w:val="1"/>
          <w:iCs w:val="1"/>
          <w:color w:val="auto"/>
        </w:rPr>
        <w:t>Our products could have unknown defects or errors, which may give rise to claims against us and adversely affect market adoption of our Nautilus Platform.</w:t>
      </w:r>
    </w:p>
    <w:p>
      <w:pPr>
        <w:spacing w:after="0" w:line="128" w:lineRule="exact"/>
        <w:rPr>
          <w:sz w:val="20"/>
          <w:szCs w:val="20"/>
          <w:color w:val="auto"/>
        </w:rPr>
      </w:pPr>
    </w:p>
    <w:p>
      <w:pPr>
        <w:ind w:right="200" w:firstLine="318"/>
        <w:spacing w:after="0" w:line="312" w:lineRule="auto"/>
        <w:rPr>
          <w:sz w:val="20"/>
          <w:szCs w:val="20"/>
          <w:color w:val="auto"/>
        </w:rPr>
      </w:pPr>
      <w:r>
        <w:rPr>
          <w:rFonts w:ascii="Arial" w:cs="Arial" w:eastAsia="Arial" w:hAnsi="Arial"/>
          <w:sz w:val="15"/>
          <w:szCs w:val="15"/>
          <w:color w:val="auto"/>
        </w:rPr>
        <w:t>Our Nautilus Platform utilizes novel and complex technology applied on a microscopic scale, using key components that are not amenable to full characterization or quality assessment using conventional techniques or instrumentation, and such systems may develop or contain undetected defects or errors. We cannot assure you that material performance problems, defects or errors will not arise, and as we increase the density and integration of our Nautilus Platform, these risks may increase. We expect to provide warranties that our Nautilus Platform will meet performance expectations or be free from defects. The costs incurred in correcting any defects or errors may be substantial and could adversely affect our operating margins.</w:t>
      </w:r>
    </w:p>
    <w:p>
      <w:pPr>
        <w:spacing w:after="0" w:line="98" w:lineRule="exact"/>
        <w:rPr>
          <w:sz w:val="20"/>
          <w:szCs w:val="20"/>
          <w:color w:val="auto"/>
        </w:rPr>
      </w:pPr>
    </w:p>
    <w:p>
      <w:pPr>
        <w:ind w:right="480" w:firstLine="318"/>
        <w:spacing w:after="0" w:line="277" w:lineRule="auto"/>
        <w:rPr>
          <w:sz w:val="20"/>
          <w:szCs w:val="20"/>
          <w:color w:val="auto"/>
        </w:rPr>
      </w:pPr>
      <w:r>
        <w:rPr>
          <w:rFonts w:ascii="Arial" w:cs="Arial" w:eastAsia="Arial" w:hAnsi="Arial"/>
          <w:sz w:val="17"/>
          <w:szCs w:val="17"/>
          <w:color w:val="auto"/>
        </w:rPr>
        <w:t>In manufacturing our Nautilus Platform,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our products contain defects, we may experience:</w:t>
      </w:r>
    </w:p>
    <w:p>
      <w:pPr>
        <w:spacing w:after="0" w:line="164" w:lineRule="exact"/>
        <w:rPr>
          <w:sz w:val="20"/>
          <w:szCs w:val="20"/>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320" w:top="1440" w:right="379" w:bottom="1440" w:gutter="0" w:footer="0" w:header="0"/>
        </w:sectPr>
      </w:pPr>
    </w:p>
    <w:bookmarkStart w:id="52" w:name="page53"/>
    <w:bookmarkEnd w:id="52"/>
    <w:p>
      <w:pPr>
        <w:spacing w:after="0" w:line="119" w:lineRule="exact"/>
        <w:rPr>
          <w:sz w:val="20"/>
          <w:szCs w:val="20"/>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164" w:lineRule="exact"/>
        <w:rPr>
          <w:rFonts w:ascii="Arial" w:cs="Arial" w:eastAsia="Arial" w:hAnsi="Arial"/>
          <w:sz w:val="18"/>
          <w:szCs w:val="18"/>
          <w:color w:val="auto"/>
        </w:rPr>
      </w:pPr>
    </w:p>
    <w:p>
      <w:pPr>
        <w:ind w:left="320" w:right="280" w:firstLine="4"/>
        <w:spacing w:after="0" w:line="516" w:lineRule="auto"/>
        <w:tabs>
          <w:tab w:leader="none" w:pos="633" w:val="left"/>
        </w:tabs>
        <w:numPr>
          <w:ilvl w:val="0"/>
          <w:numId w:val="33"/>
        </w:numPr>
        <w:rPr>
          <w:rFonts w:ascii="Arial" w:cs="Arial" w:eastAsia="Arial" w:hAnsi="Arial"/>
          <w:sz w:val="15"/>
          <w:szCs w:val="15"/>
          <w:color w:val="auto"/>
        </w:rPr>
      </w:pPr>
      <w:r>
        <w:rPr>
          <w:rFonts w:ascii="Arial" w:cs="Arial" w:eastAsia="Arial" w:hAnsi="Arial"/>
          <w:sz w:val="15"/>
          <w:szCs w:val="15"/>
          <w:color w:val="auto"/>
        </w:rPr>
        <w:t>legal claims against us, including product liability claims, which could be costly and time consuming to defend and result in substantial damages. The occurrence of any one or more of the foregoing could negatively affect our business, financial condition and results of operations.</w:t>
      </w:r>
    </w:p>
    <w:p>
      <w:pPr>
        <w:ind w:right="100" w:firstLine="318"/>
        <w:spacing w:after="0" w:line="294" w:lineRule="auto"/>
        <w:rPr>
          <w:sz w:val="20"/>
          <w:szCs w:val="20"/>
          <w:color w:val="auto"/>
        </w:rPr>
      </w:pPr>
      <w:r>
        <w:rPr>
          <w:rFonts w:ascii="Arial" w:cs="Arial" w:eastAsia="Arial" w:hAnsi="Arial"/>
          <w:sz w:val="17"/>
          <w:szCs w:val="17"/>
          <w:b w:val="1"/>
          <w:bCs w:val="1"/>
          <w:i w:val="1"/>
          <w:iCs w:val="1"/>
          <w:color w:val="auto"/>
        </w:rPr>
        <w:t>If we commercialize our Nautilus Platform outside of the United States, our international business could expose us to business, regulatory, political, operational, financial, and economic risks associated with doing business outside of the United States.</w:t>
      </w:r>
    </w:p>
    <w:p>
      <w:pPr>
        <w:spacing w:after="0" w:line="104" w:lineRule="exact"/>
        <w:rPr>
          <w:sz w:val="20"/>
          <w:szCs w:val="20"/>
          <w:color w:val="auto"/>
        </w:rPr>
      </w:pPr>
    </w:p>
    <w:p>
      <w:pPr>
        <w:ind w:right="200" w:firstLine="318"/>
        <w:spacing w:after="0" w:line="365" w:lineRule="auto"/>
        <w:rPr>
          <w:sz w:val="20"/>
          <w:szCs w:val="20"/>
          <w:color w:val="auto"/>
        </w:rPr>
      </w:pPr>
      <w:r>
        <w:rPr>
          <w:rFonts w:ascii="Arial" w:cs="Arial" w:eastAsia="Arial" w:hAnsi="Arial"/>
          <w:sz w:val="15"/>
          <w:szCs w:val="15"/>
          <w:color w:val="auto"/>
        </w:rPr>
        <w:t>If we commercialize our Nautilus Platform outside of the United States, our international business may be adversely affected by changing economic, political and regulatory conditions in foreign countries. Engaging in international business inherently involves a number of difficulties and risks, including:</w:t>
      </w:r>
    </w:p>
    <w:p>
      <w:pPr>
        <w:spacing w:after="0" w:line="58" w:lineRule="exact"/>
        <w:rPr>
          <w:sz w:val="20"/>
          <w:szCs w:val="20"/>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w:t>
      </w:r>
    </w:p>
    <w:p>
      <w:pPr>
        <w:spacing w:after="0" w:line="164" w:lineRule="exact"/>
        <w:rPr>
          <w:rFonts w:ascii="Arial" w:cs="Arial" w:eastAsia="Arial" w:hAnsi="Arial"/>
          <w:sz w:val="18"/>
          <w:szCs w:val="18"/>
          <w:color w:val="auto"/>
        </w:rPr>
      </w:pPr>
    </w:p>
    <w:p>
      <w:pPr>
        <w:ind w:right="120" w:firstLine="324"/>
        <w:spacing w:after="0" w:line="264" w:lineRule="auto"/>
        <w:tabs>
          <w:tab w:leader="none" w:pos="631"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 Control;</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foreign currency exchange, longer payment cycles and difficulties in enforcing agreements and collecting receivables through certain foreign legal</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systems;</w:t>
      </w:r>
    </w:p>
    <w:p>
      <w:pPr>
        <w:spacing w:after="0" w:line="152" w:lineRule="exact"/>
        <w:rPr>
          <w:rFonts w:ascii="Arial" w:cs="Arial" w:eastAsia="Arial" w:hAnsi="Arial"/>
          <w:sz w:val="15"/>
          <w:szCs w:val="15"/>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64" w:lineRule="exact"/>
        <w:rPr>
          <w:rFonts w:ascii="Arial" w:cs="Arial" w:eastAsia="Arial" w:hAnsi="Arial"/>
          <w:sz w:val="18"/>
          <w:szCs w:val="18"/>
          <w:color w:val="auto"/>
        </w:rPr>
      </w:pPr>
    </w:p>
    <w:p>
      <w:pPr>
        <w:ind w:right="160" w:firstLine="324"/>
        <w:spacing w:after="0" w:line="277" w:lineRule="auto"/>
        <w:tabs>
          <w:tab w:leader="none" w:pos="631"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in social, economic, and political conditions or in laws, regulations and policies governing foreign trade, intellectual property,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spacing w:after="0" w:line="118" w:lineRule="exact"/>
        <w:rPr>
          <w:rFonts w:ascii="Arial" w:cs="Arial" w:eastAsia="Arial" w:hAnsi="Arial"/>
          <w:sz w:val="17"/>
          <w:szCs w:val="17"/>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difficulties protecting, maintaining, enforcing or procuring intellectual property rights.</w:t>
      </w:r>
    </w:p>
    <w:p>
      <w:pPr>
        <w:spacing w:after="0" w:line="164"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28"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In addition, if we commercialize our Nautilus Platform outside of the United States, we intend to rely on distributors for sales of our Nautilus Platform and related products. To do so we must attract distributors and maintain distributors to maximize the commercial opportunity for our platform. There is no guarantee that we will be successful in attracting or retaining desirable sales and distribution partners or that we will be able to enter into such arrangements on favorable terms. Distributors may not commit the necessary resources to market and sell our Nautilus Platform and related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 and our financial results will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80"/>
          </w:cols>
          <w:pgMar w:left="320" w:top="1440" w:right="399" w:bottom="1440" w:gutter="0" w:footer="0" w:header="0"/>
        </w:sectPr>
      </w:pPr>
    </w:p>
    <w:bookmarkStart w:id="53" w:name="page54"/>
    <w:bookmarkEnd w:id="53"/>
    <w:p>
      <w:pPr>
        <w:spacing w:after="0" w:line="119" w:lineRule="exact"/>
        <w:rPr>
          <w:sz w:val="20"/>
          <w:szCs w:val="20"/>
          <w:color w:val="auto"/>
        </w:rPr>
      </w:pPr>
    </w:p>
    <w:p>
      <w:pPr>
        <w:ind w:right="680" w:firstLine="318"/>
        <w:spacing w:after="0" w:line="264" w:lineRule="auto"/>
        <w:rPr>
          <w:sz w:val="20"/>
          <w:szCs w:val="20"/>
          <w:color w:val="auto"/>
        </w:rPr>
      </w:pPr>
      <w:r>
        <w:rPr>
          <w:rFonts w:ascii="Arial" w:cs="Arial" w:eastAsia="Arial" w:hAnsi="Arial"/>
          <w:sz w:val="18"/>
          <w:szCs w:val="18"/>
          <w:b w:val="1"/>
          <w:bCs w:val="1"/>
          <w:i w:val="1"/>
          <w:iCs w:val="1"/>
          <w:color w:val="auto"/>
        </w:rPr>
        <w:t>Demand for our technology could be reduced by legal, social and ethical concerns surrounding the use of genetic information and biological materials.</w:t>
      </w:r>
    </w:p>
    <w:p>
      <w:pPr>
        <w:spacing w:after="0" w:line="128"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Our products may be used to provide genetic information or analyze biological materials from humans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our products, which could have a material adverse effect on our business, financial condition and results of operations.</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If we are sued for product liability, we could face substantial liabilities that exceed our resources.</w:t>
      </w:r>
    </w:p>
    <w:p>
      <w:pPr>
        <w:spacing w:after="0" w:line="164"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The marketing, sale and use of our products could lead to the filing of product liability claims were someone to allege that our products identified inaccurate or incomplete information regarding the proteins analyzed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 Additionally, any product liability lawsuit could damage our reputation, or cause current customers to terminate existing agreements and potential partners to seek other partners, any of which could adversely impact our business, financial condition and results of operations.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We have broad discretion in the use of the net proceeds from the Business Combination and the PIPE Financing and may not use them effectively.</w:t>
      </w:r>
    </w:p>
    <w:p>
      <w:pPr>
        <w:spacing w:after="0" w:line="199"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color w:val="auto"/>
        </w:rPr>
        <w:t>We cannot specify with certainty the particular uses of the net proceeds we received from the Business Combination and the PIPE Financing. Our management will have broad discretion in the application of the net proceeds. Our management may spend a portion or all of the net proceeds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the Business Combination and the PIPE Financing in a manner that does not produce income or that loses value.</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0"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b w:val="1"/>
          <w:bCs w:val="1"/>
          <w:i w:val="1"/>
          <w:iCs w:val="1"/>
          <w:color w:val="auto"/>
        </w:rPr>
        <w:t>If we are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 and our ability to successfully commercialize our products may be impaired.</w:t>
      </w:r>
    </w:p>
    <w:p>
      <w:pPr>
        <w:spacing w:after="0" w:line="135" w:lineRule="exact"/>
        <w:rPr>
          <w:sz w:val="20"/>
          <w:szCs w:val="20"/>
          <w:color w:val="auto"/>
        </w:rPr>
      </w:pPr>
    </w:p>
    <w:p>
      <w:pPr>
        <w:ind w:right="180" w:firstLine="318"/>
        <w:spacing w:after="0" w:line="249" w:lineRule="auto"/>
        <w:rPr>
          <w:sz w:val="20"/>
          <w:szCs w:val="20"/>
          <w:color w:val="auto"/>
        </w:rPr>
      </w:pPr>
      <w:r>
        <w:rPr>
          <w:rFonts w:ascii="Arial" w:cs="Arial" w:eastAsia="Arial" w:hAnsi="Arial"/>
          <w:sz w:val="18"/>
          <w:szCs w:val="18"/>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costs related to litigation or other patent proceedings in our attempts to recover or restrict use of our intellectual property.</w:t>
      </w:r>
    </w:p>
    <w:p>
      <w:pPr>
        <w:spacing w:after="0" w:line="143" w:lineRule="exact"/>
        <w:rPr>
          <w:sz w:val="20"/>
          <w:szCs w:val="20"/>
          <w:color w:val="auto"/>
        </w:rPr>
      </w:pPr>
    </w:p>
    <w:p>
      <w:pPr>
        <w:jc w:val="both"/>
        <w:ind w:right="180" w:firstLine="318"/>
        <w:spacing w:after="0" w:line="255" w:lineRule="auto"/>
        <w:rPr>
          <w:sz w:val="20"/>
          <w:szCs w:val="20"/>
          <w:color w:val="auto"/>
        </w:rPr>
      </w:pPr>
      <w:r>
        <w:rPr>
          <w:rFonts w:ascii="Arial" w:cs="Arial" w:eastAsia="Arial" w:hAnsi="Arial"/>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1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financial condition, results of operations and prospects. Both the patent application process and the process of managing patent and other intellectual property disputes are generally unpredictable, time-consuming and expensive.</w:t>
      </w:r>
    </w:p>
    <w:p>
      <w:pPr>
        <w:spacing w:after="0" w:line="128" w:lineRule="exact"/>
        <w:rPr>
          <w:sz w:val="20"/>
          <w:szCs w:val="20"/>
          <w:color w:val="auto"/>
        </w:rPr>
      </w:pPr>
    </w:p>
    <w:p>
      <w:pPr>
        <w:ind w:right="80" w:firstLine="318"/>
        <w:spacing w:after="0" w:line="263" w:lineRule="auto"/>
        <w:rPr>
          <w:sz w:val="20"/>
          <w:szCs w:val="20"/>
          <w:color w:val="auto"/>
        </w:rPr>
      </w:pPr>
      <w:r>
        <w:rPr>
          <w:rFonts w:ascii="Arial" w:cs="Arial" w:eastAsia="Arial" w:hAnsi="Arial"/>
          <w:sz w:val="17"/>
          <w:szCs w:val="17"/>
          <w:color w:val="auto"/>
        </w:rPr>
        <w:t>Our success depends in large part on our and any future licensor’s ability to obtain and maintain protection of the intellectual property we may own or license, whether solely or jointly, particularly patents, in the United States and other countries with respect to our products and technologies. We apply for patents to protect our products, technologies and commercial activities,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which may be licensed from or to third parties. In connection with any future licensing arrangements with third parties, these patents and applications may not be prosecuted and enforced by such third parties in a manner consistent with the best interests of our business.</w:t>
      </w:r>
    </w:p>
    <w:p>
      <w:pPr>
        <w:spacing w:after="0" w:line="135" w:lineRule="exact"/>
        <w:rPr>
          <w:sz w:val="20"/>
          <w:szCs w:val="20"/>
          <w:color w:val="auto"/>
        </w:rPr>
      </w:pPr>
    </w:p>
    <w:p>
      <w:pPr>
        <w:ind w:right="40" w:firstLine="318"/>
        <w:spacing w:after="0" w:line="300" w:lineRule="auto"/>
        <w:rPr>
          <w:sz w:val="20"/>
          <w:szCs w:val="20"/>
          <w:color w:val="auto"/>
        </w:rPr>
      </w:pPr>
      <w:r>
        <w:rPr>
          <w:rFonts w:ascii="Arial" w:cs="Arial" w:eastAsia="Arial" w:hAnsi="Arial"/>
          <w:sz w:val="15"/>
          <w:szCs w:val="15"/>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jurisdictions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issued, the patents may not provide a basis for intellectual property protection of commercially viable products or services, may not provide us with any competitive advantages, or may be challenged, narrowed or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any future licensed patents or patent applications may be challenged at a future point in time and we may not be successful in defending any such challenges made against our patents or patent applications. Any successful third-party challenge to our patents could result in diminished or lost rights, for example, due to narrowing, unenforceability or invalidity of such patents and increased competition to our business. The outcome of patent litigation or other proceedings is generally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324"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28"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(AIA). These changes include, among others, allowing third-party submission of prior art to the United States Patent and Trademark Office (USPTO) during patent prosecution and additional procedures to challenge the validity of a patent by USPTO administered post-grant proceedings, including post-grant review, inter partes review and derivation proceedings. The changes brought about by the AIA have not been extensively tested, and therefore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04" w:lineRule="exact"/>
        <w:rPr>
          <w:sz w:val="20"/>
          <w:szCs w:val="20"/>
          <w:color w:val="auto"/>
        </w:rPr>
      </w:pPr>
    </w:p>
    <w:p>
      <w:pPr>
        <w:ind w:right="660" w:firstLine="318"/>
        <w:spacing w:after="0" w:line="264" w:lineRule="auto"/>
        <w:rPr>
          <w:sz w:val="20"/>
          <w:szCs w:val="20"/>
          <w:color w:val="auto"/>
        </w:rPr>
      </w:pPr>
      <w:r>
        <w:rPr>
          <w:rFonts w:ascii="Arial" w:cs="Arial" w:eastAsia="Arial" w:hAnsi="Arial"/>
          <w:sz w:val="18"/>
          <w:szCs w:val="18"/>
          <w:color w:val="auto"/>
        </w:rPr>
        <w:t>Various courts, including the U.S. Supreme Court, have recently rendered decisions that impact the scope of patentability of certain inventions or discoveries relating to our technology and commercial goals. Specifically,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19"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matters that underlies our technology and commercial goals are impacted by these changes.</w:t>
      </w:r>
    </w:p>
    <w:p>
      <w:pPr>
        <w:spacing w:after="0" w:line="93"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Actions taken by the U.S. Congress, federal courts and USPTO have from time to time narrowed the scope of patent protection available in certain circumstances and weakened the rights of patent owners in certain situations. Similar changes have been made by authorities in other jurisdictions. In addition to increasing uncertainty with regard to our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43" w:lineRule="exact"/>
        <w:rPr>
          <w:sz w:val="20"/>
          <w:szCs w:val="20"/>
          <w:color w:val="auto"/>
        </w:rPr>
      </w:pPr>
    </w:p>
    <w:p>
      <w:pPr>
        <w:jc w:val="both"/>
        <w:ind w:right="140" w:firstLine="318"/>
        <w:spacing w:after="0" w:line="250" w:lineRule="auto"/>
        <w:rPr>
          <w:sz w:val="20"/>
          <w:szCs w:val="20"/>
          <w:color w:val="auto"/>
        </w:rPr>
      </w:pPr>
      <w:r>
        <w:rPr>
          <w:rFonts w:ascii="Arial" w:cs="Arial" w:eastAsia="Arial" w:hAnsi="Arial"/>
          <w:sz w:val="18"/>
          <w:szCs w:val="18"/>
          <w:color w:val="auto"/>
        </w:rPr>
        <w:t>We cannot assure you that our patent portfolio will not be negatively impacted by the current uncertain state of the law, new court rulings or changes in guidance or procedures issued by governments or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64" w:lineRule="exact"/>
        <w:rPr>
          <w:sz w:val="20"/>
          <w:szCs w:val="20"/>
          <w:color w:val="auto"/>
        </w:rPr>
      </w:pPr>
    </w:p>
    <w:p>
      <w:pPr>
        <w:ind w:right="520" w:firstLine="318"/>
        <w:spacing w:after="0" w:line="294" w:lineRule="auto"/>
        <w:rPr>
          <w:sz w:val="20"/>
          <w:szCs w:val="20"/>
          <w:color w:val="auto"/>
        </w:rPr>
      </w:pPr>
      <w:r>
        <w:rPr>
          <w:rFonts w:ascii="Arial" w:cs="Arial" w:eastAsia="Arial" w:hAnsi="Arial"/>
          <w:sz w:val="17"/>
          <w:szCs w:val="17"/>
          <w:color w:val="auto"/>
        </w:rPr>
        <w:t>Filing, prosecuting and defending patents on our Nautilus Platform in all countries throughout the world would be prohibitively expensive, and our intellectual property rights in some countries outside the United States can be less extensive than those in the United States.</w:t>
      </w:r>
    </w:p>
    <w:p>
      <w:pPr>
        <w:spacing w:after="0" w:line="104" w:lineRule="exact"/>
        <w:rPr>
          <w:sz w:val="20"/>
          <w:szCs w:val="20"/>
          <w:color w:val="auto"/>
        </w:rPr>
      </w:pPr>
    </w:p>
    <w:p>
      <w:pPr>
        <w:ind w:right="80" w:firstLine="318"/>
        <w:spacing w:after="0" w:line="303" w:lineRule="auto"/>
        <w:rPr>
          <w:sz w:val="20"/>
          <w:szCs w:val="20"/>
          <w:color w:val="auto"/>
        </w:rPr>
      </w:pPr>
      <w:r>
        <w:rPr>
          <w:rFonts w:ascii="Arial" w:cs="Arial" w:eastAsia="Arial" w:hAnsi="Arial"/>
          <w:sz w:val="15"/>
          <w:szCs w:val="15"/>
          <w:color w:val="auto"/>
        </w:rPr>
        <w:t>The laws of some foreign countries do not protect intellectual property rights to the same extent as the laws of the United States, and we and any future licensor may encounter difficulties in protecting and defending such rights in foreign jurisdictions. Consequently, we and any future licensor may not be able to prevent third parties from practicing our inventions in some or all countries outside the United States, or from selling or importing products made using our or any future licensor’s inventions in and into the United States or other jurisdictions. Competitors and other third parties may be able to use our technologies in jurisdictions where we have not obtained patent protection to develop our own products and technologies and may also export infringing products to territories where we have patent protection, but enforcement is not as strong as that in the United States. These products may compete with our products. We and any future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319"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companies or companies headquartered in particular jurisdictions over our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132"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Proceedings to enforce our or any future licensor’s patent rights in foreign jurisdictions could result in substantial cost and divert our efforts and attention from other aspects of our business, could put our and any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19"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licensor’s patents at risk of being invalidated or interpreted narrowly and our and any future licensor’s patent applications at risk of not issuing, and could provoke third parties to assert claims against us. We and any future licensor may not prevail in any lawsuits that we and any future licensor initiates, or that are initiated against us or any future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04"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35" w:lineRule="exact"/>
        <w:rPr>
          <w:sz w:val="20"/>
          <w:szCs w:val="20"/>
          <w:color w:val="auto"/>
        </w:rPr>
      </w:pPr>
    </w:p>
    <w:p>
      <w:pPr>
        <w:ind w:right="60" w:firstLine="318"/>
        <w:spacing w:after="0" w:line="303" w:lineRule="auto"/>
        <w:rPr>
          <w:sz w:val="20"/>
          <w:szCs w:val="20"/>
          <w:color w:val="auto"/>
        </w:rPr>
      </w:pPr>
      <w:r>
        <w:rPr>
          <w:rFonts w:ascii="Arial" w:cs="Arial" w:eastAsia="Arial" w:hAnsi="Arial"/>
          <w:sz w:val="15"/>
          <w:szCs w:val="15"/>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 Patent and Trademark Office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or a competitor may have already obtained an exclusive license to such technology in all fields. Even if such licenses are obtainable, they may not be available at a reasonable cost. We could therefore incur substantial costs related to royalty payments for licenses obtained from third parties, which could negatively affect our gross margins. In some cases, the outcome of litigation may be to enjoin us from commercializing a patent protected technology. We could encounter delays in product introductions, or interruptions in product sales, as we develop alternative methods or products.</w:t>
      </w:r>
    </w:p>
    <w:p>
      <w:pPr>
        <w:spacing w:after="0" w:line="319" w:lineRule="exact"/>
        <w:rPr>
          <w:sz w:val="20"/>
          <w:szCs w:val="20"/>
          <w:color w:val="auto"/>
        </w:rPr>
      </w:pPr>
    </w:p>
    <w:p>
      <w:pPr>
        <w:ind w:right="120" w:firstLine="318"/>
        <w:spacing w:after="0" w:line="294" w:lineRule="auto"/>
        <w:rPr>
          <w:sz w:val="20"/>
          <w:szCs w:val="20"/>
          <w:color w:val="auto"/>
        </w:rPr>
      </w:pPr>
      <w:r>
        <w:rPr>
          <w:rFonts w:ascii="Arial" w:cs="Arial" w:eastAsia="Arial" w:hAnsi="Arial"/>
          <w:sz w:val="17"/>
          <w:szCs w:val="17"/>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spacing w:after="0" w:line="104" w:lineRule="exact"/>
        <w:rPr>
          <w:sz w:val="20"/>
          <w:szCs w:val="20"/>
          <w:color w:val="auto"/>
        </w:rPr>
      </w:pPr>
    </w:p>
    <w:p>
      <w:pPr>
        <w:ind w:right="20" w:firstLine="318"/>
        <w:spacing w:after="0" w:line="309" w:lineRule="auto"/>
        <w:rPr>
          <w:sz w:val="20"/>
          <w:szCs w:val="20"/>
          <w:color w:val="auto"/>
        </w:rPr>
      </w:pPr>
      <w:r>
        <w:rPr>
          <w:rFonts w:ascii="Arial" w:cs="Arial" w:eastAsia="Arial" w:hAnsi="Arial"/>
          <w:sz w:val="15"/>
          <w:szCs w:val="15"/>
          <w:color w:val="auto"/>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life sciences market and competitors may assert that our products infringe their intellectual property rights as part of a business strategy to impede our successful entry into those markets. Third parties may assert that we are employing our proprietary technology without authorization. We are aware that there are issued third party patents that are in the general proteomics field. Specifically, we are aware of various U.S. patents and U.S. non-provisional applications assigned to Washington University and the National Institute of Health, with claims directed to characterizing and identifying a polypeptide strand.</w:t>
      </w:r>
    </w:p>
    <w:p>
      <w:pPr>
        <w:spacing w:after="0" w:line="99"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auto"/>
        </w:rPr>
        <w:t>In addition, our competitors and others may have patents or may in the future obtain patents and may claim that use of our products infringes these patents. As we move into new markets and applications for our products, incumbent participants in such markets may assert their patents and other proprietary rights against us as a means of slowing or preventing our entry into such markets, or as a means to extract substantial license and royalty payments from us.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Issued patents covering our products could be found invalid or unenforceable if challenged.</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owned and any future licensed patents and patent applications may be subject to validity, enforceability and priority disputes. The issuance of a patent is not conclusive as to its inventorship, scope, validity or enforceability. Some of our patents or patent applications may be challenged at a future point in time in opposition, derivation,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19"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 xml:space="preserve">reexamination,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any future licensor initiates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but not limited to,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ex parte re-examination,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us, any future licensor,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for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322" w:lineRule="exact"/>
        <w:rPr>
          <w:sz w:val="20"/>
          <w:szCs w:val="20"/>
          <w:color w:val="auto"/>
        </w:rPr>
      </w:pPr>
    </w:p>
    <w:p>
      <w:pPr>
        <w:ind w:right="140" w:firstLine="318"/>
        <w:spacing w:after="0" w:line="302" w:lineRule="auto"/>
        <w:rPr>
          <w:sz w:val="20"/>
          <w:szCs w:val="20"/>
          <w:color w:val="auto"/>
        </w:rPr>
      </w:pPr>
      <w:r>
        <w:rPr>
          <w:rFonts w:ascii="Arial" w:cs="Arial" w:eastAsia="Arial" w:hAnsi="Arial"/>
          <w:sz w:val="15"/>
          <w:szCs w:val="15"/>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04"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28" w:lineRule="exact"/>
        <w:rPr>
          <w:sz w:val="20"/>
          <w:szCs w:val="20"/>
          <w:color w:val="auto"/>
        </w:rPr>
      </w:pPr>
    </w:p>
    <w:p>
      <w:pPr>
        <w:ind w:right="300" w:firstLine="318"/>
        <w:spacing w:after="0" w:line="250" w:lineRule="auto"/>
        <w:rPr>
          <w:sz w:val="20"/>
          <w:szCs w:val="20"/>
          <w:color w:val="auto"/>
        </w:rPr>
      </w:pPr>
      <w:r>
        <w:rPr>
          <w:rFonts w:ascii="Arial" w:cs="Arial" w:eastAsia="Arial" w:hAnsi="Arial"/>
          <w:sz w:val="18"/>
          <w:szCs w:val="18"/>
          <w:color w:val="auto"/>
        </w:rPr>
        <w:t>We rely heavily on trade secrets and confidentiality agreements to protect our unpatented know-how, technology and other proprietary information, including parts of our Nautilus Platform,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spacing w:after="0" w:line="141" w:lineRule="exact"/>
        <w:rPr>
          <w:sz w:val="20"/>
          <w:szCs w:val="20"/>
          <w:color w:val="auto"/>
        </w:rPr>
      </w:pPr>
    </w:p>
    <w:p>
      <w:pPr>
        <w:ind w:right="680" w:firstLine="318"/>
        <w:spacing w:after="0" w:line="330" w:lineRule="auto"/>
        <w:rPr>
          <w:sz w:val="20"/>
          <w:szCs w:val="20"/>
          <w:color w:val="auto"/>
        </w:rPr>
      </w:pPr>
      <w:r>
        <w:rPr>
          <w:rFonts w:ascii="Arial" w:cs="Arial" w:eastAsia="Arial" w:hAnsi="Arial"/>
          <w:sz w:val="15"/>
          <w:szCs w:val="15"/>
          <w:color w:val="auto"/>
        </w:rPr>
        <w:t>In addition to pursuing patents on our technology, we takes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19"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spacing w:after="0" w:line="132" w:lineRule="exact"/>
        <w:rPr>
          <w:sz w:val="20"/>
          <w:szCs w:val="20"/>
          <w:color w:val="auto"/>
        </w:rPr>
      </w:pPr>
    </w:p>
    <w:p>
      <w:pPr>
        <w:jc w:val="both"/>
        <w:ind w:right="100" w:firstLine="318"/>
        <w:spacing w:after="0" w:line="330" w:lineRule="auto"/>
        <w:rPr>
          <w:sz w:val="20"/>
          <w:szCs w:val="20"/>
          <w:color w:val="auto"/>
        </w:rPr>
      </w:pPr>
      <w:r>
        <w:rPr>
          <w:rFonts w:ascii="Arial" w:cs="Arial" w:eastAsia="Arial" w:hAnsi="Arial"/>
          <w:sz w:val="15"/>
          <w:szCs w:val="15"/>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84" w:lineRule="exact"/>
        <w:rPr>
          <w:sz w:val="20"/>
          <w:szCs w:val="20"/>
          <w:color w:val="auto"/>
        </w:rPr>
      </w:pPr>
    </w:p>
    <w:p>
      <w:pPr>
        <w:ind w:right="20" w:firstLine="318"/>
        <w:spacing w:after="0" w:line="305" w:lineRule="auto"/>
        <w:rPr>
          <w:sz w:val="20"/>
          <w:szCs w:val="20"/>
          <w:color w:val="auto"/>
        </w:rPr>
      </w:pPr>
      <w:r>
        <w:rPr>
          <w:rFonts w:ascii="Arial" w:cs="Arial" w:eastAsia="Arial" w:hAnsi="Arial"/>
          <w:sz w:val="15"/>
          <w:szCs w:val="15"/>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64" w:lineRule="exact"/>
        <w:rPr>
          <w:sz w:val="20"/>
          <w:szCs w:val="20"/>
          <w:color w:val="auto"/>
        </w:rPr>
      </w:pPr>
    </w:p>
    <w:p>
      <w:pPr>
        <w:ind w:right="60" w:firstLine="318"/>
        <w:spacing w:after="0" w:line="301" w:lineRule="auto"/>
        <w:rPr>
          <w:sz w:val="20"/>
          <w:szCs w:val="20"/>
          <w:color w:val="auto"/>
        </w:rPr>
      </w:pPr>
      <w:r>
        <w:rPr>
          <w:rFonts w:ascii="Arial" w:cs="Arial" w:eastAsia="Arial" w:hAnsi="Arial"/>
          <w:sz w:val="15"/>
          <w:szCs w:val="15"/>
          <w:color w:val="auto"/>
        </w:rPr>
        <w:t>We or any future licensor may be subject to claims that former employees, collaborators or other third parties have an interest in our patents, trade secrets or other intellectual property. For example, us or any future licensor may have inventorship disputes arise from conflicting obligations of employees, consultants or others who are involved in developing our products. In addition, counterparties to our consulting, software development, and other agreements may assert that they have an ownership interest in intellectual property developed under such arrangements. Litigation may be necessary to defend against claims challenging ownership or inventorship of our or any future licensor’s ownership of our patents, trade secrets or other intellectual property. If we or any future licensor fails in defending any such claims, in addition to paying monetary damages, we may lose valuable intellectual property rights, such as exclusive ownership of, or right to use, intellectual property that is important to our Nautilus Platform,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or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07"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28" w:lineRule="exact"/>
        <w:rPr>
          <w:sz w:val="20"/>
          <w:szCs w:val="20"/>
          <w:color w:val="auto"/>
        </w:rPr>
      </w:pPr>
    </w:p>
    <w:p>
      <w:pPr>
        <w:ind w:firstLine="318"/>
        <w:spacing w:after="0" w:line="330" w:lineRule="auto"/>
        <w:rPr>
          <w:sz w:val="20"/>
          <w:szCs w:val="20"/>
          <w:color w:val="auto"/>
        </w:rPr>
      </w:pPr>
      <w:r>
        <w:rPr>
          <w:rFonts w:ascii="Arial" w:cs="Arial" w:eastAsia="Arial" w:hAnsi="Arial"/>
          <w:sz w:val="15"/>
          <w:szCs w:val="15"/>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19"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Nautilus Platform for an adequate amount of time.</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132"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35" w:lineRule="exact"/>
        <w:rPr>
          <w:sz w:val="20"/>
          <w:szCs w:val="20"/>
          <w:color w:val="auto"/>
        </w:rPr>
      </w:pPr>
    </w:p>
    <w:p>
      <w:pPr>
        <w:ind w:right="60" w:firstLine="318"/>
        <w:spacing w:after="0" w:line="303" w:lineRule="auto"/>
        <w:rPr>
          <w:sz w:val="20"/>
          <w:szCs w:val="20"/>
          <w:color w:val="auto"/>
        </w:rPr>
      </w:pPr>
      <w:r>
        <w:rPr>
          <w:rFonts w:ascii="Arial" w:cs="Arial" w:eastAsia="Arial" w:hAnsi="Arial"/>
          <w:sz w:val="15"/>
          <w:szCs w:val="15"/>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may rely on any future licensor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07"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our former employers.</w:t>
      </w:r>
    </w:p>
    <w:p>
      <w:pPr>
        <w:spacing w:after="0" w:line="104" w:lineRule="exact"/>
        <w:rPr>
          <w:sz w:val="20"/>
          <w:szCs w:val="20"/>
          <w:color w:val="auto"/>
        </w:rPr>
      </w:pPr>
    </w:p>
    <w:p>
      <w:pPr>
        <w:ind w:right="380" w:firstLine="318"/>
        <w:spacing w:after="0" w:line="268" w:lineRule="auto"/>
        <w:rPr>
          <w:sz w:val="20"/>
          <w:szCs w:val="20"/>
          <w:color w:val="auto"/>
        </w:rPr>
      </w:pPr>
      <w:r>
        <w:rPr>
          <w:rFonts w:ascii="Arial" w:cs="Arial" w:eastAsia="Arial" w:hAnsi="Arial"/>
          <w:sz w:val="17"/>
          <w:szCs w:val="17"/>
          <w:color w:val="auto"/>
        </w:rPr>
        <w:t>We have employed and expect to employ individuals who were previously employed at universities or other companies, including, for example,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19" w:lineRule="exact"/>
        <w:rPr>
          <w:sz w:val="20"/>
          <w:szCs w:val="20"/>
          <w:color w:val="auto"/>
        </w:rPr>
      </w:pPr>
    </w:p>
    <w:p>
      <w:pPr>
        <w:ind w:right="300"/>
        <w:spacing w:after="0" w:line="306" w:lineRule="auto"/>
        <w:rPr>
          <w:sz w:val="20"/>
          <w:szCs w:val="20"/>
          <w:color w:val="auto"/>
        </w:rPr>
      </w:pPr>
      <w:r>
        <w:rPr>
          <w:rFonts w:ascii="Arial" w:cs="Arial" w:eastAsia="Arial" w:hAnsi="Arial"/>
          <w:sz w:val="15"/>
          <w:szCs w:val="15"/>
          <w:color w:val="auto"/>
        </w:rPr>
        <w:t>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04"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04"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Furthermore, we or any future licensor may in the future be subject to claims by former or current employees, consultants or other third parties asserting an ownership right or inventorship in our owned, or any future licensed, patents or patent applications. For example, our Founder and Chief Scientist is employed by Stanford University and a member of the Stanford Cancer Institute. Stanford University and the Stanford Cancer Institute may assert an ownership right in any of our owned patents or patent applications. We may have other consultants that are or have been employed by third parties, which may assert an ownership right in any of our owned patents or patent applications. In addition, we are aware that we might not be able to obtain ownership of or seek a license to any intellectual property developed during a research collaboration with a third party.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176"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We may identify third-party technology that we may need to license or acquire in order to develop or commercialize our products or technologies, including our Nautilus Platform.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and commercialization capabilities. In addition, companies that perceive us to be a competitor may be unwilling to assign or license rights to us.</w:t>
      </w:r>
    </w:p>
    <w:p>
      <w:pPr>
        <w:spacing w:after="0" w:line="143"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19"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abide by the terms of the license or fails to prevent infringement by third parties, or if the licensed intellectual property rights are found to be invalid or unenforceable.</w:t>
      </w:r>
    </w:p>
    <w:p>
      <w:pPr>
        <w:spacing w:after="0" w:line="128"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b w:val="1"/>
          <w:bCs w:val="1"/>
          <w:i w:val="1"/>
          <w:iCs w:val="1"/>
          <w:color w:val="auto"/>
        </w:rPr>
        <w:t>Our use of open source software and failure to comply with the terms of the underlying open source software licenses could impose limitations on our ability to commercialize our products and provide third parties to our proprietary software.</w:t>
      </w:r>
    </w:p>
    <w:p>
      <w:pPr>
        <w:spacing w:after="0" w:line="128"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Our products utilize open source software that contain modules licensed for use from third-party authors under open source licenses. In particular, some of the software may be provided under license arrangements that allow use of the software for research or other noncommercial purposes.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32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Although we review and monitors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64"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28" w:lineRule="exact"/>
        <w:rPr>
          <w:sz w:val="20"/>
          <w:szCs w:val="20"/>
          <w:color w:val="auto"/>
        </w:rPr>
      </w:pPr>
    </w:p>
    <w:p>
      <w:pPr>
        <w:ind w:right="100" w:firstLine="324"/>
        <w:spacing w:after="0" w:line="264" w:lineRule="auto"/>
        <w:tabs>
          <w:tab w:leader="none" w:pos="631"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products and technologies we may develop or may be able to utilize similar technologies that are not covered by the claims of the patents that we own or licenses now or in the future;</w:t>
      </w:r>
    </w:p>
    <w:p>
      <w:pPr>
        <w:spacing w:after="0" w:line="127" w:lineRule="exact"/>
        <w:rPr>
          <w:rFonts w:ascii="Arial" w:cs="Arial" w:eastAsia="Arial" w:hAnsi="Arial"/>
          <w:sz w:val="18"/>
          <w:szCs w:val="18"/>
          <w:color w:val="auto"/>
        </w:rPr>
      </w:pPr>
    </w:p>
    <w:p>
      <w:pPr>
        <w:ind w:right="140" w:firstLine="324"/>
        <w:spacing w:after="0" w:line="264" w:lineRule="auto"/>
        <w:tabs>
          <w:tab w:leader="none" w:pos="631"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any future licensor(s), might not have been the first to make the inventions covered by the issued patent or pending patent application that we license or may own in the future;</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any future licensor(s), might not have been the first to file patent applications covering certain of our or their inventions;</w:t>
      </w:r>
    </w:p>
    <w:p>
      <w:pPr>
        <w:spacing w:after="0" w:line="164" w:lineRule="exact"/>
        <w:rPr>
          <w:rFonts w:ascii="Arial" w:cs="Arial" w:eastAsia="Arial" w:hAnsi="Arial"/>
          <w:sz w:val="18"/>
          <w:szCs w:val="18"/>
          <w:color w:val="auto"/>
        </w:rPr>
      </w:pPr>
    </w:p>
    <w:p>
      <w:pPr>
        <w:ind w:right="320" w:firstLine="324"/>
        <w:spacing w:after="0" w:line="264" w:lineRule="auto"/>
        <w:tabs>
          <w:tab w:leader="none" w:pos="631"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owned or future licensed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19" w:lineRule="exact"/>
        <w:rPr>
          <w:sz w:val="20"/>
          <w:szCs w:val="20"/>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license or own in the future will not lead to issued patents;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75" w:lineRule="exact"/>
        <w:rPr>
          <w:rFonts w:ascii="Arial" w:cs="Arial" w:eastAsia="Arial" w:hAnsi="Arial"/>
          <w:sz w:val="17"/>
          <w:szCs w:val="17"/>
          <w:color w:val="auto"/>
        </w:rPr>
      </w:pPr>
    </w:p>
    <w:p>
      <w:pPr>
        <w:ind w:right="300" w:firstLine="324"/>
        <w:spacing w:after="0" w:line="264" w:lineRule="auto"/>
        <w:tabs>
          <w:tab w:leader="none" w:pos="631"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64" w:lineRule="exact"/>
        <w:rPr>
          <w:rFonts w:ascii="Arial" w:cs="Arial" w:eastAsia="Arial" w:hAnsi="Arial"/>
          <w:sz w:val="18"/>
          <w:szCs w:val="18"/>
          <w:color w:val="auto"/>
        </w:rPr>
      </w:pPr>
    </w:p>
    <w:p>
      <w:pPr>
        <w:ind w:right="40" w:firstLine="324"/>
        <w:spacing w:after="0" w:line="264" w:lineRule="auto"/>
        <w:tabs>
          <w:tab w:leader="none" w:pos="631"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independently derive, use, commercialize, publish or patent such intellectual property.</w:t>
      </w:r>
    </w:p>
    <w:p>
      <w:pPr>
        <w:spacing w:after="0" w:line="128" w:lineRule="exact"/>
        <w:rPr>
          <w:sz w:val="20"/>
          <w:szCs w:val="20"/>
          <w:color w:val="auto"/>
        </w:rPr>
      </w:pPr>
    </w:p>
    <w:p>
      <w:pPr>
        <w:ind w:left="320" w:right="860"/>
        <w:spacing w:after="0" w:line="430" w:lineRule="auto"/>
        <w:rPr>
          <w:sz w:val="20"/>
          <w:szCs w:val="20"/>
          <w:color w:val="auto"/>
        </w:rPr>
      </w:pPr>
      <w:r>
        <w:rPr>
          <w:rFonts w:ascii="Arial" w:cs="Arial" w:eastAsia="Arial" w:hAnsi="Arial"/>
          <w:sz w:val="18"/>
          <w:szCs w:val="18"/>
          <w:color w:val="auto"/>
        </w:rPr>
        <w:t xml:space="preserve">Should any of these events occur, they could materially adversely affect our business, financial condition, results of operations and prospects. </w:t>
      </w:r>
      <w:r>
        <w:rPr>
          <w:rFonts w:ascii="Arial" w:cs="Arial" w:eastAsia="Arial" w:hAnsi="Arial"/>
          <w:sz w:val="18"/>
          <w:szCs w:val="18"/>
          <w:b w:val="1"/>
          <w:bCs w:val="1"/>
          <w:color w:val="auto"/>
        </w:rPr>
        <w:t>Risks Related to Regulatory and Legal Compliance Matters</w:t>
      </w:r>
    </w:p>
    <w:p>
      <w:pPr>
        <w:ind w:firstLine="318"/>
        <w:spacing w:after="0" w:line="318" w:lineRule="auto"/>
        <w:rPr>
          <w:sz w:val="20"/>
          <w:szCs w:val="20"/>
          <w:color w:val="auto"/>
        </w:rPr>
      </w:pPr>
      <w:r>
        <w:rPr>
          <w:rFonts w:ascii="Arial" w:cs="Arial" w:eastAsia="Arial" w:hAnsi="Arial"/>
          <w:sz w:val="15"/>
          <w:szCs w:val="15"/>
          <w:b w:val="1"/>
          <w:bCs w:val="1"/>
          <w:i w:val="1"/>
          <w:iCs w:val="1"/>
          <w:color w:val="auto"/>
        </w:rPr>
        <w:t>Although our products currently are not labeled or intended for any use which would subject us to regulation by the FDA or other regulatory authorities, if we elect to label and promote any of our products as clinical or medical device products, we would be subject to regulation in the future and would be required to obtain prior approval or clearance by the FDA or other regulatory authorities, which could take significant time and expense and could fail to result in FDA clearance or approval for the intended uses we believe are commercially attractive.</w:t>
      </w:r>
    </w:p>
    <w:p>
      <w:pPr>
        <w:spacing w:after="0" w:line="93" w:lineRule="exact"/>
        <w:rPr>
          <w:sz w:val="20"/>
          <w:szCs w:val="20"/>
          <w:color w:val="auto"/>
        </w:rPr>
      </w:pPr>
    </w:p>
    <w:p>
      <w:pPr>
        <w:ind w:right="40" w:firstLine="318"/>
        <w:spacing w:after="0" w:line="318" w:lineRule="auto"/>
        <w:rPr>
          <w:sz w:val="20"/>
          <w:szCs w:val="20"/>
          <w:color w:val="auto"/>
        </w:rPr>
      </w:pPr>
      <w:r>
        <w:rPr>
          <w:rFonts w:ascii="Arial" w:cs="Arial" w:eastAsia="Arial" w:hAnsi="Arial"/>
          <w:sz w:val="15"/>
          <w:szCs w:val="15"/>
          <w:color w:val="auto"/>
        </w:rPr>
        <w:t>Our products are currently labeled and promoted, and are, and in the near-future will be, sold primarily to research companies and academic and research institutions as research use only (“RUO”) products, and are not currently intended to be used, for clinical diagnostic tests or as medical devices.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93" w:lineRule="exact"/>
        <w:rPr>
          <w:sz w:val="20"/>
          <w:szCs w:val="20"/>
          <w:color w:val="auto"/>
        </w:rPr>
      </w:pPr>
    </w:p>
    <w:p>
      <w:pPr>
        <w:ind w:right="120" w:firstLine="318"/>
        <w:spacing w:after="0" w:line="249" w:lineRule="auto"/>
        <w:rPr>
          <w:sz w:val="20"/>
          <w:szCs w:val="20"/>
          <w:color w:val="auto"/>
        </w:rPr>
      </w:pPr>
      <w:r>
        <w:rPr>
          <w:rFonts w:ascii="Arial" w:cs="Arial" w:eastAsia="Arial" w:hAnsi="Arial"/>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application, and some of the requirements of the FDA’s Quality System Regulations (the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43" w:lineRule="exact"/>
        <w:rPr>
          <w:sz w:val="20"/>
          <w:szCs w:val="20"/>
          <w:color w:val="auto"/>
        </w:rPr>
      </w:pPr>
    </w:p>
    <w:p>
      <w:pPr>
        <w:ind w:right="40" w:firstLine="318"/>
        <w:spacing w:after="0" w:line="264" w:lineRule="auto"/>
        <w:rPr>
          <w:sz w:val="20"/>
          <w:szCs w:val="20"/>
          <w:color w:val="auto"/>
        </w:rPr>
      </w:pPr>
      <w:r>
        <w:rPr>
          <w:rFonts w:ascii="Arial" w:cs="Arial" w:eastAsia="Arial" w:hAnsi="Arial"/>
          <w:sz w:val="17"/>
          <w:szCs w:val="17"/>
          <w:color w:val="auto"/>
        </w:rPr>
        <w:t>In addition, we may in the future submit 510(k) premarket notification applications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de novo application is required for some of our products. If such applications were required, greater time and investment would be required to obtain FDA approval. Even if the FDA agreed that a 510(k) was appropriate, FDA clearance can be expensive and time consuming. It can take a significant amount of time to prepare and submit a 510(k) application,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80"/>
          </w:cols>
          <w:pgMar w:left="320" w:top="1440" w:right="399" w:bottom="1440" w:gutter="0" w:footer="0" w:header="0"/>
        </w:sectPr>
      </w:pPr>
    </w:p>
    <w:bookmarkStart w:id="63" w:name="page64"/>
    <w:bookmarkEnd w:id="63"/>
    <w:p>
      <w:pPr>
        <w:spacing w:after="0" w:line="119"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There can be no assurance that future products for which we may seek premarket clearance or approval will be cleared or approved by the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32" w:lineRule="exact"/>
        <w:rPr>
          <w:sz w:val="20"/>
          <w:szCs w:val="20"/>
          <w:color w:val="auto"/>
        </w:rPr>
      </w:pPr>
    </w:p>
    <w:p>
      <w:pPr>
        <w:ind w:right="120" w:firstLine="318"/>
        <w:spacing w:after="0" w:line="248" w:lineRule="auto"/>
        <w:rPr>
          <w:sz w:val="20"/>
          <w:szCs w:val="20"/>
          <w:color w:val="auto"/>
        </w:rPr>
      </w:pPr>
      <w:r>
        <w:rPr>
          <w:rFonts w:ascii="Arial" w:cs="Arial" w:eastAsia="Arial" w:hAnsi="Arial"/>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may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44"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Once the Brexit transition period ends, for medical device products we intend to market in the U.K., we will be subject to regulatory requirements of the Medicines and Healthcare products Regulatory Agency (the “MHRA”). These foreign regulations and any future requirements that may be implemented by regulatory authorities will increase the difficulty of obtaining and maintaining regulatory approvals and compliance in Europe in the future. In addition, the FDA regulates exports of medical devices. Failure to comply with these regulatory requirements or obtain and maintain required approvals, clearances or certifications could impair our ability to commercialize our products for diagnostic use outside of the United States.</w:t>
      </w:r>
    </w:p>
    <w:p>
      <w:pPr>
        <w:spacing w:after="0" w:line="132" w:lineRule="exact"/>
        <w:rPr>
          <w:sz w:val="20"/>
          <w:szCs w:val="20"/>
          <w:color w:val="auto"/>
        </w:rPr>
      </w:pPr>
    </w:p>
    <w:p>
      <w:pPr>
        <w:ind w:right="160" w:firstLine="318"/>
        <w:spacing w:after="0" w:line="318" w:lineRule="auto"/>
        <w:rPr>
          <w:sz w:val="20"/>
          <w:szCs w:val="20"/>
          <w:color w:val="auto"/>
        </w:rPr>
      </w:pPr>
      <w:r>
        <w:rPr>
          <w:rFonts w:ascii="Arial" w:cs="Arial" w:eastAsia="Arial" w:hAnsi="Arial"/>
          <w:sz w:val="15"/>
          <w:szCs w:val="15"/>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93" w:lineRule="exact"/>
        <w:rPr>
          <w:sz w:val="20"/>
          <w:szCs w:val="20"/>
          <w:color w:val="auto"/>
        </w:rPr>
      </w:pPr>
    </w:p>
    <w:p>
      <w:pPr>
        <w:ind w:right="80" w:firstLine="318"/>
        <w:spacing w:after="0" w:line="263" w:lineRule="auto"/>
        <w:rPr>
          <w:sz w:val="20"/>
          <w:szCs w:val="20"/>
          <w:color w:val="auto"/>
        </w:rPr>
      </w:pPr>
      <w:r>
        <w:rPr>
          <w:rFonts w:ascii="Arial" w:cs="Arial" w:eastAsia="Arial" w:hAnsi="Arial"/>
          <w:sz w:val="17"/>
          <w:szCs w:val="17"/>
          <w:color w:val="auto"/>
        </w:rPr>
        <w:t>We do not currently expect our Nautilus Platform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While the FDA has traditionally exercised enforcement discretion with LDTs, the FDA could take the view that our sale of our RUO labeled products were made with the knowledge that the products will be used as medical devices, and could therefore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19" w:lineRule="exact"/>
        <w:rPr>
          <w:sz w:val="20"/>
          <w:szCs w:val="20"/>
          <w:color w:val="auto"/>
        </w:rPr>
      </w:pPr>
    </w:p>
    <w:p>
      <w:pPr>
        <w:ind w:right="540"/>
        <w:spacing w:after="0" w:line="294" w:lineRule="auto"/>
        <w:rPr>
          <w:sz w:val="20"/>
          <w:szCs w:val="20"/>
          <w:color w:val="auto"/>
        </w:rPr>
      </w:pPr>
      <w:r>
        <w:rPr>
          <w:rFonts w:ascii="Arial" w:cs="Arial" w:eastAsia="Arial" w:hAnsi="Arial"/>
          <w:sz w:val="17"/>
          <w:szCs w:val="17"/>
          <w:color w:val="auto"/>
        </w:rPr>
        <w:t>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04" w:lineRule="exact"/>
        <w:rPr>
          <w:sz w:val="20"/>
          <w:szCs w:val="20"/>
          <w:color w:val="auto"/>
        </w:rPr>
      </w:pPr>
    </w:p>
    <w:p>
      <w:pPr>
        <w:ind w:right="60" w:firstLine="318"/>
        <w:spacing w:after="0" w:line="300" w:lineRule="auto"/>
        <w:rPr>
          <w:sz w:val="20"/>
          <w:szCs w:val="20"/>
          <w:color w:val="auto"/>
        </w:rPr>
      </w:pPr>
      <w:r>
        <w:rPr>
          <w:rFonts w:ascii="Arial" w:cs="Arial" w:eastAsia="Arial" w:hAnsi="Arial"/>
          <w:sz w:val="15"/>
          <w:szCs w:val="15"/>
          <w:color w:val="auto"/>
        </w:rPr>
        <w:t>The FDA has historically exercised enforcement discretion in not enforcing the medical device regulations against laboratories offering LDTs. Recently, as part of the Trump Administration’s efforts to combat COVID-19 and consistent with the President’s direction in Executive Orders 13771 and 13924, the Department of Health and Human Services (the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However, laboratories opting to use LDTs without FDA premarket review or authorization would not be eligible for liability protection under the Public Readiness and Emergency Preparedness Act. While this action by HHS is expected to reduce the regulatory burden on clinical laboratories certified under the Clinical Laboratory Improvement Amendments of 1988 that develop LDTs, it is unclear how this action as well as future legislation by federal and state governments and the FDA will impact the industry, including our business and that of our customers. Such HHS measure may compel the FDA to formalize earlier enforcement discretionary policies and informal guidance through notice-and-comment rulemaking, impose further restrictions on LDTs, and/or regulate biospecimen sample collection products distributed by laboratories as separate medical devices subject to FDA regulation independent from LDT regulation. HHS’ rescission policy may change over time. Congress could also enact legislation restricting LDTs. Any restrictions on LDTs by the FDA, HHS, Congress, or state regulatory authorities may decrease the demand for our products.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spacing w:after="0" w:line="321" w:lineRule="exact"/>
        <w:rPr>
          <w:sz w:val="20"/>
          <w:szCs w:val="20"/>
          <w:color w:val="auto"/>
        </w:rPr>
      </w:pPr>
    </w:p>
    <w:p>
      <w:pPr>
        <w:ind w:right="320" w:firstLine="318"/>
        <w:spacing w:after="0" w:line="252" w:lineRule="auto"/>
        <w:rPr>
          <w:sz w:val="20"/>
          <w:szCs w:val="20"/>
          <w:color w:val="auto"/>
        </w:rPr>
      </w:pPr>
      <w:r>
        <w:rPr>
          <w:rFonts w:ascii="Arial" w:cs="Arial" w:eastAsia="Arial" w:hAnsi="Arial"/>
          <w:sz w:val="18"/>
          <w:szCs w:val="18"/>
          <w:color w:val="auto"/>
        </w:rPr>
        <w:t>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the Physician Payments Sunshine Act and related transparency and manufacturer reporting laws, and other laws and regulations applicable to medical device manufacturers.</w:t>
      </w:r>
    </w:p>
    <w:p>
      <w:pPr>
        <w:spacing w:after="0" w:line="138"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This guidance emphasizes that the FDA will review the totality of the circumstances when it comes to evaluating whether equipment and testing components are properly labeled as RUO. This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32" w:lineRule="exact"/>
        <w:rPr>
          <w:sz w:val="20"/>
          <w:szCs w:val="20"/>
          <w:color w:val="auto"/>
        </w:rPr>
      </w:pPr>
    </w:p>
    <w:p>
      <w:pPr>
        <w:ind w:right="200" w:firstLine="318"/>
        <w:spacing w:after="0" w:line="330" w:lineRule="auto"/>
        <w:rPr>
          <w:sz w:val="20"/>
          <w:szCs w:val="20"/>
          <w:color w:val="auto"/>
        </w:rPr>
      </w:pPr>
      <w:r>
        <w:rPr>
          <w:rFonts w:ascii="Arial" w:cs="Arial" w:eastAsia="Arial" w:hAnsi="Arial"/>
          <w:sz w:val="15"/>
          <w:szCs w:val="15"/>
          <w:b w:val="1"/>
          <w:bCs w:val="1"/>
          <w:i w:val="1"/>
          <w:iCs w:val="1"/>
          <w:color w:val="auto"/>
        </w:rPr>
        <w:t>We are currently subject to, and may in the future become subject to additional, U.S. federal and state laws and regulations imposing obligations on how we collect, store and processes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84"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us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1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35" w:lineRule="exact"/>
        <w:rPr>
          <w:sz w:val="20"/>
          <w:szCs w:val="20"/>
          <w:color w:val="auto"/>
        </w:rPr>
      </w:pPr>
    </w:p>
    <w:p>
      <w:pPr>
        <w:ind w:right="40" w:firstLine="318"/>
        <w:spacing w:after="0" w:line="299" w:lineRule="auto"/>
        <w:rPr>
          <w:sz w:val="20"/>
          <w:szCs w:val="20"/>
          <w:color w:val="auto"/>
        </w:rPr>
      </w:pPr>
      <w:r>
        <w:rPr>
          <w:rFonts w:ascii="Arial" w:cs="Arial" w:eastAsia="Arial" w:hAnsi="Arial"/>
          <w:sz w:val="15"/>
          <w:szCs w:val="15"/>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(the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passed the California Privacy Rights Act (the “CPRA”), which amends and expands the CCPA. While most of the substantive provisions in CPRA will not take effect until 2023 and although the CCPA includes exemptions for certain clinical trial data, the law may increase our compliance costs and potential liability with respect to other personal information we collect about California customers. It is possible that these consumer, health-related and data protection laws may be interpreted and applied in a manner that is inconsistent with our practices. If so, this could result in government-imposed fines or orders requiring that we change our practices, which could adversely affect our business.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328" w:lineRule="exact"/>
        <w:rPr>
          <w:sz w:val="20"/>
          <w:szCs w:val="20"/>
          <w:color w:val="auto"/>
        </w:rPr>
      </w:pPr>
    </w:p>
    <w:p>
      <w:pPr>
        <w:ind w:firstLine="318"/>
        <w:spacing w:after="0" w:line="301" w:lineRule="auto"/>
        <w:rPr>
          <w:sz w:val="20"/>
          <w:szCs w:val="20"/>
          <w:color w:val="auto"/>
        </w:rPr>
      </w:pPr>
      <w:r>
        <w:rPr>
          <w:rFonts w:ascii="Arial" w:cs="Arial" w:eastAsia="Arial" w:hAnsi="Arial"/>
          <w:sz w:val="15"/>
          <w:szCs w:val="15"/>
          <w:color w:val="auto"/>
        </w:rPr>
        <w:t>Furthermore, regulations promulgated pursuant to the Health Insurance Portability and Accountability Act of 1996 (the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(the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07"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We are in the process of evaluating compliance needs but do not currently have in place formal policies and procedures related to the storage, collection and processing of information, and has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1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141" w:lineRule="exact"/>
        <w:rPr>
          <w:sz w:val="20"/>
          <w:szCs w:val="20"/>
          <w:color w:val="auto"/>
        </w:rPr>
      </w:pPr>
    </w:p>
    <w:p>
      <w:pPr>
        <w:ind w:right="280" w:firstLine="318"/>
        <w:spacing w:after="0" w:line="330" w:lineRule="auto"/>
        <w:rPr>
          <w:sz w:val="20"/>
          <w:szCs w:val="20"/>
          <w:color w:val="auto"/>
        </w:rPr>
      </w:pPr>
      <w:r>
        <w:rPr>
          <w:rFonts w:ascii="Arial" w:cs="Arial" w:eastAsia="Arial" w:hAnsi="Arial"/>
          <w:sz w:val="15"/>
          <w:szCs w:val="15"/>
          <w:b w:val="1"/>
          <w:bCs w:val="1"/>
          <w:i w:val="1"/>
          <w:iCs w:val="1"/>
          <w:color w:val="auto"/>
        </w:rPr>
        <w:t>If we expand our development and commercialization activities outside of the United States, we will be subject to an increased risk of inadvertently conducting activities in a manner that violates the U.S. Foreign Corrupt Practices Act and similar laws. If that occurs, we may be subject to civil or criminal penalties which could have a material adverse effect on our business, financial condition, results of operations and growth prospects.</w:t>
      </w:r>
    </w:p>
    <w:p>
      <w:pPr>
        <w:spacing w:after="0" w:line="84" w:lineRule="exact"/>
        <w:rPr>
          <w:sz w:val="20"/>
          <w:szCs w:val="20"/>
          <w:color w:val="auto"/>
        </w:rPr>
      </w:pPr>
    </w:p>
    <w:p>
      <w:pPr>
        <w:ind w:right="60" w:firstLine="318"/>
        <w:spacing w:after="0" w:line="271" w:lineRule="auto"/>
        <w:rPr>
          <w:sz w:val="20"/>
          <w:szCs w:val="20"/>
          <w:color w:val="auto"/>
        </w:rPr>
      </w:pPr>
      <w:r>
        <w:rPr>
          <w:rFonts w:ascii="Arial" w:cs="Arial" w:eastAsia="Arial" w:hAnsi="Arial"/>
          <w:sz w:val="17"/>
          <w:szCs w:val="17"/>
          <w:color w:val="auto"/>
        </w:rPr>
        <w:t>We are subject to the U.S. Foreign Corrupt Practices Act, or 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We are also subject to the UK Anti-Bribery Act, which prohibits both domestic and international bribery, as well as bribery across both public and private sectors.</w:t>
      </w:r>
    </w:p>
    <w:p>
      <w:pPr>
        <w:spacing w:after="0" w:line="12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If we choose to establish and expand our commercial operations outside of the United States we will need to comply with non-U.S. regulatory requirements, will need to establish and expand business relationships with various third parties, and we will interact more frequently with foreign officials, including regulatory authorities. Expanded programs to maintain compliance with such laws will be costly and may not be effective. Any interactions with any such parties or individuals where compensation is provided that are found to be in violation of such laws could result in substantial fines and penalties and could materially harm our business. Furthermore, any finding of a violation under one country’s laws may increase the likelihood that we will be prosecuted and be found to have violated another country’s laws. If our business practices outside the United States are found to be in violation of the FCPA, UK Anti-Bribery Act or other similar laws, we may be subject to significant civil and criminal penalties which could have a material adverse effect on our financial condition and results of operations.</w:t>
      </w:r>
    </w:p>
    <w:p>
      <w:pPr>
        <w:spacing w:after="0" w:line="128" w:lineRule="exact"/>
        <w:rPr>
          <w:sz w:val="20"/>
          <w:szCs w:val="20"/>
          <w:color w:val="auto"/>
        </w:rPr>
      </w:pPr>
    </w:p>
    <w:p>
      <w:pPr>
        <w:ind w:right="360" w:firstLine="318"/>
        <w:spacing w:after="0" w:line="264" w:lineRule="auto"/>
        <w:rPr>
          <w:sz w:val="20"/>
          <w:szCs w:val="20"/>
          <w:color w:val="auto"/>
        </w:rPr>
      </w:pPr>
      <w:r>
        <w:rPr>
          <w:rFonts w:ascii="Arial" w:cs="Arial" w:eastAsia="Arial" w:hAnsi="Arial"/>
          <w:sz w:val="18"/>
          <w:szCs w:val="18"/>
          <w:b w:val="1"/>
          <w:bCs w:val="1"/>
          <w:i w:val="1"/>
          <w:iCs w:val="1"/>
          <w:color w:val="auto"/>
        </w:rPr>
        <w:t>Environmental and health safety laws may result in liabilities, expenses and restrictions on our operations. Failure to comply with environmental laws and regulations could subject us to significant liability.</w:t>
      </w:r>
    </w:p>
    <w:p>
      <w:pPr>
        <w:spacing w:after="0" w:line="128"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Federal, state, local and foreign laws regarding environmental protection, hazardous substances and human health and safety may adversely affect our business. Our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we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19"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128" w:lineRule="exact"/>
        <w:rPr>
          <w:sz w:val="20"/>
          <w:szCs w:val="20"/>
          <w:color w:val="auto"/>
        </w:rPr>
      </w:pPr>
    </w:p>
    <w:p>
      <w:pPr>
        <w:ind w:firstLine="318"/>
        <w:spacing w:after="0" w:line="300" w:lineRule="auto"/>
        <w:rPr>
          <w:sz w:val="20"/>
          <w:szCs w:val="20"/>
          <w:color w:val="auto"/>
        </w:rPr>
      </w:pPr>
      <w:r>
        <w:rPr>
          <w:rFonts w:ascii="Arial" w:cs="Arial" w:eastAsia="Arial" w:hAnsi="Arial"/>
          <w:sz w:val="15"/>
          <w:szCs w:val="15"/>
          <w:color w:val="auto"/>
        </w:rPr>
        <w:t>We are exposed to the risk that our employees, independent contractors, consultants, commercial collaborators, distributors, suppliers and vendors may engage in misconduct or other improper activities. Misconduct by these parties could include failures to comply with applicable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such misconduct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31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our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b w:val="1"/>
          <w:bCs w:val="1"/>
          <w:i w:val="1"/>
          <w:iCs w:val="1"/>
          <w:color w:val="auto"/>
        </w:rPr>
        <w:t>If we experience a significant disruption in our information technology systems or breaches of data security, our business could be adversely affected.</w:t>
      </w:r>
    </w:p>
    <w:p>
      <w:pPr>
        <w:spacing w:after="0" w:line="199" w:lineRule="exact"/>
        <w:rPr>
          <w:sz w:val="20"/>
          <w:szCs w:val="20"/>
          <w:color w:val="auto"/>
        </w:rPr>
      </w:pPr>
    </w:p>
    <w:p>
      <w:pPr>
        <w:ind w:right="40" w:firstLine="318"/>
        <w:spacing w:after="0" w:line="300" w:lineRule="auto"/>
        <w:rPr>
          <w:sz w:val="20"/>
          <w:szCs w:val="20"/>
          <w:color w:val="auto"/>
        </w:rPr>
      </w:pPr>
      <w:r>
        <w:rPr>
          <w:rFonts w:ascii="Arial" w:cs="Arial" w:eastAsia="Arial" w:hAnsi="Arial"/>
          <w:sz w:val="15"/>
          <w:szCs w:val="15"/>
          <w:color w:val="auto"/>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and partners are potentially vulnerable to disruption due to breakdown, malicious intrusion and computer viruses or other disruptive events, including, but not limited to, natural disasters and catastrophes. Cyberattacks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spacing w:after="0" w:line="324"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If our security measures, or those of our vendors and partners, are compromised due to any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experience a prolonged system disruption in our information technology systems or those of certain of our vendors and partners, it could negatively impact our ability to serve our customers, which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00"/>
          </w:cols>
          <w:pgMar w:left="320" w:top="1440" w:right="379" w:bottom="1440" w:gutter="0" w:footer="0" w:header="0"/>
        </w:sectPr>
      </w:pPr>
    </w:p>
    <w:bookmarkStart w:id="68" w:name="page69"/>
    <w:bookmarkEnd w:id="68"/>
    <w:p>
      <w:pPr>
        <w:spacing w:after="0" w:line="119"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color w:val="auto"/>
        </w:rPr>
        <w:t>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exposure of personal information, including sensitive personal information, of our employees, customers and others, any of which could have a material adverse effect on our business, reputation, financial condition and results of operations.</w:t>
      </w:r>
    </w:p>
    <w:p>
      <w:pPr>
        <w:spacing w:after="0" w:line="104" w:lineRule="exact"/>
        <w:rPr>
          <w:sz w:val="20"/>
          <w:szCs w:val="20"/>
          <w:color w:val="auto"/>
        </w:rPr>
      </w:pPr>
    </w:p>
    <w:p>
      <w:pPr>
        <w:ind w:right="20" w:firstLine="318"/>
        <w:spacing w:after="0" w:line="301" w:lineRule="auto"/>
        <w:rPr>
          <w:sz w:val="20"/>
          <w:szCs w:val="20"/>
          <w:color w:val="auto"/>
        </w:rPr>
      </w:pPr>
      <w:r>
        <w:rPr>
          <w:rFonts w:ascii="Arial" w:cs="Arial" w:eastAsia="Arial" w:hAnsi="Arial"/>
          <w:sz w:val="15"/>
          <w:szCs w:val="15"/>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was approved by California voters in the election on November 3, 2020. The CPRA will modify the California Consumer Privacy Act significantly, potentially resulting in further uncertainty and requiring us to incur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Common Stock.</w:t>
      </w:r>
    </w:p>
    <w:p>
      <w:pPr>
        <w:spacing w:after="0" w:line="323" w:lineRule="exact"/>
        <w:rPr>
          <w:sz w:val="20"/>
          <w:szCs w:val="20"/>
          <w:color w:val="auto"/>
        </w:rPr>
      </w:pPr>
    </w:p>
    <w:p>
      <w:pPr>
        <w:ind w:right="280" w:firstLine="318"/>
        <w:spacing w:after="0" w:line="268" w:lineRule="auto"/>
        <w:rPr>
          <w:sz w:val="20"/>
          <w:szCs w:val="20"/>
          <w:color w:val="auto"/>
        </w:rPr>
      </w:pPr>
      <w:r>
        <w:rPr>
          <w:rFonts w:ascii="Arial" w:cs="Arial" w:eastAsia="Arial" w:hAnsi="Arial"/>
          <w:sz w:val="17"/>
          <w:szCs w:val="17"/>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be unable to manage our anticipated growth effectively.</w:t>
      </w:r>
    </w:p>
    <w:p>
      <w:pPr>
        <w:spacing w:after="0" w:line="164"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Our anticipated growth will place significant strains on our management, operational and manufacturing systems and processes, sales and marketing team, financial systems and internal controls and other aspects of our business. We must upgrade our internal business processes and capabilities to create the scalability that a growing business demands. As of June 30, 2021, we had 89 employees. To execute our anticipated growth successfully, we must continue to attract and retain qualified personnel and manage and train them effectively. Developing and commercializing our Nautilus Platform will require us to hire and retain scientific, sales and marketing, software, manufacturing, customer service, distribution and quality assurance personnel. In addition, we expect that we will need to hire additional accounting, finance and other personnel as a public company. As a public company, our management and other personnel will need to devote a substantial amount of time towards maintaining compliance with these requirements and effectively manage these growth activities. We may face challenges integrating, developing and motivating our rapidly growing employee base.</w:t>
      </w:r>
    </w:p>
    <w:p>
      <w:pPr>
        <w:spacing w:after="0" w:line="101"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35" w:lineRule="exact"/>
        <w:rPr>
          <w:sz w:val="20"/>
          <w:szCs w:val="20"/>
          <w:color w:val="auto"/>
        </w:rPr>
      </w:pPr>
    </w:p>
    <w:p>
      <w:pPr>
        <w:ind w:right="360" w:firstLine="318"/>
        <w:spacing w:after="0" w:line="264" w:lineRule="auto"/>
        <w:rPr>
          <w:sz w:val="20"/>
          <w:szCs w:val="20"/>
          <w:color w:val="auto"/>
        </w:rPr>
      </w:pPr>
      <w:r>
        <w:rPr>
          <w:rFonts w:ascii="Arial" w:cs="Arial" w:eastAsia="Arial" w:hAnsi="Arial"/>
          <w:sz w:val="18"/>
          <w:szCs w:val="18"/>
          <w:color w:val="auto"/>
        </w:rPr>
        <w:t>Our ability to successfully manage our expected growth is uncertain given the fact that we have been in operation only since 2016. As we continue to grow, we will be required to implement more complex organizational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19"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color w:val="auto"/>
        </w:rPr>
        <w:t>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If we are unable to recruit and retain key executives and scientists, we may be unable to achieve our goals.</w:t>
      </w:r>
    </w:p>
    <w:p>
      <w:pPr>
        <w:spacing w:after="0" w:line="164" w:lineRule="exact"/>
        <w:rPr>
          <w:sz w:val="20"/>
          <w:szCs w:val="20"/>
          <w:color w:val="auto"/>
        </w:rPr>
      </w:pPr>
    </w:p>
    <w:p>
      <w:pPr>
        <w:ind w:right="180" w:firstLine="318"/>
        <w:spacing w:after="0" w:line="294" w:lineRule="auto"/>
        <w:rPr>
          <w:sz w:val="20"/>
          <w:szCs w:val="20"/>
          <w:color w:val="auto"/>
        </w:rPr>
      </w:pPr>
      <w:r>
        <w:rPr>
          <w:rFonts w:ascii="Arial" w:cs="Arial" w:eastAsia="Arial" w:hAnsi="Arial"/>
          <w:sz w:val="17"/>
          <w:szCs w:val="17"/>
          <w:color w:val="auto"/>
        </w:rPr>
        <w:t>Our performance is substantially dependent on the performance of our senior management and key scientific and technical personnel, particularly Sujal Patel, one of our founders and our Chief Executive Officer, and Parag Mallick, one of our founders and our Chief Scientist.</w:t>
      </w:r>
    </w:p>
    <w:p>
      <w:pPr>
        <w:spacing w:after="0" w:line="104"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fixed term employment contracts with any of our employees and do not maintain key man life insurance on any of our employees.</w:t>
      </w:r>
    </w:p>
    <w:p>
      <w:pPr>
        <w:spacing w:after="0" w:line="138"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biochemistry, surface chemistry, software, bioinformatics, assay development, mechanical engineering, electrical engineering, optics, fluidics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w:t>
      </w:r>
    </w:p>
    <w:p>
      <w:pPr>
        <w:spacing w:after="0" w:line="143"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28"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We may in the future seek to acquire or invest in businesses, applications or technologies that we believe could complement or expand our Nautilus Platform or future products, enhance our technical capabilities or otherwise offer growth opportunities. The pursuit of potential acquisitions may divert the attention of our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41"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38"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b w:val="1"/>
          <w:bCs w:val="1"/>
          <w:i w:val="1"/>
          <w:iCs w:val="1"/>
          <w:color w:val="auto"/>
        </w:rPr>
        <w:t>The COVID-19 pandemic and efforts to reduce its spread have adversely impacted and are expected to continue to materially and adversely impact, our business and operations.</w:t>
      </w:r>
    </w:p>
    <w:p>
      <w:pPr>
        <w:spacing w:after="0" w:line="128" w:lineRule="exact"/>
        <w:rPr>
          <w:sz w:val="20"/>
          <w:szCs w:val="20"/>
          <w:color w:val="auto"/>
        </w:rPr>
      </w:pPr>
    </w:p>
    <w:p>
      <w:pPr>
        <w:ind w:right="20" w:firstLine="318"/>
        <w:spacing w:after="0" w:line="305" w:lineRule="auto"/>
        <w:rPr>
          <w:sz w:val="20"/>
          <w:szCs w:val="20"/>
          <w:color w:val="auto"/>
        </w:rPr>
      </w:pPr>
      <w:r>
        <w:rPr>
          <w:rFonts w:ascii="Arial" w:cs="Arial" w:eastAsia="Arial" w:hAnsi="Arial"/>
          <w:sz w:val="15"/>
          <w:szCs w:val="15"/>
          <w:color w:val="auto"/>
        </w:rPr>
        <w:t>The COVID-19 pandemic has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our suppliers in the United States and other countries, and the availability or cost of materials, which would disrupt or delay our receipt of instruments, components and supplies from the third parties we rely on. For instance, “stay-at-home” orders were imposed in California, where our primary research and development facility is located, and in Washington state, where our primary corporate facility is located, that required reductions in capacity or shutdowns of businesses as well as the implementation of social distancing protocols and other plans and measures. During March and April of 2020, the volume of ongoing lab work was reduced, and only critical program work in the lab continued with staggered lab employee work shifts to minimize risk of exposure to COVID-19, which has and may continue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320" w:top="1440" w:right="379" w:bottom="1440" w:gutter="0" w:footer="0" w:header="0"/>
        </w:sectPr>
      </w:pPr>
    </w:p>
    <w:bookmarkStart w:id="70" w:name="page71"/>
    <w:bookmarkEnd w:id="70"/>
    <w:p>
      <w:pPr>
        <w:spacing w:after="0" w:line="119" w:lineRule="exact"/>
        <w:rPr>
          <w:sz w:val="20"/>
          <w:szCs w:val="20"/>
          <w:color w:val="auto"/>
        </w:rPr>
      </w:pPr>
    </w:p>
    <w:p>
      <w:pPr>
        <w:ind w:right="100"/>
        <w:spacing w:after="0" w:line="330" w:lineRule="auto"/>
        <w:rPr>
          <w:sz w:val="20"/>
          <w:szCs w:val="20"/>
          <w:color w:val="auto"/>
        </w:rPr>
      </w:pPr>
      <w:r>
        <w:rPr>
          <w:rFonts w:ascii="Arial" w:cs="Arial" w:eastAsia="Arial" w:hAnsi="Arial"/>
          <w:sz w:val="15"/>
          <w:szCs w:val="15"/>
          <w:color w:val="auto"/>
        </w:rPr>
        <w:t>disrupt or delay our ability to conduct development activities. Additionally, our suppliers have also been impacted by the COVID-19 pandemic. For example, we have experienced some supply disruptions due to the pandemic, including closures at certain chip manufacturers, which led to extended lead times for certain chips; diversion of certain lab materials needed to support COVID-19 relief efforts; and lower availability of certain reagents.</w:t>
      </w:r>
    </w:p>
    <w:p>
      <w:pPr>
        <w:spacing w:after="0" w:line="84"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To the extent that any governmental authority imposes additional regulatory requirements or changes existing laws, regulations, and policies that apply to our business and operations, such as workplace safety measures, our product development may be delayed, and we may incur further costs in bringing our business and operations into compliance with changing or new laws, regulations, and policies.</w:t>
      </w:r>
    </w:p>
    <w:p>
      <w:pPr>
        <w:spacing w:after="0" w:line="135" w:lineRule="exact"/>
        <w:rPr>
          <w:sz w:val="20"/>
          <w:szCs w:val="20"/>
          <w:color w:val="auto"/>
        </w:rPr>
      </w:pPr>
    </w:p>
    <w:p>
      <w:pPr>
        <w:ind w:right="100" w:firstLine="318"/>
        <w:spacing w:after="0" w:line="249" w:lineRule="auto"/>
        <w:rPr>
          <w:sz w:val="20"/>
          <w:szCs w:val="20"/>
          <w:color w:val="auto"/>
        </w:rPr>
      </w:pPr>
      <w:r>
        <w:rPr>
          <w:rFonts w:ascii="Arial" w:cs="Arial" w:eastAsia="Arial" w:hAnsi="Arial"/>
          <w:sz w:val="18"/>
          <w:szCs w:val="18"/>
          <w:color w:val="auto"/>
        </w:rPr>
        <w:t>While we are currently in the development stage, we expect that substantially all of our revenue will be derived from sales of our Nautilus Platform, including our instruments and consumables, to biopharmaceutical companies and academic and research institutions. As we leave the development stage and enter the next stage of our commercialization plan, the research and development budgets of these customers, the ability of such customers to receive funding for research, and the ability of such customers to receive instrument installations and visitors to their facilities and to travel to our facilities, other laboratories and industry events, will become increasingly important to the adoption of our Nautilus Platform. All of these considerations are impacted by factors beyond our control, such as:</w:t>
      </w:r>
    </w:p>
    <w:p>
      <w:pPr>
        <w:spacing w:after="0" w:line="143" w:lineRule="exact"/>
        <w:rPr>
          <w:sz w:val="20"/>
          <w:szCs w:val="20"/>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disruptions in the supply chains of entities providing important services and products to our Nautilus Platform;</w:t>
      </w:r>
    </w:p>
    <w:p>
      <w:pPr>
        <w:spacing w:after="0" w:line="164" w:lineRule="exact"/>
        <w:rPr>
          <w:rFonts w:ascii="Arial" w:cs="Arial" w:eastAsia="Arial" w:hAnsi="Arial"/>
          <w:sz w:val="18"/>
          <w:szCs w:val="18"/>
          <w:color w:val="auto"/>
        </w:rPr>
      </w:pPr>
    </w:p>
    <w:p>
      <w:pPr>
        <w:ind w:right="160" w:firstLine="324"/>
        <w:spacing w:after="0" w:line="277" w:lineRule="auto"/>
        <w:tabs>
          <w:tab w:leader="none" w:pos="631"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our instruments or consumables;</w:t>
      </w:r>
    </w:p>
    <w:p>
      <w:pPr>
        <w:spacing w:after="0" w:line="118" w:lineRule="exact"/>
        <w:rPr>
          <w:rFonts w:ascii="Arial" w:cs="Arial" w:eastAsia="Arial" w:hAnsi="Arial"/>
          <w:sz w:val="17"/>
          <w:szCs w:val="17"/>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 and</w:t>
      </w:r>
    </w:p>
    <w:p>
      <w:pPr>
        <w:spacing w:after="0" w:line="164" w:lineRule="exact"/>
        <w:rPr>
          <w:rFonts w:ascii="Arial" w:cs="Arial" w:eastAsia="Arial" w:hAnsi="Arial"/>
          <w:sz w:val="18"/>
          <w:szCs w:val="18"/>
          <w:color w:val="auto"/>
        </w:rPr>
      </w:pPr>
    </w:p>
    <w:p>
      <w:pPr>
        <w:ind w:right="120" w:firstLine="324"/>
        <w:spacing w:after="0" w:line="255" w:lineRule="auto"/>
        <w:tabs>
          <w:tab w:leader="none" w:pos="631"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our customers and potential customers and their funding sources.</w:t>
      </w:r>
    </w:p>
    <w:p>
      <w:pPr>
        <w:spacing w:after="0" w:line="135" w:lineRule="exact"/>
        <w:rPr>
          <w:sz w:val="20"/>
          <w:szCs w:val="20"/>
          <w:color w:val="auto"/>
        </w:rPr>
      </w:pPr>
    </w:p>
    <w:p>
      <w:pPr>
        <w:ind w:right="80" w:firstLine="318"/>
        <w:spacing w:after="0" w:line="249" w:lineRule="auto"/>
        <w:rPr>
          <w:sz w:val="20"/>
          <w:szCs w:val="20"/>
          <w:color w:val="auto"/>
        </w:rPr>
      </w:pPr>
      <w:r>
        <w:rPr>
          <w:rFonts w:ascii="Arial" w:cs="Arial" w:eastAsia="Arial" w:hAnsi="Arial"/>
          <w:sz w:val="18"/>
          <w:szCs w:val="18"/>
          <w:color w:val="auto"/>
        </w:rPr>
        <w:t>The ultimate impact of the COVID-19 pandemic is highly uncertain and subject to sudden change. This impact could have a material, adverse impact on our liquidity, capital resources, operations and business and those of the third parties on which we rely and could worsen over time. The extent to which the COVID-19 pandemic impacts our results will depend on future developments, which are highly uncertain and cannot be predicted, including new information which may emerge concerning the severity of COVID-19 and the actions to contain COVID-19 or treat its impact, among others. While we do not yet know the full extent of potential impacts on our business, any of these occurrences could significantly harm our business, results of operations and financial condition.</w:t>
      </w:r>
    </w:p>
    <w:p>
      <w:pPr>
        <w:spacing w:after="0" w:line="14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b w:val="1"/>
          <w:bCs w:val="1"/>
          <w:i w:val="1"/>
          <w:iCs w:val="1"/>
          <w:color w:val="auto"/>
        </w:rPr>
        <w:t>Unfavorable U.S. or global economic conditions as a result of the COVID-19 pandemic, or otherwise, could adversely affect our ability to raise capital and our business, results of operations and financial condition.</w:t>
      </w:r>
    </w:p>
    <w:p>
      <w:pPr>
        <w:spacing w:after="0" w:line="128" w:lineRule="exact"/>
        <w:rPr>
          <w:sz w:val="20"/>
          <w:szCs w:val="20"/>
          <w:color w:val="auto"/>
        </w:rPr>
      </w:pPr>
    </w:p>
    <w:p>
      <w:pPr>
        <w:ind w:right="180" w:firstLine="318"/>
        <w:spacing w:after="0" w:line="264" w:lineRule="auto"/>
        <w:rPr>
          <w:sz w:val="20"/>
          <w:szCs w:val="20"/>
          <w:color w:val="auto"/>
        </w:rPr>
      </w:pPr>
      <w:r>
        <w:rPr>
          <w:rFonts w:ascii="Arial" w:cs="Arial" w:eastAsia="Arial" w:hAnsi="Arial"/>
          <w:sz w:val="17"/>
          <w:szCs w:val="17"/>
          <w:color w:val="auto"/>
        </w:rPr>
        <w:t>While the potential economic impact brought by, and the duration of, the COVID-19 pandemic is difficult to assess or predict, the COVID-19 pandemic has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our Nautilus Platform and our ability to raise additional capital when needed on favorable terms, if at all. A weak or declining economy could strain our customers’ budgets or cause delays in their payments to us. Any of the foregoing could harm our business, and we cannot anticipate all of the ways in which the current economic climate and financial market conditions could adversely impact our ability to raise capital,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19"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b w:val="1"/>
          <w:bCs w:val="1"/>
          <w:i w:val="1"/>
          <w:iCs w:val="1"/>
          <w:color w:val="auto"/>
        </w:rPr>
        <w:t>If our facilities become unavailable or inoperable, our research and development program and commercialization launch plan could be adversely impacted and manufacturing of our instruments and consumables could be interrupted.</w:t>
      </w:r>
    </w:p>
    <w:p>
      <w:pPr>
        <w:spacing w:after="0" w:line="128"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Our Seattle, Washington, facility houses our corporate executive team and our software development operations, while our San Carlos, California facility houses our research and development team.</w:t>
      </w:r>
    </w:p>
    <w:p>
      <w:pPr>
        <w:spacing w:after="0" w:line="128" w:lineRule="exact"/>
        <w:rPr>
          <w:sz w:val="20"/>
          <w:szCs w:val="20"/>
          <w:color w:val="auto"/>
        </w:rPr>
      </w:pPr>
    </w:p>
    <w:p>
      <w:pPr>
        <w:ind w:right="40" w:firstLine="318"/>
        <w:spacing w:after="0" w:line="305" w:lineRule="auto"/>
        <w:rPr>
          <w:sz w:val="20"/>
          <w:szCs w:val="20"/>
          <w:color w:val="auto"/>
        </w:rPr>
      </w:pPr>
      <w:r>
        <w:rPr>
          <w:rFonts w:ascii="Arial" w:cs="Arial" w:eastAsia="Arial" w:hAnsi="Arial"/>
          <w:sz w:val="15"/>
          <w:szCs w:val="15"/>
          <w:color w:val="auto"/>
        </w:rPr>
        <w:t>Our facilities in Seattle and San Carlos are vulnerable to natural disasters, public health crises, including the impact of the COVID-19 pandemic, and catastrophic events. For example, our San Carlos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 seriously, or potentially completely, impaired. If our facilities become unavailable for any reason, we cannot provide assurances that we will be able to secure alternative facilities with the necessary capabilities and equipment on acceptable terms, if at all. We may encounter particular difficulties in replacing our San Carlos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w:t>
      </w:r>
    </w:p>
    <w:p>
      <w:pPr>
        <w:spacing w:after="0" w:line="101" w:lineRule="exact"/>
        <w:rPr>
          <w:sz w:val="20"/>
          <w:szCs w:val="20"/>
          <w:color w:val="auto"/>
        </w:rPr>
      </w:pPr>
    </w:p>
    <w:p>
      <w:pPr>
        <w:ind w:right="40" w:firstLine="318"/>
        <w:spacing w:after="0" w:line="312" w:lineRule="auto"/>
        <w:rPr>
          <w:sz w:val="20"/>
          <w:szCs w:val="20"/>
          <w:color w:val="auto"/>
        </w:rPr>
      </w:pPr>
      <w:r>
        <w:rPr>
          <w:rFonts w:ascii="Arial" w:cs="Arial" w:eastAsia="Arial" w:hAnsi="Arial"/>
          <w:sz w:val="15"/>
          <w:szCs w:val="15"/>
          <w:color w:val="auto"/>
        </w:rPr>
        <w:t>If our research and development program or planned commercialization program were disrupted by a disaster or catastrophe, the launch of new products, including our Nautilus Platform, and the timing of improvements to our products could be significantly delayed and could adversely impact our ability to compete with other available products and solutions. If our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98" w:lineRule="exact"/>
        <w:rPr>
          <w:sz w:val="20"/>
          <w:szCs w:val="20"/>
          <w:color w:val="auto"/>
        </w:rPr>
      </w:pPr>
    </w:p>
    <w:p>
      <w:pPr>
        <w:ind w:right="660" w:firstLine="318"/>
        <w:spacing w:after="0" w:line="264" w:lineRule="auto"/>
        <w:rPr>
          <w:sz w:val="20"/>
          <w:szCs w:val="20"/>
          <w:color w:val="auto"/>
        </w:rPr>
      </w:pPr>
      <w:r>
        <w:rPr>
          <w:rFonts w:ascii="Arial" w:cs="Arial" w:eastAsia="Arial" w:hAnsi="Arial"/>
          <w:sz w:val="18"/>
          <w:szCs w:val="18"/>
          <w:b w:val="1"/>
          <w:bCs w:val="1"/>
          <w:i w:val="1"/>
          <w:iCs w:val="1"/>
          <w:color w:val="auto"/>
        </w:rPr>
        <w:t>We use hazardous chemicals and biological materials in our business. Any claims relating to improper handling, storage or disposal of these materials could be time consuming and costly.</w:t>
      </w:r>
    </w:p>
    <w:p>
      <w:pPr>
        <w:spacing w:after="0" w:line="128"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Our research and development processes involve the controlled use of hazardous materials, including select chemicals that may be flammables, toxic or corrosives. We do not currently have research processes involving biohazard materials. We cannot eliminate the risk of accidental contamination or discharge and any resultant injury from these materials. In addition, our Nautilus Platform involves the use of a high-powered laser system,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64"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As of December 31, 2020, we had U.S. federal and state net operating loss carryforwards, or NOLs, of $21.3 million, which if not utilized will expire in 2037 for state purposes.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our ownership.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382 study to determine whether the use of our NOLs is impaired. We may have previously undergone an “ownership change.” In addition, the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80"/>
          </w:cols>
          <w:pgMar w:left="320" w:top="1440" w:right="399" w:bottom="1440" w:gutter="0" w:footer="0" w:header="0"/>
        </w:sectPr>
      </w:pPr>
    </w:p>
    <w:bookmarkStart w:id="72" w:name="page73"/>
    <w:bookmarkEnd w:id="72"/>
    <w:p>
      <w:pPr>
        <w:spacing w:after="0" w:line="119" w:lineRule="exact"/>
        <w:rPr>
          <w:sz w:val="20"/>
          <w:szCs w:val="20"/>
          <w:color w:val="auto"/>
        </w:rPr>
      </w:pPr>
    </w:p>
    <w:p>
      <w:pPr>
        <w:ind w:right="120"/>
        <w:spacing w:after="0" w:line="330" w:lineRule="auto"/>
        <w:rPr>
          <w:sz w:val="20"/>
          <w:szCs w:val="20"/>
          <w:color w:val="auto"/>
        </w:rPr>
      </w:pPr>
      <w:r>
        <w:rPr>
          <w:rFonts w:ascii="Arial" w:cs="Arial" w:eastAsia="Arial" w:hAnsi="Arial"/>
          <w:sz w:val="15"/>
          <w:szCs w:val="15"/>
          <w:color w:val="auto"/>
        </w:rPr>
        <w:t>limitation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Our Common Stock</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An active trading market for Our Common Stock may never develop or be sustained.</w:t>
      </w:r>
    </w:p>
    <w:p>
      <w:pPr>
        <w:spacing w:after="0" w:line="164"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Prior to the Business Combination, there was no public trading market for Legacy Nautilus’ Common Stock. Although our Common Stock is listed on the Nasdaq Global Select Market, the market for our shares has demonstrated varying levels of trading activity. If an active trading market does not develop, or develops but is not maintained, you may have difficulty selling any of our Common Stock due to the limited public float.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 Accordingly, we cannot assure you of your ability to sell your shares of our Common Stock when desired or at prices at or above the price you paid for your shares or at all.</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w:t>
      </w:r>
    </w:p>
    <w:p>
      <w:pPr>
        <w:spacing w:after="0" w:line="164"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The trading price of our Common Stock has been and may continue to be highly volatile and could be subject to wide fluctuations in response to various factors, some of which are beyond our control.</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market price of our Common Stock may fluctuate due to a variety of factors, including:</w:t>
      </w:r>
    </w:p>
    <w:p>
      <w:pPr>
        <w:spacing w:after="0" w:line="164" w:lineRule="exact"/>
        <w:rPr>
          <w:sz w:val="20"/>
          <w:szCs w:val="20"/>
          <w:color w:val="auto"/>
        </w:rPr>
      </w:pPr>
    </w:p>
    <w:p>
      <w:pPr>
        <w:ind w:right="260" w:firstLine="324"/>
        <w:spacing w:after="0" w:line="264" w:lineRule="auto"/>
        <w:tabs>
          <w:tab w:leader="none" w:pos="631"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timing of the launch and commercialization of our products and degree to which such launch and commercialization meets the expectations of securities analysts and investors;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fluctuations in our quarterly and annual results;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operating expenses being more than anticipated;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failure or discontinuation of any of our product development and research programs;</w:t>
      </w:r>
    </w:p>
    <w:p>
      <w:pPr>
        <w:spacing w:after="0" w:line="164" w:lineRule="exact"/>
        <w:rPr>
          <w:rFonts w:ascii="Arial" w:cs="Arial" w:eastAsia="Arial" w:hAnsi="Arial"/>
          <w:sz w:val="18"/>
          <w:szCs w:val="18"/>
          <w:color w:val="auto"/>
        </w:rPr>
      </w:pPr>
    </w:p>
    <w:p>
      <w:pPr>
        <w:ind w:right="20" w:firstLine="324"/>
        <w:spacing w:after="0" w:line="264" w:lineRule="auto"/>
        <w:tabs>
          <w:tab w:leader="none" w:pos="631"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success of existing or new competitive businesses or technologies;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announcements about new research programs or products of our competitors;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litigation and governmental investigations involving us, our industry or both;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volatility and variations in market conditions in the life sciences technology sector generally, or the proteomics or genomics sectors specifically;</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investor perceptions of us or our industry;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and development programs or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320" w:top="1440" w:right="359" w:bottom="1440" w:gutter="0" w:footer="0" w:header="0"/>
        </w:sectPr>
      </w:pPr>
    </w:p>
    <w:bookmarkStart w:id="73" w:name="page74"/>
    <w:bookmarkEnd w:id="73"/>
    <w:p>
      <w:pPr>
        <w:spacing w:after="0" w:line="119" w:lineRule="exact"/>
        <w:rPr>
          <w:sz w:val="20"/>
          <w:szCs w:val="20"/>
          <w:color w:val="auto"/>
        </w:rPr>
      </w:pPr>
    </w:p>
    <w:p>
      <w:pPr>
        <w:ind w:right="240" w:firstLine="324"/>
        <w:spacing w:after="0" w:line="255" w:lineRule="auto"/>
        <w:tabs>
          <w:tab w:leader="none" w:pos="631"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Common Stock or companies that are perceived to be similar to us;</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our financial results meet the expectations of securities analysts or investors;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announcement or expectation of additional financing efforts;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of our Common Stock by us or by our insiders or other stockholders;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expiration of market standoff or lock-up agreements;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COVID-19 pandemic, natural disasters or major catastrophic events.</w:t>
      </w:r>
    </w:p>
    <w:p>
      <w:pPr>
        <w:spacing w:after="0" w:line="164"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our Common Stock, regardless of our actual operating performance. These fluctuations may be even more pronounced in the trading market for our Common Stock. Following periods of such volatility in the market price of a company’s securities, securities class action litigation has often been brought against that company. Because of the potential volatility of our Common Stock price, we may become the target of securities litigation in the future. Securities litigation could result in substantial costs and divert management’s attention and resources from our business.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There can be no assurance that we will be able to comply with the continued listing standards of Nasdaq</w:t>
      </w:r>
    </w:p>
    <w:p>
      <w:pPr>
        <w:spacing w:after="0" w:line="164"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If Nasdaq delists our shares of Common Stock from trading on its exchange for failure to meet Nasdaq’s listing standards, we and our stockholders could face significant material adverse consequences including:</w:t>
      </w:r>
    </w:p>
    <w:p>
      <w:pPr>
        <w:spacing w:after="0" w:line="128" w:lineRule="exact"/>
        <w:rPr>
          <w:sz w:val="20"/>
          <w:szCs w:val="20"/>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64" w:lineRule="exact"/>
        <w:rPr>
          <w:rFonts w:ascii="Arial" w:cs="Arial" w:eastAsia="Arial" w:hAnsi="Arial"/>
          <w:sz w:val="18"/>
          <w:szCs w:val="18"/>
          <w:color w:val="auto"/>
        </w:rPr>
      </w:pPr>
    </w:p>
    <w:p>
      <w:pPr>
        <w:ind w:firstLine="324"/>
        <w:spacing w:after="0" w:line="264" w:lineRule="auto"/>
        <w:tabs>
          <w:tab w:leader="none" w:pos="631"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limited amount of new and analyst coverage;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64"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Common Stock and will be able to exercise significant influence over matters subject to stockholder approval.</w:t>
      </w:r>
    </w:p>
    <w:p>
      <w:pPr>
        <w:spacing w:after="0" w:line="128"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As of June 30, 2021, our directors, executive officers, holders of more than 5% of our outstanding shares of Common Stock and their respective affiliates beneficially owned, collectively, approximately 67.5% of the outstanding shares of Common Stock. As a result, these stockholders, if they act together, may significantly influence all matters requiring stockholder approval, including the election of directors and approval of significant corporate transactions. This concentration of ownership may have the effect of delaying or preventing a change in control of our company that our other stockholders may believe is in their best interests. This in turn could have a material adverse effect on our stock price and may prevent attempts by our stockholders to replace or remove the board of directors or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320" w:top="1440" w:right="359" w:bottom="1440" w:gutter="0" w:footer="0" w:header="0"/>
        </w:sectPr>
      </w:pPr>
    </w:p>
    <w:bookmarkStart w:id="74" w:name="page75"/>
    <w:bookmarkEnd w:id="74"/>
    <w:p>
      <w:pPr>
        <w:spacing w:after="0" w:line="119"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b w:val="1"/>
          <w:bCs w:val="1"/>
          <w:i w:val="1"/>
          <w:iCs w:val="1"/>
          <w:color w:val="auto"/>
        </w:rPr>
        <w:t>A significant portion of our total outstanding shares of Common Stock are restricted from immediate resale in connection with the closing of the Business Combination but may be sold into the market in the near future. This could cause the market price of our Common Stock to drop significantly, even if our business is doing well.</w:t>
      </w:r>
    </w:p>
    <w:p>
      <w:pPr>
        <w:spacing w:after="0" w:line="135" w:lineRule="exact"/>
        <w:rPr>
          <w:sz w:val="20"/>
          <w:szCs w:val="20"/>
          <w:color w:val="auto"/>
        </w:rPr>
      </w:pPr>
    </w:p>
    <w:p>
      <w:pPr>
        <w:ind w:right="220" w:firstLine="318"/>
        <w:spacing w:after="0" w:line="294"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04"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color w:val="auto"/>
        </w:rPr>
        <w:t>As of the completion of the Business Combination, (i) the Nautilus stockholders (excluding Perspective Life Sciences Master Fund Ltd, a Cayman Islands exempted company (the “Perceptive PIPE Investor”), and ARYA Sciences Holdings III, a Cayman Islands exempted limited company (the “Sponsor”)) owned, collectively, approximately 66.4% of our outstanding Common Stock, (ii) ARYA’s initial shareholders, the Sponsor and the Perceptive PIPE Investor owned approximately 10.2% of our outstanding Common Stock and (iii) the PIPE Investors other than the Perceptive PIPE Investor owned approximately 11.7% of our outstanding Common Stock.</w:t>
      </w:r>
    </w:p>
    <w:p>
      <w:pPr>
        <w:spacing w:after="0" w:line="141"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Pursuant to the Amended and Restated Registration Rights and Lock-Up Agreement (the “Registration Rights and Lock-Up Agreement”) and our Bylaws, subject to certain exceptions, ARYA’s initial shareholders, the Sponsor, the Perceptive PIPE Investor and the Nautilus stockholders are restricted from selling or transferring any shares of our Common Stock for a period of 180 days from the closing of the Business Combination. However, these shares of Common Stock may be sold after the expiration of the respective applicable lock-up under the Registration Rights and Lock-Up Agreement and the Bylaws, as applicable. Pursuant to the Registration Rights and Lock-Up Agreement and the Subscription Agreements, we are required to file one or more registration statements to provide for the resale of the shares issued in the PIPE Financing and the shares of our Common Stock held by the parties to the Registration Rights and Lock-Up Agreement. As restrictions on resale end and these registration statements are available for use, the market price of our Common Stock could decline if the holders of currently restricted shares sell them or are perceived by the market as intending to sell them.</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do not expect to pay any dividends for the foreseeable future. Investors may never obtain a return on their investment.</w:t>
      </w:r>
    </w:p>
    <w:p>
      <w:pPr>
        <w:spacing w:after="0" w:line="164" w:lineRule="exact"/>
        <w:rPr>
          <w:sz w:val="20"/>
          <w:szCs w:val="20"/>
          <w:color w:val="auto"/>
        </w:rPr>
      </w:pPr>
    </w:p>
    <w:p>
      <w:pPr>
        <w:jc w:val="both"/>
        <w:ind w:right="20" w:firstLine="318"/>
        <w:spacing w:after="0" w:line="249"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Common Stock. Accordingly, investors must rely on sales of our Common Stock after price appreciation, which may never occur, as the only way to realize any return on their investment. As a result, investors seeking cash dividends should not purchase our Common Stock.</w:t>
      </w:r>
    </w:p>
    <w:p>
      <w:pPr>
        <w:spacing w:after="0" w:line="143" w:lineRule="exact"/>
        <w:rPr>
          <w:sz w:val="20"/>
          <w:szCs w:val="20"/>
          <w:color w:val="auto"/>
        </w:rPr>
      </w:pPr>
    </w:p>
    <w:p>
      <w:pPr>
        <w:ind w:right="60" w:firstLine="318"/>
        <w:spacing w:after="0" w:line="271" w:lineRule="auto"/>
        <w:rPr>
          <w:sz w:val="20"/>
          <w:szCs w:val="20"/>
          <w:color w:val="auto"/>
        </w:rPr>
      </w:pPr>
      <w:r>
        <w:rPr>
          <w:rFonts w:ascii="Arial" w:cs="Arial" w:eastAsia="Arial" w:hAnsi="Arial"/>
          <w:sz w:val="17"/>
          <w:szCs w:val="17"/>
          <w:b w:val="1"/>
          <w:bCs w:val="1"/>
          <w:i w:val="1"/>
          <w:iCs w:val="1"/>
          <w:color w:val="auto"/>
        </w:rPr>
        <w:t>Our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24" w:lineRule="exact"/>
        <w:rPr>
          <w:sz w:val="20"/>
          <w:szCs w:val="20"/>
          <w:color w:val="auto"/>
        </w:rPr>
      </w:pPr>
    </w:p>
    <w:p>
      <w:pPr>
        <w:ind w:right="100" w:firstLine="318"/>
        <w:spacing w:after="0" w:line="298" w:lineRule="auto"/>
        <w:rPr>
          <w:sz w:val="20"/>
          <w:szCs w:val="20"/>
          <w:color w:val="auto"/>
        </w:rPr>
      </w:pPr>
      <w:r>
        <w:rPr>
          <w:rFonts w:ascii="Arial" w:cs="Arial" w:eastAsia="Arial" w:hAnsi="Arial"/>
          <w:sz w:val="15"/>
          <w:szCs w:val="15"/>
          <w:color w:val="auto"/>
        </w:rPr>
        <w:t>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directors, officers, stockholders or other employees to us or our stockholders,</w:t>
      </w:r>
    </w:p>
    <w:p>
      <w:pPr>
        <w:spacing w:after="0" w:line="3" w:lineRule="exact"/>
        <w:rPr>
          <w:sz w:val="20"/>
          <w:szCs w:val="20"/>
          <w:color w:val="auto"/>
        </w:rPr>
      </w:pPr>
    </w:p>
    <w:p>
      <w:pPr>
        <w:ind w:firstLine="6"/>
        <w:spacing w:after="0" w:line="247" w:lineRule="auto"/>
        <w:tabs>
          <w:tab w:leader="none" w:pos="309"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action arising pursuant to any provision of the Delaware General Corporation Law or our Certificate of Incorporation or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1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“Securities Act”). In addition, unless we give an Alternative Forum Consent, the federal district courts of the United States shall be the sole and exclusive forum for resolving any action asserting a claim arising under the Securities Act.</w:t>
      </w:r>
    </w:p>
    <w:p>
      <w:pPr>
        <w:spacing w:after="0" w:line="128"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of America will be the exclusive forum for resolving any complaint asserting a cause of action arising under the Securities Act.</w:t>
      </w:r>
    </w:p>
    <w:p>
      <w:pPr>
        <w:spacing w:after="0" w:line="141" w:lineRule="exact"/>
        <w:rPr>
          <w:sz w:val="20"/>
          <w:szCs w:val="20"/>
          <w:color w:val="auto"/>
        </w:rPr>
      </w:pPr>
    </w:p>
    <w:p>
      <w:pPr>
        <w:ind w:right="160" w:firstLine="318"/>
        <w:spacing w:after="0" w:line="302" w:lineRule="auto"/>
        <w:rPr>
          <w:sz w:val="20"/>
          <w:szCs w:val="20"/>
          <w:color w:val="auto"/>
        </w:rPr>
      </w:pPr>
      <w:r>
        <w:rPr>
          <w:rFonts w:ascii="Arial" w:cs="Arial" w:eastAsia="Arial" w:hAnsi="Arial"/>
          <w:sz w:val="15"/>
          <w:szCs w:val="15"/>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spacing w:after="0" w:line="109"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128" w:lineRule="exact"/>
        <w:rPr>
          <w:sz w:val="20"/>
          <w:szCs w:val="20"/>
          <w:color w:val="auto"/>
        </w:rPr>
      </w:pPr>
    </w:p>
    <w:p>
      <w:pPr>
        <w:ind w:right="220" w:firstLine="318"/>
        <w:spacing w:after="0" w:line="268" w:lineRule="auto"/>
        <w:rPr>
          <w:sz w:val="20"/>
          <w:szCs w:val="20"/>
          <w:color w:val="auto"/>
        </w:rPr>
      </w:pPr>
      <w:r>
        <w:rPr>
          <w:rFonts w:ascii="Arial" w:cs="Arial" w:eastAsia="Arial" w:hAnsi="Arial"/>
          <w:sz w:val="17"/>
          <w:szCs w:val="17"/>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without the approval of holders of 66 2/3% of the voting power of our stockholders other than the interested stockholder, even if a change of control would be beneficial to our existing stockholders. In addition, our certificate of incorporation and bylaws contain provisions that may make the acquisition of our company more difficult, including the following:</w:t>
      </w:r>
    </w:p>
    <w:p>
      <w:pPr>
        <w:spacing w:after="0" w:line="128" w:lineRule="exact"/>
        <w:rPr>
          <w:sz w:val="20"/>
          <w:szCs w:val="20"/>
          <w:color w:val="auto"/>
        </w:rPr>
      </w:pPr>
    </w:p>
    <w:p>
      <w:pPr>
        <w:ind w:firstLine="324"/>
        <w:spacing w:after="0" w:line="294" w:lineRule="auto"/>
        <w:tabs>
          <w:tab w:leader="none" w:pos="631"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board of directors is classified into three classes of directors with staggered three-year terms and directors are only able to be removed from office for cause by the affirmative vote of holders of at least two-thirds of the voting power of our then outstanding capital stock;</w:t>
      </w:r>
    </w:p>
    <w:p>
      <w:pPr>
        <w:spacing w:after="0" w:line="104" w:lineRule="exact"/>
        <w:rPr>
          <w:rFonts w:ascii="Arial" w:cs="Arial" w:eastAsia="Arial" w:hAnsi="Arial"/>
          <w:sz w:val="17"/>
          <w:szCs w:val="17"/>
          <w:color w:val="auto"/>
        </w:rPr>
      </w:pPr>
    </w:p>
    <w:p>
      <w:pPr>
        <w:ind w:right="580" w:firstLine="324"/>
        <w:spacing w:after="0" w:line="264" w:lineRule="auto"/>
        <w:tabs>
          <w:tab w:leader="none" w:pos="631"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certain amendments to our certificate of incorporation require the approval of stockholders holding two-thirds of the voting power of our then outstanding capital stock;</w:t>
      </w:r>
    </w:p>
    <w:p>
      <w:pPr>
        <w:spacing w:after="0" w:line="127" w:lineRule="exact"/>
        <w:rPr>
          <w:rFonts w:ascii="Arial" w:cs="Arial" w:eastAsia="Arial" w:hAnsi="Arial"/>
          <w:sz w:val="18"/>
          <w:szCs w:val="18"/>
          <w:color w:val="auto"/>
        </w:rPr>
      </w:pPr>
    </w:p>
    <w:p>
      <w:pPr>
        <w:ind w:right="20" w:firstLine="324"/>
        <w:spacing w:after="0" w:line="264" w:lineRule="auto"/>
        <w:tabs>
          <w:tab w:leader="none" w:pos="631"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stockholder-proposed amendment to certain provisions of our bylaws require the approval of stockholders holding two-thirds of the voting power of our then outstanding capital stock;</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stockholders are only able to take action at a meeting of stockholders and are not able to take action by written consent for any matter;</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vacancies on our board of directors are able to be filled only by our board of directors and not by stockholders;</w:t>
      </w:r>
    </w:p>
    <w:p>
      <w:pPr>
        <w:spacing w:after="0" w:line="164" w:lineRule="exact"/>
        <w:rPr>
          <w:rFonts w:ascii="Arial" w:cs="Arial" w:eastAsia="Arial" w:hAnsi="Arial"/>
          <w:sz w:val="18"/>
          <w:szCs w:val="18"/>
          <w:color w:val="auto"/>
        </w:rPr>
      </w:pPr>
    </w:p>
    <w:p>
      <w:pPr>
        <w:ind w:right="520" w:firstLine="324"/>
        <w:spacing w:after="0" w:line="264" w:lineRule="auto"/>
        <w:tabs>
          <w:tab w:leader="none" w:pos="631"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only the chair of our board of directors, our chief executive officer, our president or a majority of our board of directors are authorized to call a special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19" w:lineRule="exact"/>
        <w:rPr>
          <w:sz w:val="20"/>
          <w:szCs w:val="20"/>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certain litigation against us can only be brought in Delaware;</w:t>
      </w:r>
    </w:p>
    <w:p>
      <w:pPr>
        <w:spacing w:after="0" w:line="164" w:lineRule="exact"/>
        <w:rPr>
          <w:rFonts w:ascii="Arial" w:cs="Arial" w:eastAsia="Arial" w:hAnsi="Arial"/>
          <w:sz w:val="18"/>
          <w:szCs w:val="18"/>
          <w:color w:val="auto"/>
        </w:rPr>
      </w:pPr>
    </w:p>
    <w:p>
      <w:pPr>
        <w:ind w:firstLine="324"/>
        <w:spacing w:after="0" w:line="264" w:lineRule="auto"/>
        <w:tabs>
          <w:tab w:leader="none" w:pos="631"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certificate of incorporation authorizes undesignated preferred stock, the terms of which may be established by our Board and shares of which may be issued, without the approval of the holders of our capital stock; and</w:t>
      </w:r>
    </w:p>
    <w:p>
      <w:pPr>
        <w:spacing w:after="0" w:line="127" w:lineRule="exact"/>
        <w:rPr>
          <w:rFonts w:ascii="Arial" w:cs="Arial" w:eastAsia="Arial" w:hAnsi="Arial"/>
          <w:sz w:val="18"/>
          <w:szCs w:val="18"/>
          <w:color w:val="auto"/>
        </w:rPr>
      </w:pPr>
    </w:p>
    <w:p>
      <w:pPr>
        <w:ind w:right="340" w:firstLine="324"/>
        <w:spacing w:after="0" w:line="264" w:lineRule="auto"/>
        <w:tabs>
          <w:tab w:leader="none" w:pos="631"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128"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auto"/>
        </w:rPr>
        <w:t>These anti-takeover defenses could discourage, delay, or prevent a transaction involving our change in control.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Risk Factors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will incur significant increased costs and management resources as a result of operating as a public company.</w:t>
      </w:r>
    </w:p>
    <w:p>
      <w:pPr>
        <w:spacing w:after="0" w:line="164" w:lineRule="exact"/>
        <w:rPr>
          <w:sz w:val="20"/>
          <w:szCs w:val="20"/>
          <w:color w:val="auto"/>
        </w:rPr>
      </w:pPr>
    </w:p>
    <w:p>
      <w:pPr>
        <w:ind w:right="200" w:firstLine="318"/>
        <w:spacing w:after="0" w:line="318" w:lineRule="auto"/>
        <w:rPr>
          <w:sz w:val="20"/>
          <w:szCs w:val="20"/>
          <w:color w:val="auto"/>
        </w:rPr>
      </w:pPr>
      <w:r>
        <w:rPr>
          <w:rFonts w:ascii="Arial" w:cs="Arial" w:eastAsia="Arial" w:hAnsi="Arial"/>
          <w:sz w:val="15"/>
          <w:szCs w:val="15"/>
          <w:color w:val="auto"/>
        </w:rPr>
        <w:t>As a public company, we will incur significant legal, accounting, compliance and other expenses that we did not incur as a private company and these expenses may increase even more after we are no longer an “emerging growth company.” Our management and other personnel will need to devote a substantial amount of time and incur significant expense in connection with compliance initiatives. As a public company, we will bear all of the internal and external costs of preparing and distributing periodic public reports in compliance with our obligations under the securities laws.</w:t>
      </w:r>
    </w:p>
    <w:p>
      <w:pPr>
        <w:spacing w:after="0" w:line="93" w:lineRule="exact"/>
        <w:rPr>
          <w:sz w:val="20"/>
          <w:szCs w:val="20"/>
          <w:color w:val="auto"/>
        </w:rPr>
      </w:pPr>
    </w:p>
    <w:p>
      <w:pPr>
        <w:ind w:right="40" w:firstLine="318"/>
        <w:spacing w:after="0" w:line="264"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for our board of directors, particularly to serve on our audit committee and compensation committee, and qualified executive officers.</w:t>
      </w:r>
    </w:p>
    <w:p>
      <w:pPr>
        <w:spacing w:after="0" w:line="132"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28"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Securities research analysts may establish and publish their own periodic projections for us. These projections may vary widely and may not accurately predict the results we actually achieve. The share price of our Common Stock may decline if our actual results do not match the projections of these securities research analysts. Similarly, if one or more of the analysts who write reports on us downgrades our stock or publishes inaccurate or unfavorable research about our business, the share price of our Common Stock could decline. If one or more of these analysts ceases coverage of us or fails to publish reports on us regularly, the share price or trading volume of our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0"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auto"/>
        </w:rPr>
        <w:t>Portions of the information required by this Item 2 is contained in our Current Report on Form 8-K filed with the Securities and Exchange Commission on June 10, 2021.</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Plan-Related Issuances</w:t>
      </w:r>
    </w:p>
    <w:p>
      <w:pPr>
        <w:spacing w:after="0" w:line="16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On June 21, 2021, we issued (i) 26,459 shares of our common stock upon the exercise of options granted under our 2017 Equity Incentive Plan (“2017 Plan”) at an exercise price of $0.43 per share and (ii) 22,676 shares of our common stock upon the exercise of options granted under the 2017 Plan at an exercise price of $1.14 per share. On August 5, 2021, we issued 7,402 shares of our common stock upon the exercise of options granted under the 2017 Plan at an exercise price of $1.14 per share These issuances were deemed to be exempt from registration under the Securities Act pursuant to Rule 701 promulgated under Section 3(b) of the Securities Act.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ind w:left="26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920" w:type="dxa"/>
            <w:vAlign w:val="bottom"/>
            <w:gridSpan w:val="25"/>
            <w:vMerge w:val="restart"/>
          </w:tcPr>
          <w:p>
            <w:pPr>
              <w:ind w:left="5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920" w:type="dxa"/>
            <w:vAlign w:val="bottom"/>
            <w:gridSpan w:val="2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940" w:type="dxa"/>
            <w:vAlign w:val="bottom"/>
            <w:tcBorders>
              <w:top w:val="single" w:sz="8" w:color="auto"/>
            </w:tcBorders>
          </w:tcPr>
          <w:p>
            <w:pPr>
              <w:ind w:left="20"/>
              <w:spacing w:after="0" w:line="180" w:lineRule="exact"/>
              <w:rPr>
                <w:sz w:val="20"/>
                <w:szCs w:val="20"/>
                <w:color w:val="auto"/>
              </w:rPr>
            </w:pPr>
            <w:r>
              <w:rPr>
                <w:rFonts w:ascii="Arial" w:cs="Arial" w:eastAsia="Arial" w:hAnsi="Arial"/>
                <w:sz w:val="16"/>
                <w:szCs w:val="16"/>
                <w:color w:val="auto"/>
              </w:rPr>
              <w:t>2.1</w:t>
            </w:r>
          </w:p>
        </w:tc>
        <w:tc>
          <w:tcPr>
            <w:tcW w:w="2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80" w:type="dxa"/>
            <w:vAlign w:val="bottom"/>
            <w:tcBorders>
              <w:top w:val="single" w:sz="8" w:color="auto"/>
            </w:tcBorders>
            <w:gridSpan w:val="34"/>
          </w:tcPr>
          <w:p>
            <w:pPr>
              <w:spacing w:after="0" w:line="180" w:lineRule="exact"/>
              <w:rPr>
                <w:rFonts w:ascii="Arial" w:cs="Arial" w:eastAsia="Arial" w:hAnsi="Arial"/>
                <w:sz w:val="18"/>
                <w:szCs w:val="18"/>
                <w:color w:val="0000FF"/>
                <w:w w:val="92"/>
              </w:rPr>
            </w:pPr>
            <w:hyperlink r:id="rId41">
              <w:r>
                <w:rPr>
                  <w:rFonts w:ascii="Arial" w:cs="Arial" w:eastAsia="Arial" w:hAnsi="Arial"/>
                  <w:sz w:val="18"/>
                  <w:szCs w:val="18"/>
                  <w:color w:val="0000FF"/>
                  <w:w w:val="92"/>
                </w:rPr>
                <w:t>Business Combination Agreement, dated as of February 7, 2021, by and among ARYA Sciences Acquisition Corp III, Mako Merger Sub,</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16"/>
          </w:tcPr>
          <w:p>
            <w:pPr>
              <w:spacing w:after="0" w:line="152" w:lineRule="exact"/>
              <w:rPr>
                <w:rFonts w:ascii="Arial" w:cs="Arial" w:eastAsia="Arial" w:hAnsi="Arial"/>
                <w:sz w:val="17"/>
                <w:szCs w:val="17"/>
                <w:color w:val="0000FF"/>
                <w:w w:val="95"/>
              </w:rPr>
            </w:pPr>
            <w:hyperlink r:id="rId41">
              <w:r>
                <w:rPr>
                  <w:rFonts w:ascii="Arial" w:cs="Arial" w:eastAsia="Arial" w:hAnsi="Arial"/>
                  <w:sz w:val="17"/>
                  <w:szCs w:val="17"/>
                  <w:color w:val="0000FF"/>
                  <w:w w:val="95"/>
                </w:rPr>
                <w:t>Inc., and Nautilus Biotechnology, Inc. (incorporated by reference to Exhibit 2.1 to the Company’s Current Report on Form 8-K filed with</w:t>
              </w:r>
            </w:hyperlink>
          </w:p>
        </w:tc>
        <w:tc>
          <w:tcPr>
            <w:tcW w:w="20" w:type="dxa"/>
            <w:vAlign w:val="bottom"/>
          </w:tcPr>
          <w:p>
            <w:pPr>
              <w:spacing w:after="0"/>
              <w:rPr>
                <w:sz w:val="13"/>
                <w:szCs w:val="13"/>
                <w:color w:val="auto"/>
              </w:rPr>
            </w:pPr>
          </w:p>
        </w:tc>
        <w:tc>
          <w:tcPr>
            <w:tcW w:w="340" w:type="dxa"/>
            <w:vAlign w:val="bottom"/>
            <w:gridSpan w:val="17"/>
          </w:tcPr>
          <w:p>
            <w:pPr>
              <w:spacing w:after="0" w:line="152" w:lineRule="exact"/>
              <w:rPr>
                <w:rFonts w:ascii="Arial" w:cs="Arial" w:eastAsia="Arial" w:hAnsi="Arial"/>
                <w:sz w:val="17"/>
                <w:szCs w:val="17"/>
                <w:color w:val="0000FF"/>
              </w:rPr>
            </w:pPr>
            <w:hyperlink r:id="rId41">
              <w:r>
                <w:rPr>
                  <w:rFonts w:ascii="Arial" w:cs="Arial" w:eastAsia="Arial" w:hAnsi="Arial"/>
                  <w:sz w:val="17"/>
                  <w:szCs w:val="17"/>
                  <w:color w:val="0000FF"/>
                </w:rPr>
                <w:t>the</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0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w w:val="92"/>
              </w:rPr>
            </w:pPr>
            <w:hyperlink r:id="rId41">
              <w:r>
                <w:rPr>
                  <w:rFonts w:ascii="Arial" w:cs="Arial" w:eastAsia="Arial" w:hAnsi="Arial"/>
                  <w:sz w:val="17"/>
                  <w:szCs w:val="17"/>
                  <w:color w:val="0000FF"/>
                  <w:w w:val="92"/>
                </w:rPr>
                <w:t>SEC on February 8, 2021).</w:t>
              </w:r>
            </w:hyperlink>
          </w:p>
        </w:tc>
        <w:tc>
          <w:tcPr>
            <w:tcW w:w="8120" w:type="dxa"/>
            <w:vAlign w:val="bottom"/>
            <w:tcBorders>
              <w:top w:val="single" w:sz="8" w:color="0000FF"/>
            </w:tcBorders>
            <w:gridSpan w:val="3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40" w:type="dxa"/>
            <w:vAlign w:val="bottom"/>
          </w:tcPr>
          <w:p>
            <w:pPr>
              <w:ind w:left="20"/>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34"/>
          </w:tcPr>
          <w:p>
            <w:pPr>
              <w:spacing w:after="0" w:line="205" w:lineRule="exact"/>
              <w:rPr>
                <w:rFonts w:ascii="Arial" w:cs="Arial" w:eastAsia="Arial" w:hAnsi="Arial"/>
                <w:sz w:val="18"/>
                <w:szCs w:val="18"/>
                <w:color w:val="0000FF"/>
                <w:w w:val="93"/>
              </w:rPr>
            </w:pPr>
            <w:hyperlink r:id="rId42">
              <w:r>
                <w:rPr>
                  <w:rFonts w:ascii="Arial" w:cs="Arial" w:eastAsia="Arial" w:hAnsi="Arial"/>
                  <w:sz w:val="18"/>
                  <w:szCs w:val="18"/>
                  <w:color w:val="0000FF"/>
                  <w:w w:val="93"/>
                </w:rPr>
                <w:t>Certificate of Incorporation of Nautilus Biotechnology, Inc. (incorporated by reference to Exhibit 3.1 to the Company’s Current Report on</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18"/>
          </w:tcPr>
          <w:p>
            <w:pPr>
              <w:spacing w:after="0" w:line="152" w:lineRule="exact"/>
              <w:rPr>
                <w:rFonts w:ascii="Arial" w:cs="Arial" w:eastAsia="Arial" w:hAnsi="Arial"/>
                <w:sz w:val="17"/>
                <w:szCs w:val="17"/>
                <w:color w:val="0000FF"/>
              </w:rPr>
            </w:pPr>
            <w:hyperlink r:id="rId42">
              <w:r>
                <w:rPr>
                  <w:rFonts w:ascii="Arial" w:cs="Arial" w:eastAsia="Arial" w:hAnsi="Arial"/>
                  <w:sz w:val="17"/>
                  <w:szCs w:val="17"/>
                  <w:color w:val="0000FF"/>
                </w:rPr>
                <w:t>Form 8-K filed with the SEC on June 10,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40" w:type="dxa"/>
            <w:vAlign w:val="bottom"/>
          </w:tcPr>
          <w:p>
            <w:pPr>
              <w:ind w:left="20"/>
              <w:spacing w:after="0"/>
              <w:rPr>
                <w:sz w:val="20"/>
                <w:szCs w:val="20"/>
                <w:color w:val="auto"/>
              </w:rPr>
            </w:pPr>
            <w:r>
              <w:rPr>
                <w:rFonts w:ascii="Arial" w:cs="Arial" w:eastAsia="Arial" w:hAnsi="Arial"/>
                <w:sz w:val="16"/>
                <w:szCs w:val="16"/>
                <w:color w:val="auto"/>
              </w:rPr>
              <w:t>3.2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34"/>
          </w:tcPr>
          <w:p>
            <w:pPr>
              <w:spacing w:after="0" w:line="205" w:lineRule="exact"/>
              <w:rPr>
                <w:rFonts w:ascii="Arial" w:cs="Arial" w:eastAsia="Arial" w:hAnsi="Arial"/>
                <w:sz w:val="18"/>
                <w:szCs w:val="18"/>
                <w:color w:val="0000FF"/>
                <w:w w:val="93"/>
              </w:rPr>
            </w:pPr>
            <w:hyperlink r:id="rId43">
              <w:r>
                <w:rPr>
                  <w:rFonts w:ascii="Arial" w:cs="Arial" w:eastAsia="Arial" w:hAnsi="Arial"/>
                  <w:sz w:val="18"/>
                  <w:szCs w:val="18"/>
                  <w:color w:val="0000FF"/>
                  <w:w w:val="93"/>
                </w:rPr>
                <w:t>Bylaws of Nautilus Biotechnology, Inc. (incorporated by reference to Exhibit 3.2 to the Company’s Current Report on Form 8-K filed with</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40" w:type="dxa"/>
            <w:vAlign w:val="bottom"/>
            <w:tcBorders>
              <w:top w:val="single" w:sz="8" w:color="0000FF"/>
              <w:bottom w:val="single" w:sz="8" w:color="0000FF"/>
            </w:tcBorders>
            <w:gridSpan w:val="2"/>
          </w:tcPr>
          <w:p>
            <w:pPr>
              <w:spacing w:after="0" w:line="152" w:lineRule="exact"/>
              <w:rPr>
                <w:rFonts w:ascii="Arial" w:cs="Arial" w:eastAsia="Arial" w:hAnsi="Arial"/>
                <w:sz w:val="17"/>
                <w:szCs w:val="17"/>
                <w:color w:val="0000FF"/>
                <w:w w:val="91"/>
              </w:rPr>
            </w:pPr>
            <w:hyperlink r:id="rId43">
              <w:r>
                <w:rPr>
                  <w:rFonts w:ascii="Arial" w:cs="Arial" w:eastAsia="Arial" w:hAnsi="Arial"/>
                  <w:sz w:val="17"/>
                  <w:szCs w:val="17"/>
                  <w:color w:val="0000FF"/>
                  <w:w w:val="91"/>
                </w:rPr>
                <w:t>the SEC on June 10, 2021).</w:t>
              </w:r>
            </w:hyperlink>
          </w:p>
        </w:tc>
        <w:tc>
          <w:tcPr>
            <w:tcW w:w="788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40" w:type="dxa"/>
            <w:vAlign w:val="bottom"/>
          </w:tcPr>
          <w:p>
            <w:pPr>
              <w:ind w:left="20"/>
              <w:spacing w:after="0"/>
              <w:rPr>
                <w:sz w:val="20"/>
                <w:szCs w:val="20"/>
                <w:color w:val="auto"/>
              </w:rPr>
            </w:pPr>
            <w:r>
              <w:rPr>
                <w:rFonts w:ascii="Arial" w:cs="Arial" w:eastAsia="Arial" w:hAnsi="Arial"/>
                <w:sz w:val="16"/>
                <w:szCs w:val="16"/>
                <w:color w:val="auto"/>
              </w:rPr>
              <w:t>10.1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34"/>
          </w:tcPr>
          <w:p>
            <w:pPr>
              <w:spacing w:after="0" w:line="205" w:lineRule="exact"/>
              <w:rPr>
                <w:rFonts w:ascii="Arial" w:cs="Arial" w:eastAsia="Arial" w:hAnsi="Arial"/>
                <w:sz w:val="18"/>
                <w:szCs w:val="18"/>
                <w:color w:val="0000FF"/>
                <w:w w:val="93"/>
              </w:rPr>
            </w:pPr>
            <w:hyperlink r:id="rId44">
              <w:r>
                <w:rPr>
                  <w:rFonts w:ascii="Arial" w:cs="Arial" w:eastAsia="Arial" w:hAnsi="Arial"/>
                  <w:sz w:val="18"/>
                  <w:szCs w:val="18"/>
                  <w:color w:val="0000FF"/>
                  <w:w w:val="93"/>
                </w:rPr>
                <w:t>Form of Subscription Agreement (incorporated by reference to Exhibit 10.3 to the Company’s Current Report on Form 8-K filed with the</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0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w w:val="92"/>
              </w:rPr>
            </w:pPr>
            <w:hyperlink r:id="rId44">
              <w:r>
                <w:rPr>
                  <w:rFonts w:ascii="Arial" w:cs="Arial" w:eastAsia="Arial" w:hAnsi="Arial"/>
                  <w:sz w:val="17"/>
                  <w:szCs w:val="17"/>
                  <w:color w:val="0000FF"/>
                  <w:w w:val="92"/>
                </w:rPr>
                <w:t>SEC on February 8, 2021).</w:t>
              </w:r>
            </w:hyperlink>
          </w:p>
        </w:tc>
        <w:tc>
          <w:tcPr>
            <w:tcW w:w="7800" w:type="dxa"/>
            <w:vAlign w:val="bottom"/>
            <w:tcBorders>
              <w:top w:val="single" w:sz="8" w:color="0000FF"/>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40" w:type="dxa"/>
            <w:vAlign w:val="bottom"/>
          </w:tcPr>
          <w:p>
            <w:pPr>
              <w:ind w:left="20"/>
              <w:spacing w:after="0"/>
              <w:rPr>
                <w:sz w:val="20"/>
                <w:szCs w:val="20"/>
                <w:color w:val="auto"/>
              </w:rPr>
            </w:pPr>
            <w:r>
              <w:rPr>
                <w:rFonts w:ascii="Arial" w:cs="Arial" w:eastAsia="Arial" w:hAnsi="Arial"/>
                <w:sz w:val="16"/>
                <w:szCs w:val="16"/>
                <w:color w:val="auto"/>
              </w:rPr>
              <w:t>10.2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34"/>
          </w:tcPr>
          <w:p>
            <w:pPr>
              <w:spacing w:after="0" w:line="205"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Form of Amended and Restated Registration Rights and Lock-Up Agreement (incorporated by reference to Exhibit 10.2 to the Company’s</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tcBorders>
              <w:top w:val="single" w:sz="8" w:color="0000FF"/>
              <w:bottom w:val="single" w:sz="8" w:color="0000FF"/>
            </w:tcBorders>
            <w:gridSpan w:val="10"/>
          </w:tcPr>
          <w:p>
            <w:pPr>
              <w:spacing w:after="0" w:line="152" w:lineRule="exact"/>
              <w:rPr>
                <w:rFonts w:ascii="Arial" w:cs="Arial" w:eastAsia="Arial" w:hAnsi="Arial"/>
                <w:sz w:val="17"/>
                <w:szCs w:val="17"/>
                <w:color w:val="0000FF"/>
                <w:w w:val="95"/>
              </w:rPr>
            </w:pPr>
            <w:hyperlink r:id="rId45">
              <w:r>
                <w:rPr>
                  <w:rFonts w:ascii="Arial" w:cs="Arial" w:eastAsia="Arial" w:hAnsi="Arial"/>
                  <w:sz w:val="17"/>
                  <w:szCs w:val="17"/>
                  <w:color w:val="0000FF"/>
                  <w:w w:val="95"/>
                </w:rPr>
                <w:t>Current Report on Form 8-K filed with the SEC on February 8, 2021).</w:t>
              </w:r>
            </w:hyperlink>
          </w:p>
        </w:tc>
        <w:tc>
          <w:tcPr>
            <w:tcW w:w="482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40" w:type="dxa"/>
            <w:vAlign w:val="bottom"/>
          </w:tcPr>
          <w:p>
            <w:pPr>
              <w:ind w:left="20"/>
              <w:spacing w:after="0"/>
              <w:rPr>
                <w:sz w:val="20"/>
                <w:szCs w:val="20"/>
                <w:color w:val="auto"/>
              </w:rPr>
            </w:pPr>
            <w:r>
              <w:rPr>
                <w:rFonts w:ascii="Arial" w:cs="Arial" w:eastAsia="Arial" w:hAnsi="Arial"/>
                <w:sz w:val="16"/>
                <w:szCs w:val="16"/>
                <w:color w:val="auto"/>
              </w:rPr>
              <w:t>10.3+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34"/>
          </w:tcPr>
          <w:p>
            <w:pPr>
              <w:spacing w:after="0" w:line="205" w:lineRule="exact"/>
              <w:rPr>
                <w:rFonts w:ascii="Arial" w:cs="Arial" w:eastAsia="Arial" w:hAnsi="Arial"/>
                <w:sz w:val="18"/>
                <w:szCs w:val="18"/>
                <w:color w:val="0000FF"/>
                <w:w w:val="94"/>
              </w:rPr>
            </w:pPr>
            <w:hyperlink r:id="rId46">
              <w:r>
                <w:rPr>
                  <w:rFonts w:ascii="Arial" w:cs="Arial" w:eastAsia="Arial" w:hAnsi="Arial"/>
                  <w:sz w:val="18"/>
                  <w:szCs w:val="18"/>
                  <w:color w:val="0000FF"/>
                  <w:w w:val="94"/>
                </w:rPr>
                <w:t>Nautilus Biotechnology, Inc. 2021 Equity Incentive Plan (incorporated by reference to Exhibit 10.4 to the Company’s Current Report on</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13"/>
          </w:tcPr>
          <w:p>
            <w:pPr>
              <w:spacing w:after="0" w:line="152" w:lineRule="exact"/>
              <w:rPr>
                <w:rFonts w:ascii="Arial" w:cs="Arial" w:eastAsia="Arial" w:hAnsi="Arial"/>
                <w:sz w:val="17"/>
                <w:szCs w:val="17"/>
                <w:color w:val="0000FF"/>
              </w:rPr>
            </w:pPr>
            <w:hyperlink r:id="rId46">
              <w:r>
                <w:rPr>
                  <w:rFonts w:ascii="Arial" w:cs="Arial" w:eastAsia="Arial" w:hAnsi="Arial"/>
                  <w:sz w:val="17"/>
                  <w:szCs w:val="17"/>
                  <w:color w:val="0000FF"/>
                </w:rPr>
                <w:t>Form 8-K filed with the SEC on June 10, 2021).</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40" w:type="dxa"/>
            <w:vAlign w:val="bottom"/>
          </w:tcPr>
          <w:p>
            <w:pPr>
              <w:ind w:left="20"/>
              <w:spacing w:after="0"/>
              <w:rPr>
                <w:sz w:val="20"/>
                <w:szCs w:val="20"/>
                <w:color w:val="auto"/>
              </w:rPr>
            </w:pPr>
            <w:r>
              <w:rPr>
                <w:rFonts w:ascii="Arial" w:cs="Arial" w:eastAsia="Arial" w:hAnsi="Arial"/>
                <w:sz w:val="16"/>
                <w:szCs w:val="16"/>
                <w:color w:val="auto"/>
              </w:rPr>
              <w:t>10.4+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34"/>
          </w:tcPr>
          <w:p>
            <w:pPr>
              <w:spacing w:after="0" w:line="205" w:lineRule="exact"/>
              <w:rPr>
                <w:rFonts w:ascii="Arial" w:cs="Arial" w:eastAsia="Arial" w:hAnsi="Arial"/>
                <w:sz w:val="18"/>
                <w:szCs w:val="18"/>
                <w:color w:val="0000FF"/>
                <w:w w:val="94"/>
              </w:rPr>
            </w:pPr>
            <w:hyperlink r:id="rId47">
              <w:r>
                <w:rPr>
                  <w:rFonts w:ascii="Arial" w:cs="Arial" w:eastAsia="Arial" w:hAnsi="Arial"/>
                  <w:sz w:val="18"/>
                  <w:szCs w:val="18"/>
                  <w:color w:val="0000FF"/>
                  <w:w w:val="94"/>
                </w:rPr>
                <w:t>Nautilus Biotechnology, Inc. 2021 Employee Stock Purchase Plan (incorporated by reference to Exhibit 10.5 to the Company’s Current</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60" w:type="dxa"/>
            <w:vAlign w:val="bottom"/>
            <w:tcBorders>
              <w:top w:val="single" w:sz="8" w:color="0000FF"/>
              <w:bottom w:val="single" w:sz="8" w:color="0000FF"/>
            </w:tcBorders>
            <w:gridSpan w:val="9"/>
          </w:tcPr>
          <w:p>
            <w:pPr>
              <w:spacing w:after="0" w:line="152" w:lineRule="exact"/>
              <w:rPr>
                <w:rFonts w:ascii="Arial" w:cs="Arial" w:eastAsia="Arial" w:hAnsi="Arial"/>
                <w:sz w:val="17"/>
                <w:szCs w:val="17"/>
                <w:color w:val="0000FF"/>
                <w:w w:val="95"/>
              </w:rPr>
            </w:pPr>
            <w:hyperlink r:id="rId47">
              <w:r>
                <w:rPr>
                  <w:rFonts w:ascii="Arial" w:cs="Arial" w:eastAsia="Arial" w:hAnsi="Arial"/>
                  <w:sz w:val="17"/>
                  <w:szCs w:val="17"/>
                  <w:color w:val="0000FF"/>
                  <w:w w:val="95"/>
                </w:rPr>
                <w:t>Report on Form 8-K filed with the SEC on June 10, 2021).</w:t>
              </w:r>
            </w:hyperlink>
          </w:p>
        </w:tc>
        <w:tc>
          <w:tcPr>
            <w:tcW w:w="5400" w:type="dxa"/>
            <w:vAlign w:val="bottom"/>
            <w:tcBorders>
              <w:top w:val="single" w:sz="8" w:color="0000FF"/>
            </w:tcBorders>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40" w:type="dxa"/>
            <w:vAlign w:val="bottom"/>
          </w:tcPr>
          <w:p>
            <w:pPr>
              <w:ind w:left="20"/>
              <w:spacing w:after="0"/>
              <w:rPr>
                <w:sz w:val="20"/>
                <w:szCs w:val="20"/>
                <w:color w:val="auto"/>
              </w:rPr>
            </w:pPr>
            <w:r>
              <w:rPr>
                <w:rFonts w:ascii="Arial" w:cs="Arial" w:eastAsia="Arial" w:hAnsi="Arial"/>
                <w:sz w:val="16"/>
                <w:szCs w:val="16"/>
                <w:color w:val="auto"/>
              </w:rPr>
              <w:t>10.5+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34"/>
          </w:tcPr>
          <w:p>
            <w:pPr>
              <w:spacing w:after="0" w:line="205"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Forms of Stock Option Agreement under the Nautilus Biotechnology, Inc. 2021 Equity Incentive Plan (incorporated by reference to Exhibit</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0000FF"/>
            </w:tcBorders>
            <w:gridSpan w:val="26"/>
          </w:tcPr>
          <w:p>
            <w:pPr>
              <w:spacing w:after="0" w:line="152" w:lineRule="exact"/>
              <w:rPr>
                <w:rFonts w:ascii="Arial" w:cs="Arial" w:eastAsia="Arial" w:hAnsi="Arial"/>
                <w:sz w:val="17"/>
                <w:szCs w:val="17"/>
                <w:color w:val="0000FF"/>
              </w:rPr>
            </w:pPr>
            <w:hyperlink r:id="rId48">
              <w:r>
                <w:rPr>
                  <w:rFonts w:ascii="Arial" w:cs="Arial" w:eastAsia="Arial" w:hAnsi="Arial"/>
                  <w:sz w:val="17"/>
                  <w:szCs w:val="17"/>
                  <w:color w:val="0000FF"/>
                </w:rPr>
                <w:t>10.</w:t>
              </w:r>
              <w:r>
                <w:rPr>
                  <w:rFonts w:ascii="Arial" w:cs="Arial" w:eastAsia="Arial" w:hAnsi="Arial"/>
                  <w:sz w:val="17"/>
                  <w:szCs w:val="17"/>
                  <w:u w:val="single" w:color="auto"/>
                  <w:color w:val="0000FF"/>
                </w:rPr>
                <w:t>7</w:t>
              </w:r>
              <w:r>
                <w:rPr>
                  <w:rFonts w:ascii="Arial" w:cs="Arial" w:eastAsia="Arial" w:hAnsi="Arial"/>
                  <w:sz w:val="17"/>
                  <w:szCs w:val="17"/>
                  <w:color w:val="0000FF"/>
                </w:rPr>
                <w:t xml:space="preserve"> to the Proxy Statement/Prospectus).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4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40" w:type="dxa"/>
            <w:vAlign w:val="bottom"/>
          </w:tcPr>
          <w:p>
            <w:pPr>
              <w:ind w:left="20"/>
              <w:spacing w:after="0"/>
              <w:rPr>
                <w:sz w:val="20"/>
                <w:szCs w:val="20"/>
                <w:color w:val="auto"/>
              </w:rPr>
            </w:pPr>
            <w:r>
              <w:rPr>
                <w:rFonts w:ascii="Arial" w:cs="Arial" w:eastAsia="Arial" w:hAnsi="Arial"/>
                <w:sz w:val="16"/>
                <w:szCs w:val="16"/>
                <w:color w:val="auto"/>
              </w:rPr>
              <w:t>10.6+</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34"/>
          </w:tcPr>
          <w:p>
            <w:pPr>
              <w:spacing w:after="0" w:line="205" w:lineRule="exact"/>
              <w:rPr>
                <w:rFonts w:ascii="Arial" w:cs="Arial" w:eastAsia="Arial" w:hAnsi="Arial"/>
                <w:sz w:val="18"/>
                <w:szCs w:val="18"/>
                <w:color w:val="0000FF"/>
                <w:w w:val="92"/>
              </w:rPr>
            </w:pPr>
            <w:hyperlink r:id="rId49">
              <w:r>
                <w:rPr>
                  <w:rFonts w:ascii="Arial" w:cs="Arial" w:eastAsia="Arial" w:hAnsi="Arial"/>
                  <w:sz w:val="18"/>
                  <w:szCs w:val="18"/>
                  <w:color w:val="0000FF"/>
                  <w:w w:val="92"/>
                </w:rPr>
                <w:t>Form of Restricted Stock Unit Agreement under the Nautilus Biotechnology, Inc. 2021 Equity Incentive Plan (incorporated by reference to</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22"/>
          </w:tcPr>
          <w:p>
            <w:pPr>
              <w:spacing w:after="0" w:line="152" w:lineRule="exact"/>
              <w:rPr>
                <w:rFonts w:ascii="Arial" w:cs="Arial" w:eastAsia="Arial" w:hAnsi="Arial"/>
                <w:sz w:val="17"/>
                <w:szCs w:val="17"/>
                <w:color w:val="0000FF"/>
              </w:rPr>
            </w:pPr>
            <w:hyperlink r:id="rId49">
              <w:r>
                <w:rPr>
                  <w:rFonts w:ascii="Arial" w:cs="Arial" w:eastAsia="Arial" w:hAnsi="Arial"/>
                  <w:sz w:val="17"/>
                  <w:szCs w:val="17"/>
                  <w:color w:val="0000FF"/>
                </w:rPr>
                <w:t>Exhibit 10.8 to the Proxy Statement/Prospectus).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84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40" w:type="dxa"/>
            <w:vAlign w:val="bottom"/>
          </w:tcPr>
          <w:p>
            <w:pPr>
              <w:ind w:left="20"/>
              <w:spacing w:after="0"/>
              <w:rPr>
                <w:sz w:val="20"/>
                <w:szCs w:val="20"/>
                <w:color w:val="auto"/>
              </w:rPr>
            </w:pPr>
            <w:r>
              <w:rPr>
                <w:rFonts w:ascii="Arial" w:cs="Arial" w:eastAsia="Arial" w:hAnsi="Arial"/>
                <w:sz w:val="16"/>
                <w:szCs w:val="16"/>
                <w:color w:val="auto"/>
              </w:rPr>
              <w:t>10.7+</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34"/>
          </w:tcPr>
          <w:p>
            <w:pPr>
              <w:spacing w:after="0" w:line="205" w:lineRule="exact"/>
              <w:rPr>
                <w:rFonts w:ascii="Arial" w:cs="Arial" w:eastAsia="Arial" w:hAnsi="Arial"/>
                <w:sz w:val="18"/>
                <w:szCs w:val="18"/>
                <w:color w:val="0000FF"/>
                <w:w w:val="90"/>
              </w:rPr>
            </w:pPr>
            <w:hyperlink r:id="rId50">
              <w:r>
                <w:rPr>
                  <w:rFonts w:ascii="Arial" w:cs="Arial" w:eastAsia="Arial" w:hAnsi="Arial"/>
                  <w:sz w:val="18"/>
                  <w:szCs w:val="18"/>
                  <w:color w:val="0000FF"/>
                  <w:w w:val="90"/>
                </w:rPr>
                <w:t>Form of Restricted Stock Award Agreement under the Nautilus Biotechnology, Inc. 2021 Equity Incentive Plan (incorporated by reference to</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FF"/>
            </w:tcBorders>
            <w:gridSpan w:val="32"/>
          </w:tcPr>
          <w:p>
            <w:pPr>
              <w:spacing w:after="0" w:line="152" w:lineRule="exact"/>
              <w:rPr>
                <w:rFonts w:ascii="Arial" w:cs="Arial" w:eastAsia="Arial" w:hAnsi="Arial"/>
                <w:sz w:val="17"/>
                <w:szCs w:val="17"/>
                <w:color w:val="0000FF"/>
              </w:rPr>
            </w:pPr>
            <w:hyperlink r:id="rId50">
              <w:r>
                <w:rPr>
                  <w:rFonts w:ascii="Arial" w:cs="Arial" w:eastAsia="Arial" w:hAnsi="Arial"/>
                  <w:sz w:val="17"/>
                  <w:szCs w:val="17"/>
                  <w:color w:val="0000FF"/>
                </w:rPr>
                <w:t>Exhibit 10.9 to the Proxy Statement/Prospectus).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84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40" w:type="dxa"/>
            <w:vAlign w:val="bottom"/>
          </w:tcPr>
          <w:p>
            <w:pPr>
              <w:ind w:left="20"/>
              <w:spacing w:after="0"/>
              <w:rPr>
                <w:sz w:val="20"/>
                <w:szCs w:val="20"/>
                <w:color w:val="auto"/>
              </w:rPr>
            </w:pPr>
            <w:r>
              <w:rPr>
                <w:rFonts w:ascii="Arial" w:cs="Arial" w:eastAsia="Arial" w:hAnsi="Arial"/>
                <w:sz w:val="16"/>
                <w:szCs w:val="16"/>
                <w:color w:val="auto"/>
              </w:rPr>
              <w:t>10.8+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34"/>
          </w:tcPr>
          <w:p>
            <w:pPr>
              <w:spacing w:after="0" w:line="205"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Nautilus Biotechnology, Inc. 2017 Equity Incentive Plan and forms of agreements thereunder (incorporated by reference to Exhibit 10.11 to</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top w:val="single" w:sz="8" w:color="0000FF"/>
            </w:tcBorders>
            <w:gridSpan w:val="27"/>
          </w:tcPr>
          <w:p>
            <w:pPr>
              <w:spacing w:after="0" w:line="152" w:lineRule="exact"/>
              <w:rPr>
                <w:rFonts w:ascii="Arial" w:cs="Arial" w:eastAsia="Arial" w:hAnsi="Arial"/>
                <w:sz w:val="17"/>
                <w:szCs w:val="17"/>
                <w:color w:val="0000FF"/>
              </w:rPr>
            </w:pPr>
            <w:hyperlink r:id="rId51">
              <w:r>
                <w:rPr>
                  <w:rFonts w:ascii="Arial" w:cs="Arial" w:eastAsia="Arial" w:hAnsi="Arial"/>
                  <w:sz w:val="17"/>
                  <w:szCs w:val="17"/>
                  <w:color w:val="0000FF"/>
                </w:rPr>
                <w:t>the Proxy Statement/Prospectus).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32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40" w:type="dxa"/>
            <w:vAlign w:val="bottom"/>
          </w:tcPr>
          <w:p>
            <w:pPr>
              <w:ind w:left="20"/>
              <w:spacing w:after="0"/>
              <w:rPr>
                <w:sz w:val="20"/>
                <w:szCs w:val="20"/>
                <w:color w:val="auto"/>
              </w:rPr>
            </w:pPr>
            <w:r>
              <w:rPr>
                <w:rFonts w:ascii="Arial" w:cs="Arial" w:eastAsia="Arial" w:hAnsi="Arial"/>
                <w:sz w:val="16"/>
                <w:szCs w:val="16"/>
                <w:color w:val="auto"/>
              </w:rPr>
              <w:t>10.9+</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34"/>
          </w:tcPr>
          <w:p>
            <w:pPr>
              <w:spacing w:after="0" w:line="205" w:lineRule="exact"/>
              <w:rPr>
                <w:rFonts w:ascii="Arial" w:cs="Arial" w:eastAsia="Arial" w:hAnsi="Arial"/>
                <w:sz w:val="18"/>
                <w:szCs w:val="18"/>
                <w:color w:val="0000FF"/>
                <w:w w:val="93"/>
              </w:rPr>
            </w:pPr>
            <w:hyperlink r:id="rId52">
              <w:r>
                <w:rPr>
                  <w:rFonts w:ascii="Arial" w:cs="Arial" w:eastAsia="Arial" w:hAnsi="Arial"/>
                  <w:sz w:val="18"/>
                  <w:szCs w:val="18"/>
                  <w:color w:val="0000FF"/>
                  <w:w w:val="93"/>
                </w:rPr>
                <w:t>Confirmatory Employment Letter between Nautilus Biotechnology, Inc. and Sujal Patel (incorporated by reference to Exhibit 10.12 to the</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17"/>
          </w:tcPr>
          <w:p>
            <w:pPr>
              <w:spacing w:after="0" w:line="152" w:lineRule="exact"/>
              <w:rPr>
                <w:rFonts w:ascii="Arial" w:cs="Arial" w:eastAsia="Arial" w:hAnsi="Arial"/>
                <w:sz w:val="17"/>
                <w:szCs w:val="17"/>
                <w:color w:val="0000FF"/>
              </w:rPr>
            </w:pPr>
            <w:hyperlink r:id="rId52">
              <w:r>
                <w:rPr>
                  <w:rFonts w:ascii="Arial" w:cs="Arial" w:eastAsia="Arial" w:hAnsi="Arial"/>
                  <w:sz w:val="17"/>
                  <w:szCs w:val="17"/>
                  <w:color w:val="0000FF"/>
                </w:rPr>
                <w:t>Proxy Statement/Prospectus).</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32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40" w:type="dxa"/>
            <w:vAlign w:val="bottom"/>
          </w:tcPr>
          <w:p>
            <w:pPr>
              <w:ind w:left="20"/>
              <w:spacing w:after="0"/>
              <w:rPr>
                <w:sz w:val="20"/>
                <w:szCs w:val="20"/>
                <w:color w:val="auto"/>
              </w:rPr>
            </w:pPr>
            <w:r>
              <w:rPr>
                <w:rFonts w:ascii="Arial" w:cs="Arial" w:eastAsia="Arial" w:hAnsi="Arial"/>
                <w:sz w:val="16"/>
                <w:szCs w:val="16"/>
                <w:color w:val="auto"/>
              </w:rPr>
              <w:t>10.10+</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34"/>
          </w:tcPr>
          <w:p>
            <w:pPr>
              <w:spacing w:after="0" w:line="205"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Confirmatory Employment Letter between Nautilus Biotechnology, Inc. and Anna Mowry (incorporated by reference to Exhibit 10.13 to the</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30"/>
          </w:tcPr>
          <w:p>
            <w:pPr>
              <w:spacing w:after="0" w:line="152" w:lineRule="exact"/>
              <w:rPr>
                <w:rFonts w:ascii="Arial" w:cs="Arial" w:eastAsia="Arial" w:hAnsi="Arial"/>
                <w:sz w:val="17"/>
                <w:szCs w:val="17"/>
                <w:color w:val="0000FF"/>
              </w:rPr>
            </w:pPr>
            <w:hyperlink r:id="rId53">
              <w:r>
                <w:rPr>
                  <w:rFonts w:ascii="Arial" w:cs="Arial" w:eastAsia="Arial" w:hAnsi="Arial"/>
                  <w:sz w:val="17"/>
                  <w:szCs w:val="17"/>
                  <w:color w:val="0000FF"/>
                </w:rPr>
                <w:t>Proxy Statement/Prospectus).</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32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40" w:type="dxa"/>
            <w:vAlign w:val="bottom"/>
          </w:tcPr>
          <w:p>
            <w:pPr>
              <w:ind w:left="20"/>
              <w:spacing w:after="0"/>
              <w:rPr>
                <w:sz w:val="20"/>
                <w:szCs w:val="20"/>
                <w:color w:val="auto"/>
              </w:rPr>
            </w:pPr>
            <w:r>
              <w:rPr>
                <w:rFonts w:ascii="Arial" w:cs="Arial" w:eastAsia="Arial" w:hAnsi="Arial"/>
                <w:sz w:val="16"/>
                <w:szCs w:val="16"/>
                <w:color w:val="auto"/>
              </w:rPr>
              <w:t>10.11+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34"/>
          </w:tcPr>
          <w:p>
            <w:pPr>
              <w:spacing w:after="0" w:line="205"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Confirmatory Employment Letter between Nautilus Biotechnology, Inc. and Subra Sankar (incorporated by reference to Exhibit 10.15 to the</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29"/>
          </w:tcPr>
          <w:p>
            <w:pPr>
              <w:spacing w:after="0" w:line="152" w:lineRule="exact"/>
              <w:rPr>
                <w:rFonts w:ascii="Arial" w:cs="Arial" w:eastAsia="Arial" w:hAnsi="Arial"/>
                <w:sz w:val="17"/>
                <w:szCs w:val="17"/>
                <w:color w:val="0000FF"/>
              </w:rPr>
            </w:pPr>
            <w:hyperlink r:id="rId54">
              <w:r>
                <w:rPr>
                  <w:rFonts w:ascii="Arial" w:cs="Arial" w:eastAsia="Arial" w:hAnsi="Arial"/>
                  <w:sz w:val="17"/>
                  <w:szCs w:val="17"/>
                  <w:color w:val="0000FF"/>
                </w:rPr>
                <w:t>Proxy Statement/Prospectus).</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32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40" w:type="dxa"/>
            <w:vAlign w:val="bottom"/>
          </w:tcPr>
          <w:p>
            <w:pPr>
              <w:ind w:left="20"/>
              <w:spacing w:after="0"/>
              <w:rPr>
                <w:sz w:val="20"/>
                <w:szCs w:val="20"/>
                <w:color w:val="auto"/>
              </w:rPr>
            </w:pPr>
            <w:r>
              <w:rPr>
                <w:rFonts w:ascii="Arial" w:cs="Arial" w:eastAsia="Arial" w:hAnsi="Arial"/>
                <w:sz w:val="16"/>
                <w:szCs w:val="16"/>
                <w:color w:val="auto"/>
              </w:rPr>
              <w:t>10.12+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34"/>
          </w:tcPr>
          <w:p>
            <w:pPr>
              <w:spacing w:after="0" w:line="205"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Confirmatory Employment Letter between Nautilus Biotechnology, Inc. and Nick Nelson (incorporated by reference to Exhibit 10.14 to the</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25"/>
          </w:tcPr>
          <w:p>
            <w:pPr>
              <w:spacing w:after="0" w:line="152" w:lineRule="exact"/>
              <w:rPr>
                <w:rFonts w:ascii="Arial" w:cs="Arial" w:eastAsia="Arial" w:hAnsi="Arial"/>
                <w:sz w:val="17"/>
                <w:szCs w:val="17"/>
                <w:color w:val="0000FF"/>
              </w:rPr>
            </w:pPr>
            <w:hyperlink r:id="rId55">
              <w:r>
                <w:rPr>
                  <w:rFonts w:ascii="Arial" w:cs="Arial" w:eastAsia="Arial" w:hAnsi="Arial"/>
                  <w:sz w:val="17"/>
                  <w:szCs w:val="17"/>
                  <w:color w:val="0000FF"/>
                </w:rPr>
                <w:t>Proxy Statement/Prospectus).</w:t>
              </w:r>
            </w:hyperlink>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32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40" w:type="dxa"/>
            <w:vAlign w:val="bottom"/>
          </w:tcPr>
          <w:p>
            <w:pPr>
              <w:ind w:left="20"/>
              <w:spacing w:after="0"/>
              <w:rPr>
                <w:sz w:val="20"/>
                <w:szCs w:val="20"/>
                <w:color w:val="auto"/>
              </w:rPr>
            </w:pPr>
            <w:r>
              <w:rPr>
                <w:rFonts w:ascii="Arial" w:cs="Arial" w:eastAsia="Arial" w:hAnsi="Arial"/>
                <w:sz w:val="16"/>
                <w:szCs w:val="16"/>
                <w:color w:val="auto"/>
              </w:rPr>
              <w:t>10.13+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34"/>
          </w:tcPr>
          <w:p>
            <w:pPr>
              <w:spacing w:after="0" w:line="205"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Confirmatory Employment Letter between Nautilus Biotechnology, Inc. and Parag Mallick (incorporated by reference to Exhibit 10.16 to the</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tcBorders>
              <w:top w:val="single" w:sz="8" w:color="0000FF"/>
            </w:tcBorders>
            <w:gridSpan w:val="33"/>
          </w:tcPr>
          <w:p>
            <w:pPr>
              <w:spacing w:after="0" w:line="152" w:lineRule="exact"/>
              <w:rPr>
                <w:rFonts w:ascii="Arial" w:cs="Arial" w:eastAsia="Arial" w:hAnsi="Arial"/>
                <w:sz w:val="17"/>
                <w:szCs w:val="17"/>
                <w:color w:val="0000FF"/>
              </w:rPr>
            </w:pPr>
            <w:hyperlink r:id="rId56">
              <w:r>
                <w:rPr>
                  <w:rFonts w:ascii="Arial" w:cs="Arial" w:eastAsia="Arial" w:hAnsi="Arial"/>
                  <w:sz w:val="17"/>
                  <w:szCs w:val="17"/>
                  <w:color w:val="0000FF"/>
                </w:rPr>
                <w:t>Proxy Statement/Prospectus).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32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40" w:type="dxa"/>
            <w:vAlign w:val="bottom"/>
          </w:tcPr>
          <w:p>
            <w:pPr>
              <w:ind w:left="20"/>
              <w:spacing w:after="0"/>
              <w:rPr>
                <w:sz w:val="20"/>
                <w:szCs w:val="20"/>
                <w:color w:val="auto"/>
              </w:rPr>
            </w:pPr>
            <w:r>
              <w:rPr>
                <w:rFonts w:ascii="Arial" w:cs="Arial" w:eastAsia="Arial" w:hAnsi="Arial"/>
                <w:sz w:val="16"/>
                <w:szCs w:val="16"/>
                <w:color w:val="auto"/>
              </w:rPr>
              <w:t>10.14+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34"/>
          </w:tcPr>
          <w:p>
            <w:pPr>
              <w:spacing w:after="0" w:line="205"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Confirmatory Employment Letter between Nautilus Biotechnology, Inc. and Matt Murphy (incorporated by reference to Exhibit 10.17 to the</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30"/>
          </w:tcPr>
          <w:p>
            <w:pPr>
              <w:spacing w:after="0" w:line="152" w:lineRule="exact"/>
              <w:rPr>
                <w:rFonts w:ascii="Arial" w:cs="Arial" w:eastAsia="Arial" w:hAnsi="Arial"/>
                <w:sz w:val="17"/>
                <w:szCs w:val="17"/>
                <w:color w:val="0000FF"/>
              </w:rPr>
            </w:pPr>
            <w:hyperlink r:id="rId57">
              <w:r>
                <w:rPr>
                  <w:rFonts w:ascii="Arial" w:cs="Arial" w:eastAsia="Arial" w:hAnsi="Arial"/>
                  <w:sz w:val="17"/>
                  <w:szCs w:val="17"/>
                  <w:color w:val="0000FF"/>
                </w:rPr>
                <w:t>Proxy Statement/Prospectus).</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32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40" w:type="dxa"/>
            <w:vAlign w:val="bottom"/>
          </w:tcPr>
          <w:p>
            <w:pPr>
              <w:ind w:left="20"/>
              <w:spacing w:after="0"/>
              <w:rPr>
                <w:sz w:val="20"/>
                <w:szCs w:val="20"/>
                <w:color w:val="auto"/>
              </w:rPr>
            </w:pPr>
            <w:r>
              <w:rPr>
                <w:rFonts w:ascii="Arial" w:cs="Arial" w:eastAsia="Arial" w:hAnsi="Arial"/>
                <w:sz w:val="16"/>
                <w:szCs w:val="16"/>
                <w:color w:val="auto"/>
              </w:rPr>
              <w:t>10.15+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34"/>
          </w:tcPr>
          <w:p>
            <w:pPr>
              <w:spacing w:after="0" w:line="205" w:lineRule="exact"/>
              <w:rPr>
                <w:rFonts w:ascii="Arial" w:cs="Arial" w:eastAsia="Arial" w:hAnsi="Arial"/>
                <w:sz w:val="18"/>
                <w:szCs w:val="18"/>
                <w:color w:val="0000FF"/>
                <w:w w:val="92"/>
              </w:rPr>
            </w:pPr>
            <w:hyperlink r:id="rId58">
              <w:r>
                <w:rPr>
                  <w:rFonts w:ascii="Arial" w:cs="Arial" w:eastAsia="Arial" w:hAnsi="Arial"/>
                  <w:sz w:val="18"/>
                  <w:szCs w:val="18"/>
                  <w:color w:val="0000FF"/>
                  <w:w w:val="92"/>
                </w:rPr>
                <w:t>Change in Control and Severance Agreement between Nautilus Biotechnology, Inc. and Sujal Patel (incorporated by reference to Exhibit</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14"/>
          </w:tcPr>
          <w:p>
            <w:pPr>
              <w:spacing w:after="0" w:line="152" w:lineRule="exact"/>
              <w:rPr>
                <w:rFonts w:ascii="Arial" w:cs="Arial" w:eastAsia="Arial" w:hAnsi="Arial"/>
                <w:sz w:val="17"/>
                <w:szCs w:val="17"/>
                <w:color w:val="0000FF"/>
              </w:rPr>
            </w:pPr>
            <w:hyperlink r:id="rId58">
              <w:r>
                <w:rPr>
                  <w:rFonts w:ascii="Arial" w:cs="Arial" w:eastAsia="Arial" w:hAnsi="Arial"/>
                  <w:sz w:val="17"/>
                  <w:szCs w:val="17"/>
                  <w:color w:val="0000FF"/>
                </w:rPr>
                <w:t>10.</w:t>
              </w:r>
              <w:r>
                <w:rPr>
                  <w:rFonts w:ascii="Arial" w:cs="Arial" w:eastAsia="Arial" w:hAnsi="Arial"/>
                  <w:sz w:val="17"/>
                  <w:szCs w:val="17"/>
                  <w:u w:val="single" w:color="auto"/>
                  <w:color w:val="0000FF"/>
                </w:rPr>
                <w:t>18</w:t>
              </w:r>
              <w:r>
                <w:rPr>
                  <w:rFonts w:ascii="Arial" w:cs="Arial" w:eastAsia="Arial" w:hAnsi="Arial"/>
                  <w:sz w:val="17"/>
                  <w:szCs w:val="17"/>
                  <w:color w:val="0000FF"/>
                </w:rPr>
                <w:t xml:space="preserve"> to the Proxy Statement/Prospectus).</w:t>
              </w:r>
            </w:hyperlink>
          </w:p>
        </w:tc>
        <w:tc>
          <w:tcPr>
            <w:tcW w:w="14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gridSpan w:val="6"/>
            <w:shd w:val="clear" w:color="auto" w:fill="0000FF"/>
          </w:tcPr>
          <w:p>
            <w:pPr>
              <w:spacing w:after="0" w:line="20" w:lineRule="exact"/>
              <w:rPr>
                <w:sz w:val="1"/>
                <w:szCs w:val="1"/>
                <w:color w:val="auto"/>
              </w:rPr>
            </w:pPr>
          </w:p>
        </w:tc>
        <w:tc>
          <w:tcPr>
            <w:tcW w:w="6320" w:type="dxa"/>
            <w:vAlign w:val="bottom"/>
            <w:gridSpan w:val="5"/>
          </w:tcPr>
          <w:p>
            <w:pPr>
              <w:spacing w:after="0" w:line="20" w:lineRule="exact"/>
              <w:rPr>
                <w:sz w:val="1"/>
                <w:szCs w:val="1"/>
                <w:color w:val="auto"/>
              </w:rPr>
            </w:pPr>
          </w:p>
        </w:tc>
        <w:tc>
          <w:tcPr>
            <w:tcW w:w="52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40" w:type="dxa"/>
            <w:vAlign w:val="bottom"/>
          </w:tcPr>
          <w:p>
            <w:pPr>
              <w:ind w:left="20"/>
              <w:spacing w:after="0"/>
              <w:rPr>
                <w:sz w:val="20"/>
                <w:szCs w:val="20"/>
                <w:color w:val="auto"/>
              </w:rPr>
            </w:pPr>
            <w:r>
              <w:rPr>
                <w:rFonts w:ascii="Arial" w:cs="Arial" w:eastAsia="Arial" w:hAnsi="Arial"/>
                <w:sz w:val="16"/>
                <w:szCs w:val="16"/>
                <w:color w:val="auto"/>
              </w:rPr>
              <w:t>10.16+</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34"/>
          </w:tcPr>
          <w:p>
            <w:pPr>
              <w:spacing w:after="0" w:line="205"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Change in Control and Severance Agreement between Nautilus Biotechnology, Inc. and Anna Mowry (incorporated by reference to Exhibit</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24"/>
          </w:tcPr>
          <w:p>
            <w:pPr>
              <w:spacing w:after="0" w:line="152" w:lineRule="exact"/>
              <w:rPr>
                <w:rFonts w:ascii="Arial" w:cs="Arial" w:eastAsia="Arial" w:hAnsi="Arial"/>
                <w:sz w:val="17"/>
                <w:szCs w:val="17"/>
                <w:color w:val="0000FF"/>
              </w:rPr>
            </w:pPr>
            <w:hyperlink r:id="rId59">
              <w:r>
                <w:rPr>
                  <w:rFonts w:ascii="Arial" w:cs="Arial" w:eastAsia="Arial" w:hAnsi="Arial"/>
                  <w:sz w:val="17"/>
                  <w:szCs w:val="17"/>
                  <w:color w:val="0000FF"/>
                </w:rPr>
                <w:t>10.</w:t>
              </w:r>
              <w:r>
                <w:rPr>
                  <w:rFonts w:ascii="Arial" w:cs="Arial" w:eastAsia="Arial" w:hAnsi="Arial"/>
                  <w:sz w:val="17"/>
                  <w:szCs w:val="17"/>
                  <w:u w:val="single" w:color="auto"/>
                  <w:color w:val="0000FF"/>
                </w:rPr>
                <w:t>19</w:t>
              </w:r>
              <w:r>
                <w:rPr>
                  <w:rFonts w:ascii="Arial" w:cs="Arial" w:eastAsia="Arial" w:hAnsi="Arial"/>
                  <w:sz w:val="17"/>
                  <w:szCs w:val="17"/>
                  <w:color w:val="0000FF"/>
                </w:rPr>
                <w:t xml:space="preserve"> to the Proxy Statement/Prospectus).</w:t>
              </w:r>
            </w:hyperlink>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gridSpan w:val="6"/>
            <w:shd w:val="clear" w:color="auto" w:fill="0000FF"/>
          </w:tcPr>
          <w:p>
            <w:pPr>
              <w:spacing w:after="0" w:line="20" w:lineRule="exact"/>
              <w:rPr>
                <w:sz w:val="1"/>
                <w:szCs w:val="1"/>
                <w:color w:val="auto"/>
              </w:rPr>
            </w:pPr>
          </w:p>
        </w:tc>
        <w:tc>
          <w:tcPr>
            <w:tcW w:w="6320" w:type="dxa"/>
            <w:vAlign w:val="bottom"/>
            <w:gridSpan w:val="5"/>
          </w:tcPr>
          <w:p>
            <w:pPr>
              <w:spacing w:after="0" w:line="20" w:lineRule="exact"/>
              <w:rPr>
                <w:sz w:val="1"/>
                <w:szCs w:val="1"/>
                <w:color w:val="auto"/>
              </w:rPr>
            </w:pPr>
          </w:p>
        </w:tc>
        <w:tc>
          <w:tcPr>
            <w:tcW w:w="52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40" w:type="dxa"/>
            <w:vAlign w:val="bottom"/>
          </w:tcPr>
          <w:p>
            <w:pPr>
              <w:ind w:left="20"/>
              <w:spacing w:after="0"/>
              <w:rPr>
                <w:sz w:val="20"/>
                <w:szCs w:val="20"/>
                <w:color w:val="auto"/>
              </w:rPr>
            </w:pPr>
            <w:r>
              <w:rPr>
                <w:rFonts w:ascii="Arial" w:cs="Arial" w:eastAsia="Arial" w:hAnsi="Arial"/>
                <w:sz w:val="16"/>
                <w:szCs w:val="16"/>
                <w:color w:val="auto"/>
              </w:rPr>
              <w:t>10.17+</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34"/>
          </w:tcPr>
          <w:p>
            <w:pPr>
              <w:spacing w:after="0" w:line="205"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Change in Control and Severance Agreement between Nautilus Biotechnology, Inc. and Subra Sankar (incorporated by reference to Exhibit</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23"/>
          </w:tcPr>
          <w:p>
            <w:pPr>
              <w:spacing w:after="0" w:line="152" w:lineRule="exact"/>
              <w:rPr>
                <w:rFonts w:ascii="Arial" w:cs="Arial" w:eastAsia="Arial" w:hAnsi="Arial"/>
                <w:sz w:val="17"/>
                <w:szCs w:val="17"/>
                <w:color w:val="0000FF"/>
              </w:rPr>
            </w:pPr>
            <w:hyperlink r:id="rId60">
              <w:r>
                <w:rPr>
                  <w:rFonts w:ascii="Arial" w:cs="Arial" w:eastAsia="Arial" w:hAnsi="Arial"/>
                  <w:sz w:val="17"/>
                  <w:szCs w:val="17"/>
                  <w:color w:val="0000FF"/>
                </w:rPr>
                <w:t>10.</w:t>
              </w:r>
              <w:r>
                <w:rPr>
                  <w:rFonts w:ascii="Arial" w:cs="Arial" w:eastAsia="Arial" w:hAnsi="Arial"/>
                  <w:sz w:val="17"/>
                  <w:szCs w:val="17"/>
                  <w:u w:val="single" w:color="auto"/>
                  <w:color w:val="0000FF"/>
                </w:rPr>
                <w:t>21</w:t>
              </w:r>
              <w:r>
                <w:rPr>
                  <w:rFonts w:ascii="Arial" w:cs="Arial" w:eastAsia="Arial" w:hAnsi="Arial"/>
                  <w:sz w:val="17"/>
                  <w:szCs w:val="17"/>
                  <w:color w:val="0000FF"/>
                </w:rPr>
                <w:t xml:space="preserve"> to the Proxy Statement/Prospectus).</w:t>
              </w:r>
            </w:hyperlink>
          </w:p>
        </w:tc>
        <w:tc>
          <w:tcPr>
            <w:tcW w:w="100" w:type="dxa"/>
            <w:vAlign w:val="bottom"/>
            <w:gridSpan w:val="5"/>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gridSpan w:val="6"/>
            <w:shd w:val="clear" w:color="auto" w:fill="0000FF"/>
          </w:tcPr>
          <w:p>
            <w:pPr>
              <w:spacing w:after="0" w:line="20" w:lineRule="exact"/>
              <w:rPr>
                <w:sz w:val="1"/>
                <w:szCs w:val="1"/>
                <w:color w:val="auto"/>
              </w:rPr>
            </w:pPr>
          </w:p>
        </w:tc>
        <w:tc>
          <w:tcPr>
            <w:tcW w:w="6320" w:type="dxa"/>
            <w:vAlign w:val="bottom"/>
            <w:gridSpan w:val="5"/>
          </w:tcPr>
          <w:p>
            <w:pPr>
              <w:spacing w:after="0" w:line="20" w:lineRule="exact"/>
              <w:rPr>
                <w:sz w:val="1"/>
                <w:szCs w:val="1"/>
                <w:color w:val="auto"/>
              </w:rPr>
            </w:pPr>
          </w:p>
        </w:tc>
        <w:tc>
          <w:tcPr>
            <w:tcW w:w="520" w:type="dxa"/>
            <w:vAlign w:val="bottom"/>
            <w:gridSpan w:val="9"/>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40" w:type="dxa"/>
            <w:vAlign w:val="bottom"/>
          </w:tcPr>
          <w:p>
            <w:pPr>
              <w:ind w:left="20"/>
              <w:spacing w:after="0"/>
              <w:rPr>
                <w:sz w:val="20"/>
                <w:szCs w:val="20"/>
                <w:color w:val="auto"/>
              </w:rPr>
            </w:pPr>
            <w:r>
              <w:rPr>
                <w:rFonts w:ascii="Arial" w:cs="Arial" w:eastAsia="Arial" w:hAnsi="Arial"/>
                <w:sz w:val="16"/>
                <w:szCs w:val="16"/>
                <w:color w:val="auto"/>
              </w:rPr>
              <w:t>10.18+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34"/>
          </w:tcPr>
          <w:p>
            <w:pPr>
              <w:spacing w:after="0" w:line="205"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Change in Control and Severance Agreement between Nautilus Biotechnology, Inc. and Nick Nelson (incorporated by reference to Exhibit</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20"/>
          </w:tcPr>
          <w:p>
            <w:pPr>
              <w:spacing w:after="0" w:line="152" w:lineRule="exact"/>
              <w:rPr>
                <w:rFonts w:ascii="Arial" w:cs="Arial" w:eastAsia="Arial" w:hAnsi="Arial"/>
                <w:sz w:val="17"/>
                <w:szCs w:val="17"/>
                <w:color w:val="0000FF"/>
              </w:rPr>
            </w:pPr>
            <w:hyperlink r:id="rId61">
              <w:r>
                <w:rPr>
                  <w:rFonts w:ascii="Arial" w:cs="Arial" w:eastAsia="Arial" w:hAnsi="Arial"/>
                  <w:sz w:val="17"/>
                  <w:szCs w:val="17"/>
                  <w:color w:val="0000FF"/>
                </w:rPr>
                <w:t>10.</w:t>
              </w:r>
              <w:r>
                <w:rPr>
                  <w:rFonts w:ascii="Arial" w:cs="Arial" w:eastAsia="Arial" w:hAnsi="Arial"/>
                  <w:sz w:val="17"/>
                  <w:szCs w:val="17"/>
                  <w:u w:val="single" w:color="auto"/>
                  <w:color w:val="0000FF"/>
                </w:rPr>
                <w:t>20</w:t>
              </w:r>
              <w:r>
                <w:rPr>
                  <w:rFonts w:ascii="Arial" w:cs="Arial" w:eastAsia="Arial" w:hAnsi="Arial"/>
                  <w:sz w:val="17"/>
                  <w:szCs w:val="17"/>
                  <w:color w:val="0000FF"/>
                </w:rPr>
                <w:t xml:space="preserve"> to the Proxy Statement/Prospectus).</w:t>
              </w:r>
            </w:hyperlink>
          </w:p>
        </w:tc>
        <w:tc>
          <w:tcPr>
            <w:tcW w:w="160" w:type="dxa"/>
            <w:vAlign w:val="bottom"/>
            <w:gridSpan w:val="8"/>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gridSpan w:val="6"/>
            <w:shd w:val="clear" w:color="auto" w:fill="0000FF"/>
          </w:tcPr>
          <w:p>
            <w:pPr>
              <w:spacing w:after="0" w:line="20" w:lineRule="exact"/>
              <w:rPr>
                <w:sz w:val="1"/>
                <w:szCs w:val="1"/>
                <w:color w:val="auto"/>
              </w:rPr>
            </w:pPr>
          </w:p>
        </w:tc>
        <w:tc>
          <w:tcPr>
            <w:tcW w:w="6320" w:type="dxa"/>
            <w:vAlign w:val="bottom"/>
            <w:gridSpan w:val="5"/>
          </w:tcPr>
          <w:p>
            <w:pPr>
              <w:spacing w:after="0" w:line="20" w:lineRule="exact"/>
              <w:rPr>
                <w:sz w:val="1"/>
                <w:szCs w:val="1"/>
                <w:color w:val="auto"/>
              </w:rPr>
            </w:pPr>
          </w:p>
        </w:tc>
        <w:tc>
          <w:tcPr>
            <w:tcW w:w="680" w:type="dxa"/>
            <w:vAlign w:val="bottom"/>
            <w:gridSpan w:val="17"/>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40" w:type="dxa"/>
            <w:vAlign w:val="bottom"/>
          </w:tcPr>
          <w:p>
            <w:pPr>
              <w:ind w:left="20"/>
              <w:spacing w:after="0"/>
              <w:rPr>
                <w:sz w:val="20"/>
                <w:szCs w:val="20"/>
                <w:color w:val="auto"/>
              </w:rPr>
            </w:pPr>
            <w:r>
              <w:rPr>
                <w:rFonts w:ascii="Arial" w:cs="Arial" w:eastAsia="Arial" w:hAnsi="Arial"/>
                <w:sz w:val="16"/>
                <w:szCs w:val="16"/>
                <w:color w:val="auto"/>
              </w:rPr>
              <w:t>10.19+</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34"/>
          </w:tcPr>
          <w:p>
            <w:pPr>
              <w:spacing w:after="0" w:line="205"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Change in Control and Severance Agreement between Nautilus Biotechnology, Inc. and Parag Mallick (incorporated by reference to Exhibit</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tcBorders>
            <w:gridSpan w:val="28"/>
          </w:tcPr>
          <w:p>
            <w:pPr>
              <w:spacing w:after="0" w:line="152" w:lineRule="exact"/>
              <w:rPr>
                <w:rFonts w:ascii="Arial" w:cs="Arial" w:eastAsia="Arial" w:hAnsi="Arial"/>
                <w:sz w:val="17"/>
                <w:szCs w:val="17"/>
                <w:color w:val="0000FF"/>
              </w:rPr>
            </w:pPr>
            <w:hyperlink r:id="rId62">
              <w:r>
                <w:rPr>
                  <w:rFonts w:ascii="Arial" w:cs="Arial" w:eastAsia="Arial" w:hAnsi="Arial"/>
                  <w:sz w:val="17"/>
                  <w:szCs w:val="17"/>
                  <w:color w:val="0000FF"/>
                </w:rPr>
                <w:t>10.</w:t>
              </w:r>
              <w:r>
                <w:rPr>
                  <w:rFonts w:ascii="Arial" w:cs="Arial" w:eastAsia="Arial" w:hAnsi="Arial"/>
                  <w:sz w:val="17"/>
                  <w:szCs w:val="17"/>
                  <w:u w:val="single" w:color="auto"/>
                  <w:color w:val="0000FF"/>
                </w:rPr>
                <w:t>22</w:t>
              </w:r>
              <w:r>
                <w:rPr>
                  <w:rFonts w:ascii="Arial" w:cs="Arial" w:eastAsia="Arial" w:hAnsi="Arial"/>
                  <w:sz w:val="17"/>
                  <w:szCs w:val="17"/>
                  <w:color w:val="0000FF"/>
                </w:rPr>
                <w:t xml:space="preserve"> to the Proxy Statement/Prospectus).</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gridSpan w:val="6"/>
            <w:shd w:val="clear" w:color="auto" w:fill="0000FF"/>
          </w:tcPr>
          <w:p>
            <w:pPr>
              <w:spacing w:after="0" w:line="20" w:lineRule="exact"/>
              <w:rPr>
                <w:sz w:val="1"/>
                <w:szCs w:val="1"/>
                <w:color w:val="auto"/>
              </w:rPr>
            </w:pPr>
          </w:p>
        </w:tc>
        <w:tc>
          <w:tcPr>
            <w:tcW w:w="6320" w:type="dxa"/>
            <w:vAlign w:val="bottom"/>
            <w:gridSpan w:val="5"/>
          </w:tcPr>
          <w:p>
            <w:pPr>
              <w:spacing w:after="0" w:line="20" w:lineRule="exact"/>
              <w:rPr>
                <w:sz w:val="1"/>
                <w:szCs w:val="1"/>
                <w:color w:val="auto"/>
              </w:rPr>
            </w:pPr>
          </w:p>
        </w:tc>
        <w:tc>
          <w:tcPr>
            <w:tcW w:w="800" w:type="dxa"/>
            <w:vAlign w:val="bottom"/>
            <w:gridSpan w:val="2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40" w:type="dxa"/>
            <w:vAlign w:val="bottom"/>
          </w:tcPr>
          <w:p>
            <w:pPr>
              <w:ind w:left="20"/>
              <w:spacing w:after="0"/>
              <w:rPr>
                <w:sz w:val="20"/>
                <w:szCs w:val="20"/>
                <w:color w:val="auto"/>
              </w:rPr>
            </w:pPr>
            <w:r>
              <w:rPr>
                <w:rFonts w:ascii="Arial" w:cs="Arial" w:eastAsia="Arial" w:hAnsi="Arial"/>
                <w:sz w:val="16"/>
                <w:szCs w:val="16"/>
                <w:color w:val="auto"/>
              </w:rPr>
              <w:t>10.20+</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34"/>
          </w:tcPr>
          <w:p>
            <w:pPr>
              <w:spacing w:after="0" w:line="205"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Change in Control and Severance Agreement between Nautilus Biotechnology, Inc. and Matt Murphy (incorporated by reference to Exhibit</w:t>
              </w:r>
            </w:hyperlink>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24"/>
          </w:tcPr>
          <w:p>
            <w:pPr>
              <w:spacing w:after="0" w:line="152" w:lineRule="exact"/>
              <w:rPr>
                <w:rFonts w:ascii="Arial" w:cs="Arial" w:eastAsia="Arial" w:hAnsi="Arial"/>
                <w:sz w:val="17"/>
                <w:szCs w:val="17"/>
                <w:color w:val="0000FF"/>
              </w:rPr>
            </w:pPr>
            <w:hyperlink r:id="rId63">
              <w:r>
                <w:rPr>
                  <w:rFonts w:ascii="Arial" w:cs="Arial" w:eastAsia="Arial" w:hAnsi="Arial"/>
                  <w:sz w:val="17"/>
                  <w:szCs w:val="17"/>
                  <w:color w:val="0000FF"/>
                </w:rPr>
                <w:t>10.</w:t>
              </w:r>
              <w:r>
                <w:rPr>
                  <w:rFonts w:ascii="Arial" w:cs="Arial" w:eastAsia="Arial" w:hAnsi="Arial"/>
                  <w:sz w:val="17"/>
                  <w:szCs w:val="17"/>
                  <w:u w:val="single" w:color="auto"/>
                  <w:color w:val="0000FF"/>
                </w:rPr>
                <w:t>23</w:t>
              </w:r>
              <w:r>
                <w:rPr>
                  <w:rFonts w:ascii="Arial" w:cs="Arial" w:eastAsia="Arial" w:hAnsi="Arial"/>
                  <w:sz w:val="17"/>
                  <w:szCs w:val="17"/>
                  <w:color w:val="0000FF"/>
                </w:rPr>
                <w:t xml:space="preserve"> to the Proxy Statement/Prospectus).</w:t>
              </w:r>
            </w:hyperlink>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gridSpan w:val="6"/>
            <w:shd w:val="clear" w:color="auto" w:fill="0000FF"/>
          </w:tcPr>
          <w:p>
            <w:pPr>
              <w:spacing w:after="0" w:line="20" w:lineRule="exact"/>
              <w:rPr>
                <w:sz w:val="1"/>
                <w:szCs w:val="1"/>
                <w:color w:val="auto"/>
              </w:rPr>
            </w:pPr>
          </w:p>
        </w:tc>
        <w:tc>
          <w:tcPr>
            <w:tcW w:w="6320" w:type="dxa"/>
            <w:vAlign w:val="bottom"/>
            <w:gridSpan w:val="5"/>
          </w:tcPr>
          <w:p>
            <w:pPr>
              <w:spacing w:after="0" w:line="20" w:lineRule="exact"/>
              <w:rPr>
                <w:sz w:val="1"/>
                <w:szCs w:val="1"/>
                <w:color w:val="auto"/>
              </w:rPr>
            </w:pPr>
          </w:p>
        </w:tc>
        <w:tc>
          <w:tcPr>
            <w:tcW w:w="800" w:type="dxa"/>
            <w:vAlign w:val="bottom"/>
            <w:gridSpan w:val="2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40" w:type="dxa"/>
            <w:vAlign w:val="bottom"/>
          </w:tcPr>
          <w:p>
            <w:pPr>
              <w:ind w:left="20"/>
              <w:spacing w:after="0"/>
              <w:rPr>
                <w:sz w:val="20"/>
                <w:szCs w:val="20"/>
                <w:color w:val="auto"/>
              </w:rPr>
            </w:pPr>
            <w:r>
              <w:rPr>
                <w:rFonts w:ascii="Arial" w:cs="Arial" w:eastAsia="Arial" w:hAnsi="Arial"/>
                <w:sz w:val="16"/>
                <w:szCs w:val="16"/>
                <w:color w:val="auto"/>
              </w:rPr>
              <w:t>10.21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80" w:type="dxa"/>
            <w:vAlign w:val="bottom"/>
            <w:tcBorders>
              <w:bottom w:val="single" w:sz="8" w:color="0000FF"/>
            </w:tcBorders>
            <w:gridSpan w:val="11"/>
          </w:tcPr>
          <w:p>
            <w:pPr>
              <w:spacing w:after="0" w:line="205" w:lineRule="exact"/>
              <w:rPr>
                <w:rFonts w:ascii="Arial" w:cs="Arial" w:eastAsia="Arial" w:hAnsi="Arial"/>
                <w:sz w:val="18"/>
                <w:szCs w:val="18"/>
                <w:color w:val="0000FF"/>
                <w:w w:val="89"/>
              </w:rPr>
            </w:pPr>
            <w:hyperlink r:id="rId64">
              <w:r>
                <w:rPr>
                  <w:rFonts w:ascii="Arial" w:cs="Arial" w:eastAsia="Arial" w:hAnsi="Arial"/>
                  <w:sz w:val="18"/>
                  <w:szCs w:val="18"/>
                  <w:color w:val="0000FF"/>
                  <w:w w:val="89"/>
                </w:rPr>
                <w:t>Form of New Nautilus Indemnification Agreement (incorporated by reference to Exhibit 10.24 to the Proxy Statement/Prospectus).</w:t>
              </w:r>
            </w:hyperlink>
          </w:p>
        </w:tc>
        <w:tc>
          <w:tcPr>
            <w:tcW w:w="80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6"/>
                <w:szCs w:val="16"/>
                <w:color w:val="auto"/>
              </w:rPr>
              <w:t>10.22+</w:t>
            </w:r>
          </w:p>
        </w:tc>
        <w:tc>
          <w:tcPr>
            <w:tcW w:w="9860" w:type="dxa"/>
            <w:vAlign w:val="bottom"/>
            <w:gridSpan w:val="3"/>
          </w:tcPr>
          <w:p>
            <w:pPr>
              <w:spacing w:after="0"/>
              <w:rPr>
                <w:rFonts w:ascii="Arial" w:cs="Arial" w:eastAsia="Arial" w:hAnsi="Arial"/>
                <w:sz w:val="18"/>
                <w:szCs w:val="18"/>
                <w:color w:val="0000FF"/>
                <w:w w:val="99"/>
              </w:rPr>
            </w:pPr>
            <w:hyperlink r:id="rId65">
              <w:r>
                <w:rPr>
                  <w:rFonts w:ascii="Arial" w:cs="Arial" w:eastAsia="Arial" w:hAnsi="Arial"/>
                  <w:sz w:val="18"/>
                  <w:szCs w:val="18"/>
                  <w:color w:val="0000FF"/>
                  <w:w w:val="99"/>
                </w:rPr>
                <w:t>Nautilus Biotechnology, Inc. Executive Incentive Compensation Plan (incorporated by reference to Exhibit 10.25 to the Proxy</w:t>
              </w:r>
            </w:hyperlink>
          </w:p>
        </w:tc>
      </w:tr>
      <w:tr>
        <w:trPr>
          <w:trHeight w:val="152"/>
        </w:trPr>
        <w:tc>
          <w:tcPr>
            <w:tcW w:w="1200" w:type="dxa"/>
            <w:vAlign w:val="bottom"/>
          </w:tcPr>
          <w:p>
            <w:pPr>
              <w:spacing w:after="0"/>
              <w:rPr>
                <w:sz w:val="13"/>
                <w:szCs w:val="13"/>
                <w:color w:val="auto"/>
              </w:rPr>
            </w:pPr>
          </w:p>
        </w:tc>
        <w:tc>
          <w:tcPr>
            <w:tcW w:w="162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w w:val="90"/>
              </w:rPr>
            </w:pPr>
            <w:hyperlink r:id="rId65">
              <w:r>
                <w:rPr>
                  <w:rFonts w:ascii="Arial" w:cs="Arial" w:eastAsia="Arial" w:hAnsi="Arial"/>
                  <w:sz w:val="17"/>
                  <w:szCs w:val="17"/>
                  <w:color w:val="0000FF"/>
                  <w:w w:val="90"/>
                </w:rPr>
                <w:t>Statement/Prospectus).</w:t>
              </w:r>
            </w:hyperlink>
          </w:p>
        </w:tc>
        <w:tc>
          <w:tcPr>
            <w:tcW w:w="7300" w:type="dxa"/>
            <w:vAlign w:val="bottom"/>
            <w:tcBorders>
              <w:top w:val="single" w:sz="8" w:color="0000FF"/>
            </w:tcBorders>
          </w:tcPr>
          <w:p>
            <w:pPr>
              <w:spacing w:after="0"/>
              <w:rPr>
                <w:sz w:val="13"/>
                <w:szCs w:val="13"/>
                <w:color w:val="auto"/>
              </w:rPr>
            </w:pPr>
          </w:p>
        </w:tc>
        <w:tc>
          <w:tcPr>
            <w:tcW w:w="940" w:type="dxa"/>
            <w:vAlign w:val="bottom"/>
          </w:tcPr>
          <w:p>
            <w:pPr>
              <w:spacing w:after="0"/>
              <w:rPr>
                <w:sz w:val="13"/>
                <w:szCs w:val="13"/>
                <w:color w:val="auto"/>
              </w:rPr>
            </w:pPr>
          </w:p>
        </w:tc>
      </w:tr>
      <w:tr>
        <w:trPr>
          <w:trHeight w:val="193"/>
        </w:trPr>
        <w:tc>
          <w:tcPr>
            <w:tcW w:w="1200" w:type="dxa"/>
            <w:vAlign w:val="bottom"/>
          </w:tcPr>
          <w:p>
            <w:pPr>
              <w:spacing w:after="0"/>
              <w:rPr>
                <w:sz w:val="20"/>
                <w:szCs w:val="20"/>
                <w:color w:val="auto"/>
              </w:rPr>
            </w:pPr>
            <w:r>
              <w:rPr>
                <w:rFonts w:ascii="Arial" w:cs="Arial" w:eastAsia="Arial" w:hAnsi="Arial"/>
                <w:sz w:val="16"/>
                <w:szCs w:val="16"/>
                <w:color w:val="auto"/>
              </w:rPr>
              <w:t>31.1*</w:t>
            </w:r>
          </w:p>
        </w:tc>
        <w:tc>
          <w:tcPr>
            <w:tcW w:w="9860" w:type="dxa"/>
            <w:vAlign w:val="bottom"/>
            <w:gridSpan w:val="3"/>
          </w:tcPr>
          <w:p>
            <w:pPr>
              <w:spacing w:after="0" w:line="193" w:lineRule="exact"/>
              <w:rPr>
                <w:sz w:val="20"/>
                <w:szCs w:val="20"/>
                <w:color w:val="auto"/>
              </w:rPr>
            </w:pPr>
            <w:r>
              <w:rPr>
                <w:rFonts w:ascii="Arial" w:cs="Arial" w:eastAsia="Arial" w:hAnsi="Arial"/>
                <w:sz w:val="18"/>
                <w:szCs w:val="18"/>
                <w:color w:val="auto"/>
                <w:w w:val="93"/>
              </w:rPr>
              <w:t>Certification of Principal Executive Officer Pursuant to Rules 13a-14(a) and 15d-14(a) under the Securities Exchange Act of 1934, as</w:t>
            </w:r>
          </w:p>
        </w:tc>
      </w:tr>
      <w:tr>
        <w:trPr>
          <w:trHeight w:val="223"/>
        </w:trPr>
        <w:tc>
          <w:tcPr>
            <w:tcW w:w="1200" w:type="dxa"/>
            <w:vAlign w:val="bottom"/>
          </w:tcPr>
          <w:p>
            <w:pPr>
              <w:spacing w:after="0"/>
              <w:rPr>
                <w:sz w:val="19"/>
                <w:szCs w:val="19"/>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174"/>
        </w:trPr>
        <w:tc>
          <w:tcPr>
            <w:tcW w:w="1200" w:type="dxa"/>
            <w:vAlign w:val="bottom"/>
          </w:tcPr>
          <w:p>
            <w:pPr>
              <w:spacing w:after="0" w:line="175" w:lineRule="exact"/>
              <w:rPr>
                <w:sz w:val="20"/>
                <w:szCs w:val="20"/>
                <w:color w:val="auto"/>
              </w:rPr>
            </w:pPr>
            <w:r>
              <w:rPr>
                <w:rFonts w:ascii="Arial" w:cs="Arial" w:eastAsia="Arial" w:hAnsi="Arial"/>
                <w:sz w:val="16"/>
                <w:szCs w:val="16"/>
                <w:color w:val="auto"/>
              </w:rPr>
              <w:t>31.2*</w:t>
            </w:r>
          </w:p>
        </w:tc>
        <w:tc>
          <w:tcPr>
            <w:tcW w:w="9860" w:type="dxa"/>
            <w:vAlign w:val="bottom"/>
            <w:gridSpan w:val="3"/>
          </w:tcPr>
          <w:p>
            <w:pPr>
              <w:spacing w:after="0" w:line="174" w:lineRule="exact"/>
              <w:rPr>
                <w:sz w:val="20"/>
                <w:szCs w:val="20"/>
                <w:color w:val="auto"/>
              </w:rPr>
            </w:pPr>
            <w:r>
              <w:rPr>
                <w:rFonts w:ascii="Arial" w:cs="Arial" w:eastAsia="Arial" w:hAnsi="Arial"/>
                <w:sz w:val="18"/>
                <w:szCs w:val="18"/>
                <w:color w:val="auto"/>
                <w:w w:val="93"/>
              </w:rPr>
              <w:t>Certification of Principal Financial Officer Pursuant to Rules 13a-14(a) and 15d-14(a) under the Securities Exchange Act of 1934, as</w:t>
            </w:r>
          </w:p>
        </w:tc>
      </w:tr>
      <w:tr>
        <w:trPr>
          <w:trHeight w:val="223"/>
        </w:trPr>
        <w:tc>
          <w:tcPr>
            <w:tcW w:w="1200" w:type="dxa"/>
            <w:vAlign w:val="bottom"/>
          </w:tcPr>
          <w:p>
            <w:pPr>
              <w:spacing w:after="0"/>
              <w:rPr>
                <w:sz w:val="19"/>
                <w:szCs w:val="19"/>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174"/>
        </w:trPr>
        <w:tc>
          <w:tcPr>
            <w:tcW w:w="1200" w:type="dxa"/>
            <w:vAlign w:val="bottom"/>
          </w:tcPr>
          <w:p>
            <w:pPr>
              <w:spacing w:after="0" w:line="175" w:lineRule="exact"/>
              <w:rPr>
                <w:sz w:val="20"/>
                <w:szCs w:val="20"/>
                <w:color w:val="auto"/>
              </w:rPr>
            </w:pPr>
            <w:r>
              <w:rPr>
                <w:rFonts w:ascii="Arial" w:cs="Arial" w:eastAsia="Arial" w:hAnsi="Arial"/>
                <w:sz w:val="16"/>
                <w:szCs w:val="16"/>
                <w:color w:val="auto"/>
              </w:rPr>
              <w:t>32.1*</w:t>
            </w:r>
            <w:r>
              <w:rPr>
                <w:rFonts w:ascii="Arial" w:cs="Arial" w:eastAsia="Arial" w:hAnsi="Arial"/>
                <w:sz w:val="14"/>
                <w:szCs w:val="14"/>
                <w:color w:val="auto"/>
              </w:rPr>
              <w:t>†</w:t>
            </w:r>
          </w:p>
        </w:tc>
        <w:tc>
          <w:tcPr>
            <w:tcW w:w="9860" w:type="dxa"/>
            <w:vAlign w:val="bottom"/>
            <w:gridSpan w:val="3"/>
          </w:tcPr>
          <w:p>
            <w:pPr>
              <w:spacing w:after="0" w:line="174" w:lineRule="exact"/>
              <w:rPr>
                <w:sz w:val="20"/>
                <w:szCs w:val="20"/>
                <w:color w:val="auto"/>
              </w:rPr>
            </w:pPr>
            <w:r>
              <w:rPr>
                <w:rFonts w:ascii="Arial" w:cs="Arial" w:eastAsia="Arial" w:hAnsi="Arial"/>
                <w:sz w:val="18"/>
                <w:szCs w:val="18"/>
                <w:color w:val="auto"/>
                <w:w w:val="89"/>
              </w:rPr>
              <w:t>Certification of Principal Executive Officer Pursuant to 18 U.S.C. Section 1350, as Adopted Pursuant to Section 906 of the Sarbanes-Oxley</w:t>
            </w:r>
          </w:p>
        </w:tc>
      </w:tr>
      <w:tr>
        <w:trPr>
          <w:trHeight w:val="223"/>
        </w:trPr>
        <w:tc>
          <w:tcPr>
            <w:tcW w:w="1200" w:type="dxa"/>
            <w:vAlign w:val="bottom"/>
          </w:tcPr>
          <w:p>
            <w:pPr>
              <w:spacing w:after="0"/>
              <w:rPr>
                <w:sz w:val="19"/>
                <w:szCs w:val="19"/>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Act of 2002.</w:t>
            </w:r>
          </w:p>
        </w:tc>
      </w:tr>
      <w:tr>
        <w:trPr>
          <w:trHeight w:val="174"/>
        </w:trPr>
        <w:tc>
          <w:tcPr>
            <w:tcW w:w="1200" w:type="dxa"/>
            <w:vAlign w:val="bottom"/>
          </w:tcPr>
          <w:p>
            <w:pPr>
              <w:spacing w:after="0" w:line="175" w:lineRule="exact"/>
              <w:rPr>
                <w:sz w:val="20"/>
                <w:szCs w:val="20"/>
                <w:color w:val="auto"/>
              </w:rPr>
            </w:pPr>
            <w:r>
              <w:rPr>
                <w:rFonts w:ascii="Arial" w:cs="Arial" w:eastAsia="Arial" w:hAnsi="Arial"/>
                <w:sz w:val="16"/>
                <w:szCs w:val="16"/>
                <w:color w:val="auto"/>
              </w:rPr>
              <w:t>32.2*</w:t>
            </w:r>
            <w:r>
              <w:rPr>
                <w:rFonts w:ascii="Arial" w:cs="Arial" w:eastAsia="Arial" w:hAnsi="Arial"/>
                <w:sz w:val="14"/>
                <w:szCs w:val="14"/>
                <w:color w:val="auto"/>
              </w:rPr>
              <w:t>†</w:t>
            </w:r>
          </w:p>
        </w:tc>
        <w:tc>
          <w:tcPr>
            <w:tcW w:w="9860" w:type="dxa"/>
            <w:vAlign w:val="bottom"/>
            <w:gridSpan w:val="3"/>
          </w:tcPr>
          <w:p>
            <w:pPr>
              <w:spacing w:after="0" w:line="174" w:lineRule="exact"/>
              <w:rPr>
                <w:sz w:val="20"/>
                <w:szCs w:val="20"/>
                <w:color w:val="auto"/>
              </w:rPr>
            </w:pPr>
            <w:r>
              <w:rPr>
                <w:rFonts w:ascii="Arial" w:cs="Arial" w:eastAsia="Arial" w:hAnsi="Arial"/>
                <w:sz w:val="18"/>
                <w:szCs w:val="18"/>
                <w:color w:val="auto"/>
                <w:w w:val="89"/>
              </w:rPr>
              <w:t>Certification of Principal Financial Officer Pursuant to 18 U.S.C. Section 1350, as Adopted Pursuant to Section 906 of the Sarbanes-Oxley</w:t>
            </w:r>
          </w:p>
        </w:tc>
      </w:tr>
      <w:tr>
        <w:trPr>
          <w:trHeight w:val="223"/>
        </w:trPr>
        <w:tc>
          <w:tcPr>
            <w:tcW w:w="1200" w:type="dxa"/>
            <w:vAlign w:val="bottom"/>
          </w:tcPr>
          <w:p>
            <w:pPr>
              <w:spacing w:after="0"/>
              <w:rPr>
                <w:sz w:val="19"/>
                <w:szCs w:val="19"/>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Act of 2002.</w:t>
            </w:r>
          </w:p>
        </w:tc>
      </w:tr>
      <w:tr>
        <w:trPr>
          <w:trHeight w:val="174"/>
        </w:trPr>
        <w:tc>
          <w:tcPr>
            <w:tcW w:w="1200" w:type="dxa"/>
            <w:vAlign w:val="bottom"/>
          </w:tcPr>
          <w:p>
            <w:pPr>
              <w:spacing w:after="0" w:line="175" w:lineRule="exact"/>
              <w:rPr>
                <w:sz w:val="20"/>
                <w:szCs w:val="20"/>
                <w:color w:val="auto"/>
              </w:rPr>
            </w:pPr>
            <w:r>
              <w:rPr>
                <w:rFonts w:ascii="Arial" w:cs="Arial" w:eastAsia="Arial" w:hAnsi="Arial"/>
                <w:sz w:val="16"/>
                <w:szCs w:val="16"/>
                <w:color w:val="auto"/>
              </w:rPr>
              <w:t>101.INS</w:t>
            </w:r>
          </w:p>
        </w:tc>
        <w:tc>
          <w:tcPr>
            <w:tcW w:w="9860" w:type="dxa"/>
            <w:vAlign w:val="bottom"/>
            <w:gridSpan w:val="3"/>
          </w:tcPr>
          <w:p>
            <w:pPr>
              <w:spacing w:after="0" w:line="174" w:lineRule="exact"/>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 embedded</w:t>
            </w:r>
          </w:p>
        </w:tc>
      </w:tr>
      <w:tr>
        <w:trPr>
          <w:trHeight w:val="223"/>
        </w:trPr>
        <w:tc>
          <w:tcPr>
            <w:tcW w:w="1200" w:type="dxa"/>
            <w:vAlign w:val="bottom"/>
          </w:tcPr>
          <w:p>
            <w:pPr>
              <w:spacing w:after="0"/>
              <w:rPr>
                <w:sz w:val="19"/>
                <w:szCs w:val="19"/>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within the Inline XBRL document</w:t>
            </w:r>
          </w:p>
        </w:tc>
      </w:tr>
      <w:tr>
        <w:trPr>
          <w:trHeight w:val="225"/>
        </w:trPr>
        <w:tc>
          <w:tcPr>
            <w:tcW w:w="1200" w:type="dxa"/>
            <w:vAlign w:val="bottom"/>
          </w:tcPr>
          <w:p>
            <w:pPr>
              <w:spacing w:after="0"/>
              <w:rPr>
                <w:sz w:val="20"/>
                <w:szCs w:val="20"/>
                <w:color w:val="auto"/>
              </w:rPr>
            </w:pPr>
            <w:r>
              <w:rPr>
                <w:rFonts w:ascii="Arial" w:cs="Arial" w:eastAsia="Arial" w:hAnsi="Arial"/>
                <w:sz w:val="16"/>
                <w:szCs w:val="16"/>
                <w:color w:val="auto"/>
              </w:rPr>
              <w:t>101.SCH</w:t>
            </w:r>
          </w:p>
        </w:tc>
        <w:tc>
          <w:tcPr>
            <w:tcW w:w="986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5"/>
        </w:trPr>
        <w:tc>
          <w:tcPr>
            <w:tcW w:w="1200" w:type="dxa"/>
            <w:vAlign w:val="bottom"/>
          </w:tcPr>
          <w:p>
            <w:pPr>
              <w:spacing w:after="0"/>
              <w:rPr>
                <w:sz w:val="20"/>
                <w:szCs w:val="20"/>
                <w:color w:val="auto"/>
              </w:rPr>
            </w:pPr>
            <w:r>
              <w:rPr>
                <w:rFonts w:ascii="Arial" w:cs="Arial" w:eastAsia="Arial" w:hAnsi="Arial"/>
                <w:sz w:val="16"/>
                <w:szCs w:val="16"/>
                <w:color w:val="auto"/>
              </w:rPr>
              <w:t>101.CAL</w:t>
            </w:r>
          </w:p>
        </w:tc>
        <w:tc>
          <w:tcPr>
            <w:tcW w:w="986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5"/>
        </w:trPr>
        <w:tc>
          <w:tcPr>
            <w:tcW w:w="1200" w:type="dxa"/>
            <w:vAlign w:val="bottom"/>
          </w:tcPr>
          <w:p>
            <w:pPr>
              <w:spacing w:after="0"/>
              <w:rPr>
                <w:sz w:val="20"/>
                <w:szCs w:val="20"/>
                <w:color w:val="auto"/>
              </w:rPr>
            </w:pPr>
            <w:r>
              <w:rPr>
                <w:rFonts w:ascii="Arial" w:cs="Arial" w:eastAsia="Arial" w:hAnsi="Arial"/>
                <w:sz w:val="16"/>
                <w:szCs w:val="16"/>
                <w:color w:val="auto"/>
              </w:rPr>
              <w:t>101.DEF</w:t>
            </w:r>
          </w:p>
        </w:tc>
        <w:tc>
          <w:tcPr>
            <w:tcW w:w="986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5"/>
        </w:trPr>
        <w:tc>
          <w:tcPr>
            <w:tcW w:w="1200" w:type="dxa"/>
            <w:vAlign w:val="bottom"/>
          </w:tcPr>
          <w:p>
            <w:pPr>
              <w:spacing w:after="0"/>
              <w:rPr>
                <w:sz w:val="20"/>
                <w:szCs w:val="20"/>
                <w:color w:val="auto"/>
              </w:rPr>
            </w:pPr>
            <w:r>
              <w:rPr>
                <w:rFonts w:ascii="Arial" w:cs="Arial" w:eastAsia="Arial" w:hAnsi="Arial"/>
                <w:sz w:val="16"/>
                <w:szCs w:val="16"/>
                <w:color w:val="auto"/>
              </w:rPr>
              <w:t>101.LAB</w:t>
            </w:r>
          </w:p>
        </w:tc>
        <w:tc>
          <w:tcPr>
            <w:tcW w:w="986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25"/>
        </w:trPr>
        <w:tc>
          <w:tcPr>
            <w:tcW w:w="1200" w:type="dxa"/>
            <w:vAlign w:val="bottom"/>
          </w:tcPr>
          <w:p>
            <w:pPr>
              <w:spacing w:after="0"/>
              <w:rPr>
                <w:sz w:val="20"/>
                <w:szCs w:val="20"/>
                <w:color w:val="auto"/>
              </w:rPr>
            </w:pPr>
            <w:r>
              <w:rPr>
                <w:rFonts w:ascii="Arial" w:cs="Arial" w:eastAsia="Arial" w:hAnsi="Arial"/>
                <w:sz w:val="16"/>
                <w:szCs w:val="16"/>
                <w:color w:val="auto"/>
              </w:rPr>
              <w:t>101.PRE</w:t>
            </w:r>
          </w:p>
        </w:tc>
        <w:tc>
          <w:tcPr>
            <w:tcW w:w="986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 w:lineRule="exact"/>
        <w:rPr>
          <w:sz w:val="20"/>
          <w:szCs w:val="20"/>
          <w:color w:val="auto"/>
        </w:rPr>
      </w:pPr>
    </w:p>
    <w:p>
      <w:pPr>
        <w:ind w:left="1220" w:hanging="1196"/>
        <w:spacing w:after="0"/>
        <w:tabs>
          <w:tab w:leader="none" w:pos="1220" w:val="left"/>
        </w:tabs>
        <w:numPr>
          <w:ilvl w:val="0"/>
          <w:numId w:val="44"/>
        </w:numPr>
        <w:rPr>
          <w:rFonts w:ascii="Arial" w:cs="Arial" w:eastAsia="Arial" w:hAnsi="Arial"/>
          <w:sz w:val="16"/>
          <w:szCs w:val="16"/>
          <w:color w:val="auto"/>
        </w:rPr>
      </w:pPr>
      <w:r>
        <w:rPr>
          <w:rFonts w:ascii="Arial" w:cs="Arial" w:eastAsia="Arial" w:hAnsi="Arial"/>
          <w:sz w:val="18"/>
          <w:szCs w:val="18"/>
          <w:color w:val="auto"/>
        </w:rPr>
        <w:t>Cover page Interactive Data File (embedded with the Inline XBRL document)</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237" w:lineRule="auto"/>
        <w:rPr>
          <w:sz w:val="20"/>
          <w:szCs w:val="20"/>
          <w:color w:val="auto"/>
        </w:rPr>
      </w:pPr>
      <w:r>
        <w:rPr>
          <w:rFonts w:ascii="Arial" w:cs="Arial" w:eastAsia="Arial" w:hAnsi="Arial"/>
          <w:sz w:val="14"/>
          <w:szCs w:val="14"/>
          <w:color w:val="auto"/>
        </w:rPr>
        <w:t>+ Indicates management contract or compensatory plan.</w:t>
      </w:r>
    </w:p>
    <w:p>
      <w:pPr>
        <w:ind w:left="320" w:hanging="314"/>
        <w:spacing w:after="0" w:line="269" w:lineRule="auto"/>
        <w:tabs>
          <w:tab w:leader="none" w:pos="108"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certifications attached as Exhibit 32.1 and 32.2 that accompany this Quarterly Report on Form 10-Q are deemed furnished and not filed with the Securities and Exchange Commission and are not to be incorporated by reference into any filing of Nautilus Biotechnology,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1440" w:right="439" w:bottom="1440" w:gutter="0" w:footer="0" w:header="0"/>
        </w:sectPr>
      </w:pPr>
    </w:p>
    <w:bookmarkStart w:id="80" w:name="page81"/>
    <w:bookmarkEnd w:id="80"/>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0" w:lineRule="exact"/>
        <w:rPr>
          <w:sz w:val="20"/>
          <w:szCs w:val="20"/>
          <w:color w:val="auto"/>
        </w:rPr>
      </w:pPr>
    </w:p>
    <w:p>
      <w:pPr>
        <w:ind w:right="840"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500" w:type="dxa"/>
            <w:vAlign w:val="bottom"/>
          </w:tcPr>
          <w:p>
            <w:pPr>
              <w:spacing w:after="0"/>
              <w:rPr>
                <w:sz w:val="19"/>
                <w:szCs w:val="19"/>
                <w:color w:val="auto"/>
              </w:rPr>
            </w:pPr>
          </w:p>
        </w:tc>
        <w:tc>
          <w:tcPr>
            <w:tcW w:w="7720" w:type="dxa"/>
            <w:vAlign w:val="bottom"/>
            <w:gridSpan w:val="2"/>
          </w:tcPr>
          <w:p>
            <w:pPr>
              <w:ind w:left="1900"/>
              <w:spacing w:after="0"/>
              <w:rPr>
                <w:sz w:val="20"/>
                <w:szCs w:val="20"/>
                <w:color w:val="auto"/>
              </w:rPr>
            </w:pPr>
            <w:r>
              <w:rPr>
                <w:rFonts w:ascii="Arial" w:cs="Arial" w:eastAsia="Arial" w:hAnsi="Arial"/>
                <w:sz w:val="18"/>
                <w:szCs w:val="18"/>
                <w:b w:val="1"/>
                <w:bCs w:val="1"/>
                <w:color w:val="auto"/>
              </w:rPr>
              <w:t>NAUTILUS BIOTECHNOLOGY, INC.</w:t>
            </w:r>
          </w:p>
        </w:tc>
      </w:tr>
      <w:tr>
        <w:trPr>
          <w:trHeight w:val="491"/>
        </w:trPr>
        <w:tc>
          <w:tcPr>
            <w:tcW w:w="3500" w:type="dxa"/>
            <w:vAlign w:val="bottom"/>
          </w:tcPr>
          <w:p>
            <w:pPr>
              <w:spacing w:after="0"/>
              <w:rPr>
                <w:sz w:val="20"/>
                <w:szCs w:val="20"/>
                <w:color w:val="auto"/>
              </w:rPr>
            </w:pPr>
            <w:r>
              <w:rPr>
                <w:rFonts w:ascii="Arial" w:cs="Arial" w:eastAsia="Arial" w:hAnsi="Arial"/>
                <w:sz w:val="18"/>
                <w:szCs w:val="18"/>
                <w:color w:val="auto"/>
              </w:rPr>
              <w:t>Date: August 10, 2021</w:t>
            </w:r>
          </w:p>
        </w:tc>
        <w:tc>
          <w:tcPr>
            <w:tcW w:w="7720" w:type="dxa"/>
            <w:vAlign w:val="bottom"/>
            <w:gridSpan w:val="2"/>
          </w:tcPr>
          <w:p>
            <w:pPr>
              <w:ind w:left="1900"/>
              <w:spacing w:after="0"/>
              <w:rPr>
                <w:sz w:val="20"/>
                <w:szCs w:val="20"/>
                <w:color w:val="auto"/>
              </w:rPr>
            </w:pPr>
            <w:r>
              <w:rPr>
                <w:rFonts w:ascii="Arial" w:cs="Arial" w:eastAsia="Arial" w:hAnsi="Arial"/>
                <w:sz w:val="18"/>
                <w:szCs w:val="18"/>
                <w:color w:val="auto"/>
              </w:rPr>
              <w:t>By:  /s/ Sujal Patel</w:t>
            </w:r>
          </w:p>
        </w:tc>
      </w:tr>
      <w:tr>
        <w:trPr>
          <w:trHeight w:val="218"/>
        </w:trPr>
        <w:tc>
          <w:tcPr>
            <w:tcW w:w="35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Sujal Patel</w:t>
            </w:r>
          </w:p>
        </w:tc>
      </w:tr>
      <w:tr>
        <w:trPr>
          <w:trHeight w:val="225"/>
        </w:trPr>
        <w:tc>
          <w:tcPr>
            <w:tcW w:w="35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3500" w:type="dxa"/>
            <w:vAlign w:val="bottom"/>
          </w:tcPr>
          <w:p>
            <w:pPr>
              <w:spacing w:after="0"/>
              <w:rPr>
                <w:sz w:val="20"/>
                <w:szCs w:val="20"/>
                <w:color w:val="auto"/>
              </w:rPr>
            </w:pPr>
            <w:r>
              <w:rPr>
                <w:rFonts w:ascii="Arial" w:cs="Arial" w:eastAsia="Arial" w:hAnsi="Arial"/>
                <w:sz w:val="18"/>
                <w:szCs w:val="18"/>
                <w:color w:val="auto"/>
              </w:rPr>
              <w:t>Date: August 10, 2021</w:t>
            </w:r>
          </w:p>
        </w:tc>
        <w:tc>
          <w:tcPr>
            <w:tcW w:w="7720" w:type="dxa"/>
            <w:vAlign w:val="bottom"/>
            <w:gridSpan w:val="2"/>
          </w:tcPr>
          <w:p>
            <w:pPr>
              <w:ind w:left="1900"/>
              <w:spacing w:after="0"/>
              <w:rPr>
                <w:sz w:val="20"/>
                <w:szCs w:val="20"/>
                <w:color w:val="auto"/>
              </w:rPr>
            </w:pPr>
            <w:r>
              <w:rPr>
                <w:rFonts w:ascii="Arial" w:cs="Arial" w:eastAsia="Arial" w:hAnsi="Arial"/>
                <w:sz w:val="18"/>
                <w:szCs w:val="18"/>
                <w:color w:val="auto"/>
              </w:rPr>
              <w:t>By:  /s/ Anna Mowry</w:t>
            </w:r>
          </w:p>
        </w:tc>
      </w:tr>
      <w:tr>
        <w:trPr>
          <w:trHeight w:val="218"/>
        </w:trPr>
        <w:tc>
          <w:tcPr>
            <w:tcW w:w="35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Anna Mowry</w:t>
            </w:r>
          </w:p>
        </w:tc>
      </w:tr>
      <w:tr>
        <w:trPr>
          <w:trHeight w:val="225"/>
        </w:trPr>
        <w:tc>
          <w:tcPr>
            <w:tcW w:w="35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x"/>
      <w:numFmt w:val="bullet"/>
      <w:start w:val="1"/>
    </w:lvl>
  </w:abstractNum>
  <w:abstractNum w:abstractNumId="1">
    <w:nsid w:val="6763845E"/>
    <w:multiLevelType w:val="hybridMultilevel"/>
    <w:lvl w:ilvl="0">
      <w:lvlJc w:val="left"/>
      <w:lvlText w:val="o"/>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2"/>
    </w:lvl>
  </w:abstractNum>
  <w:abstractNum w:abstractNumId="7">
    <w:nsid w:val="189A769B"/>
    <w:multiLevelType w:val="hybridMultilevel"/>
    <w:lvl w:ilvl="0">
      <w:lvlJc w:val="left"/>
      <w:lvlText w:val="%1."/>
      <w:numFmt w:val="decimal"/>
      <w:start w:val="3"/>
    </w:lvl>
  </w:abstractNum>
  <w:abstractNum w:abstractNumId="8">
    <w:nsid w:val="54E49EB4"/>
    <w:multiLevelType w:val="hybridMultilevel"/>
    <w:lvl w:ilvl="0">
      <w:lvlJc w:val="left"/>
      <w:lvlText w:val="%1."/>
      <w:numFmt w:val="decimal"/>
      <w:start w:val="4"/>
    </w:lvl>
  </w:abstractNum>
  <w:abstractNum w:abstractNumId="9">
    <w:nsid w:val="71F32454"/>
    <w:multiLevelType w:val="hybridMultilevel"/>
    <w:lvl w:ilvl="0">
      <w:lvlJc w:val="left"/>
      <w:lvlText w:val="%1."/>
      <w:numFmt w:val="decimal"/>
      <w:start w:val="5"/>
    </w:lvl>
  </w:abstractNum>
  <w:abstractNum w:abstractNumId="10">
    <w:nsid w:val="2CA88611"/>
    <w:multiLevelType w:val="hybridMultilevel"/>
    <w:lvl w:ilvl="0">
      <w:lvlJc w:val="left"/>
      <w:lvlText w:val="%1."/>
      <w:numFmt w:val="decimal"/>
      <w:start w:val="7"/>
    </w:lvl>
  </w:abstractNum>
  <w:abstractNum w:abstractNumId="11">
    <w:nsid w:val="836C40E"/>
    <w:multiLevelType w:val="hybridMultilevel"/>
    <w:lvl w:ilvl="0">
      <w:lvlJc w:val="left"/>
      <w:lvlText w:val="%1."/>
      <w:numFmt w:val="decimal"/>
      <w:start w:val="8"/>
    </w:lvl>
  </w:abstractNum>
  <w:abstractNum w:abstractNumId="12">
    <w:nsid w:val="2901D82"/>
    <w:multiLevelType w:val="hybridMultilevel"/>
    <w:lvl w:ilvl="0">
      <w:lvlJc w:val="left"/>
      <w:lvlText w:val="%1."/>
      <w:numFmt w:val="decimal"/>
      <w:start w:val="9"/>
    </w:lvl>
  </w:abstractNum>
  <w:abstractNum w:abstractNumId="13">
    <w:nsid w:val="3A95F874"/>
    <w:multiLevelType w:val="hybridMultilevel"/>
    <w:lvl w:ilvl="0">
      <w:lvlJc w:val="left"/>
      <w:lvlText w:val="%1."/>
      <w:numFmt w:val="decimal"/>
      <w:start w:val="10"/>
    </w:lvl>
  </w:abstractNum>
  <w:abstractNum w:abstractNumId="14">
    <w:nsid w:val="8138641"/>
    <w:multiLevelType w:val="hybridMultilevel"/>
    <w:lvl w:ilvl="0">
      <w:lvlJc w:val="left"/>
      <w:lvlText w:val="%1."/>
      <w:numFmt w:val="decimal"/>
      <w:start w:val="11"/>
    </w:lvl>
  </w:abstractNum>
  <w:abstractNum w:abstractNumId="15">
    <w:nsid w:val="1E7FF521"/>
    <w:multiLevelType w:val="hybridMultilevel"/>
    <w:lvl w:ilvl="0">
      <w:lvlJc w:val="left"/>
      <w:lvlText w:val="%1."/>
      <w:numFmt w:val="decimal"/>
      <w:start w:val="12"/>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1)"/>
      <w:numFmt w:val="lowerRoman"/>
      <w:start w:val="3"/>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1)"/>
      <w:numFmt w:val="lowerRoman"/>
      <w:start w:val="3"/>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1"/>
      <w:numFmt w:val="decimal"/>
      <w:start w:val="104"/>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hyperlink" Target="https://www.sec.gov/Archives/edgar/data/1808805/000114036121003650/brhc10019858_ex2-1.htm" TargetMode="External"/><Relationship Id="rId42" Type="http://schemas.openxmlformats.org/officeDocument/2006/relationships/hyperlink" Target="https://www.sec.gov/Archives/edgar/data/1808805/000162828021011892/exhibit31-form8xkclosing.htm" TargetMode="External"/><Relationship Id="rId43" Type="http://schemas.openxmlformats.org/officeDocument/2006/relationships/hyperlink" Target="https://www.sec.gov/Archives/edgar/data/1808805/000162828021011892/exhibit32-form8xkclosing.htm" TargetMode="External"/><Relationship Id="rId44" Type="http://schemas.openxmlformats.org/officeDocument/2006/relationships/hyperlink" Target="https://www.sec.gov/Archives/edgar/data/1808805/000114036121003650/brhc10019858_ex10-3.htm" TargetMode="External"/><Relationship Id="rId45" Type="http://schemas.openxmlformats.org/officeDocument/2006/relationships/hyperlink" Target="https://www.sec.gov/Archives/edgar/data/1808805/000114036121003650/brhc10019858_ex10-2.htm" TargetMode="External"/><Relationship Id="rId46" Type="http://schemas.openxmlformats.org/officeDocument/2006/relationships/hyperlink" Target="https://www.sec.gov/Archives/edgar/data/1808805/000162828021011892/exhibit104-form8xkclosing.htm" TargetMode="External"/><Relationship Id="rId47" Type="http://schemas.openxmlformats.org/officeDocument/2006/relationships/hyperlink" Target="https://www.sec.gov/Archives/edgar/data/1808805/000162828021011892/exhibit105-form8xkclosing.htm" TargetMode="External"/><Relationship Id="rId48" Type="http://schemas.openxmlformats.org/officeDocument/2006/relationships/hyperlink" Target="https://www.sec.gov/Archives/edgar/data/1808805/000162828021005786/exhibit107-sx4.htm" TargetMode="External"/><Relationship Id="rId49" Type="http://schemas.openxmlformats.org/officeDocument/2006/relationships/hyperlink" Target="https://www.sec.gov/Archives/edgar/data/1808805/000162828021005786/exhibit108-sx4.htm" TargetMode="External"/><Relationship Id="rId50" Type="http://schemas.openxmlformats.org/officeDocument/2006/relationships/hyperlink" Target="https://www.sec.gov/Archives/edgar/data/1808805/000162828021005786/exhibit109-sx4.htm" TargetMode="External"/><Relationship Id="rId51" Type="http://schemas.openxmlformats.org/officeDocument/2006/relationships/hyperlink" Target="https://www.sec.gov/Archives/edgar/data/1808805/000162828021005786/exhibit1011-sx4.htm" TargetMode="External"/><Relationship Id="rId52" Type="http://schemas.openxmlformats.org/officeDocument/2006/relationships/hyperlink" Target="https://www.sec.gov/Archives/edgar/data/1808805/000162828021007512/exhibit1012-sx4a2.htm" TargetMode="External"/><Relationship Id="rId53" Type="http://schemas.openxmlformats.org/officeDocument/2006/relationships/hyperlink" Target="https://www.sec.gov/Archives/edgar/data/1808805/000162828021007512/exhibit1013-sx4a2.htm" TargetMode="External"/><Relationship Id="rId54" Type="http://schemas.openxmlformats.org/officeDocument/2006/relationships/hyperlink" Target="https://www.sec.gov/Archives/edgar/data/1808805/000162828021007512/exhibit1015-sx4a2.htm" TargetMode="External"/><Relationship Id="rId55" Type="http://schemas.openxmlformats.org/officeDocument/2006/relationships/hyperlink" Target="https://www.sec.gov/Archives/edgar/data/1808805/000162828021007512/exhibit1014-sx4a2.htm" TargetMode="External"/><Relationship Id="rId56" Type="http://schemas.openxmlformats.org/officeDocument/2006/relationships/hyperlink" Target="https://www.sec.gov/Archives/edgar/data/1808805/000162828021007512/exhibit1016-sx4a2.htm" TargetMode="External"/><Relationship Id="rId57" Type="http://schemas.openxmlformats.org/officeDocument/2006/relationships/hyperlink" Target="https://www.sec.gov/Archives/edgar/data/1808805/000162828021007512/exhibit1017-sx4a2.htm" TargetMode="External"/><Relationship Id="rId58" Type="http://schemas.openxmlformats.org/officeDocument/2006/relationships/hyperlink" Target="https://www.sec.gov/Archives/edgar/data/1808805/000162828021007512/exhibit1018-sx4a2.htm" TargetMode="External"/><Relationship Id="rId59" Type="http://schemas.openxmlformats.org/officeDocument/2006/relationships/hyperlink" Target="https://www.sec.gov/Archives/edgar/data/1808805/000162828021007512/exhibit1019-sx4a2.htm" TargetMode="External"/><Relationship Id="rId60" Type="http://schemas.openxmlformats.org/officeDocument/2006/relationships/hyperlink" Target="https://www.sec.gov/Archives/edgar/data/1808805/000162828021007512/exhibit1021-sx4a2.htm" TargetMode="External"/><Relationship Id="rId61" Type="http://schemas.openxmlformats.org/officeDocument/2006/relationships/hyperlink" Target="https://www.sec.gov/Archives/edgar/data/1808805/000162828021007512/exhibit1020-sx4a2.htm" TargetMode="External"/><Relationship Id="rId62" Type="http://schemas.openxmlformats.org/officeDocument/2006/relationships/hyperlink" Target="https://www.sec.gov/Archives/edgar/data/1808805/000162828021007512/exhibit1022-sx4a2.htm" TargetMode="External"/><Relationship Id="rId63" Type="http://schemas.openxmlformats.org/officeDocument/2006/relationships/hyperlink" Target="https://www.sec.gov/Archives/edgar/data/1808805/000162828021007512/exhibit1023-sx4a2.htm" TargetMode="External"/><Relationship Id="rId64" Type="http://schemas.openxmlformats.org/officeDocument/2006/relationships/hyperlink" Target="https://www.sec.gov/Archives/edgar/data/1808805/000162828021007512/exhibit1024-sx4a2.htm" TargetMode="External"/><Relationship Id="rId65" Type="http://schemas.openxmlformats.org/officeDocument/2006/relationships/hyperlink" Target="https://www.sec.gov/Archives/edgar/data/1808805/000162828021007512/exhibit1025-sx4a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2021-08-10T15:59:46Z</dcterms:created>
  <dcterms:modified xsi:type="dcterms:W3CDTF">2021-08-10T15:59:46Z</dcterms:modified>
</cp:coreProperties>
</file>