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218440</wp:posOffset>
            </wp:positionV>
            <wp:extent cx="2846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5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233680</wp:posOffset>
            </wp:positionV>
            <wp:extent cx="2846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ARYA Sciences Acquisition Corp III</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(Name of Issuer)</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CLASS A ORDINARY SHARES, $0.0001 PAR VALUE PER SHARE</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(Title of Class of Securities)</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G3166W 106</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(CUSIP Number)</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December 31, 2020</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218440</wp:posOffset>
            </wp:positionV>
            <wp:extent cx="28460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0"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Rule13d-1(c)</w:t>
      </w:r>
    </w:p>
    <w:p>
      <w:pPr>
        <w:spacing w:after="0" w:line="25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45" w:lineRule="exact"/>
        <w:rPr>
          <w:sz w:val="24"/>
          <w:szCs w:val="24"/>
          <w:color w:val="auto"/>
        </w:rPr>
      </w:pPr>
    </w:p>
    <w:p>
      <w:pPr>
        <w:ind w:right="40" w:firstLine="8"/>
        <w:spacing w:after="0"/>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3"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5"/>
          </w:tcPr>
          <w:p>
            <w:pPr>
              <w:ind w:left="40"/>
              <w:spacing w:after="0"/>
              <w:rPr>
                <w:sz w:val="20"/>
                <w:szCs w:val="20"/>
                <w:color w:val="auto"/>
              </w:rPr>
            </w:pPr>
            <w:r>
              <w:rPr>
                <w:rFonts w:ascii="Arial" w:cs="Arial" w:eastAsia="Arial" w:hAnsi="Arial"/>
                <w:sz w:val="18"/>
                <w:szCs w:val="18"/>
                <w:b w:val="1"/>
                <w:bCs w:val="1"/>
                <w:color w:val="auto"/>
              </w:rPr>
              <w:t>ARYA Sciences Holdings III</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w w:val="91"/>
              </w:rPr>
              <w:t>Cayman Islands</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4,146,500</w:t>
            </w:r>
            <w:r>
              <w:rPr>
                <w:rFonts w:ascii="Arial" w:cs="Arial" w:eastAsia="Arial" w:hAnsi="Arial"/>
                <w:sz w:val="29"/>
                <w:szCs w:val="29"/>
                <w:b w:val="1"/>
                <w:bCs w:val="1"/>
                <w:color w:val="auto"/>
                <w:vertAlign w:val="superscript"/>
              </w:rPr>
              <w:t>(1)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1"/>
                <w:szCs w:val="21"/>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6"/>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4,146,500</w:t>
            </w:r>
            <w:r>
              <w:rPr>
                <w:rFonts w:ascii="Arial" w:cs="Arial" w:eastAsia="Arial" w:hAnsi="Arial"/>
                <w:sz w:val="29"/>
                <w:szCs w:val="29"/>
                <w:b w:val="1"/>
                <w:bCs w:val="1"/>
                <w:color w:val="auto"/>
                <w:vertAlign w:val="superscript"/>
              </w:rPr>
              <w:t>(1)</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tcBorders>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1"/>
                <w:szCs w:val="21"/>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13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4,146,500</w:t>
            </w:r>
            <w:r>
              <w:rPr>
                <w:rFonts w:ascii="Arial" w:cs="Arial" w:eastAsia="Arial" w:hAnsi="Arial"/>
                <w:sz w:val="29"/>
                <w:szCs w:val="29"/>
                <w:b w:val="1"/>
                <w:bCs w:val="1"/>
                <w:color w:val="auto"/>
                <w:vertAlign w:val="superscript"/>
              </w:rPr>
              <w:t>(1)</w:t>
            </w: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35"/>
                <w:szCs w:val="35"/>
                <w:b w:val="1"/>
                <w:bCs w:val="1"/>
                <w:color w:val="auto"/>
                <w:vertAlign w:val="subscript"/>
              </w:rPr>
              <w:t>21.6%</w:t>
            </w:r>
            <w:r>
              <w:rPr>
                <w:rFonts w:ascii="Arial" w:cs="Arial" w:eastAsia="Arial" w:hAnsi="Arial"/>
                <w:sz w:val="15"/>
                <w:szCs w:val="15"/>
                <w:b w:val="1"/>
                <w:bCs w:val="1"/>
                <w:color w:val="auto"/>
              </w:rPr>
              <w:t>(1)(2)</w:t>
            </w: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1400" w:type="dxa"/>
            <w:vAlign w:val="bottom"/>
            <w:tcBorders>
              <w:left w:val="single" w:sz="8" w:color="auto"/>
              <w:bottom w:val="single" w:sz="8" w:color="auto"/>
              <w:right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32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b w:val="1"/>
                <w:bCs w:val="1"/>
                <w:color w:val="auto"/>
              </w:rPr>
              <w:t>CO</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5"/>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86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rPr>
              <w:t>Adam Stone</w:t>
            </w:r>
          </w:p>
        </w:tc>
        <w:tc>
          <w:tcPr>
            <w:tcW w:w="7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720" w:type="dxa"/>
            <w:vAlign w:val="bottom"/>
            <w:tcBorders>
              <w:bottom w:val="single" w:sz="8" w:color="auto"/>
            </w:tcBorders>
            <w:gridSpan w:val="5"/>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740" w:type="dxa"/>
            <w:vAlign w:val="bottom"/>
            <w:shd w:val="clear" w:color="auto" w:fill="BFBFBF"/>
          </w:tcPr>
          <w:p>
            <w:pPr>
              <w:spacing w:after="0"/>
              <w:rPr>
                <w:sz w:val="20"/>
                <w:szCs w:val="20"/>
                <w:color w:val="auto"/>
              </w:rPr>
            </w:pPr>
          </w:p>
        </w:tc>
        <w:tc>
          <w:tcPr>
            <w:tcW w:w="766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740" w:type="dxa"/>
            <w:vAlign w:val="bottom"/>
            <w:shd w:val="clear" w:color="auto" w:fill="BFBFBF"/>
          </w:tcPr>
          <w:p>
            <w:pPr>
              <w:spacing w:after="0"/>
              <w:rPr>
                <w:sz w:val="24"/>
                <w:szCs w:val="24"/>
                <w:color w:val="auto"/>
              </w:rPr>
            </w:pPr>
          </w:p>
        </w:tc>
        <w:tc>
          <w:tcPr>
            <w:tcW w:w="766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740" w:type="dxa"/>
            <w:vAlign w:val="bottom"/>
            <w:tcBorders>
              <w:bottom w:val="single" w:sz="8" w:color="auto"/>
            </w:tcBorders>
            <w:shd w:val="clear" w:color="auto" w:fill="BFBFBF"/>
          </w:tcPr>
          <w:p>
            <w:pPr>
              <w:spacing w:after="0"/>
              <w:rPr>
                <w:sz w:val="23"/>
                <w:szCs w:val="23"/>
                <w:color w:val="auto"/>
              </w:rPr>
            </w:pPr>
          </w:p>
        </w:tc>
        <w:tc>
          <w:tcPr>
            <w:tcW w:w="766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rPr>
              <w:t>United States</w:t>
            </w:r>
          </w:p>
        </w:tc>
        <w:tc>
          <w:tcPr>
            <w:tcW w:w="7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0" w:type="dxa"/>
            <w:vAlign w:val="bottom"/>
            <w:tcBorders>
              <w:bottom w:val="single" w:sz="8" w:color="auto"/>
            </w:tcBorders>
            <w:gridSpan w:val="2"/>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8"/>
                <w:szCs w:val="18"/>
                <w:b w:val="1"/>
                <w:bCs w:val="1"/>
                <w:color w:val="auto"/>
              </w:rPr>
              <w:t>0</w:t>
            </w:r>
          </w:p>
        </w:tc>
        <w:tc>
          <w:tcPr>
            <w:tcW w:w="7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0" w:type="dxa"/>
            <w:vAlign w:val="bottom"/>
            <w:tcBorders>
              <w:bottom w:val="single" w:sz="8" w:color="auto"/>
            </w:tcBorders>
            <w:gridSpan w:val="2"/>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87"/>
              </w:rPr>
              <w:t>4,146,500</w:t>
            </w:r>
          </w:p>
        </w:tc>
        <w:tc>
          <w:tcPr>
            <w:tcW w:w="7660" w:type="dxa"/>
            <w:vAlign w:val="bottom"/>
          </w:tcPr>
          <w:p>
            <w:pPr>
              <w:jc w:val="right"/>
              <w:ind w:right="7427"/>
              <w:spacing w:after="0"/>
              <w:rPr>
                <w:sz w:val="20"/>
                <w:szCs w:val="20"/>
                <w:color w:val="auto"/>
              </w:rPr>
            </w:pPr>
            <w:r>
              <w:rPr>
                <w:rFonts w:ascii="Arial" w:cs="Arial" w:eastAsia="Arial" w:hAnsi="Arial"/>
                <w:sz w:val="15"/>
                <w:szCs w:val="15"/>
                <w:b w:val="1"/>
                <w:bCs w:val="1"/>
                <w:color w:val="auto"/>
                <w:w w:val="76"/>
              </w:rPr>
              <w:t>(1)</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tcPr>
          <w:p>
            <w:pPr>
              <w:jc w:val="center"/>
              <w:spacing w:after="0" w:line="131" w:lineRule="exact"/>
              <w:rPr>
                <w:sz w:val="20"/>
                <w:szCs w:val="20"/>
                <w:color w:val="auto"/>
              </w:rPr>
            </w:pPr>
            <w:r>
              <w:rPr>
                <w:rFonts w:ascii="Arial" w:cs="Arial" w:eastAsia="Arial" w:hAnsi="Arial"/>
                <w:sz w:val="15"/>
                <w:szCs w:val="15"/>
                <w:b w:val="1"/>
                <w:bCs w:val="1"/>
                <w:color w:val="auto"/>
              </w:rPr>
              <w:t>BENEFICIALLY</w:t>
            </w:r>
          </w:p>
        </w:tc>
        <w:tc>
          <w:tcPr>
            <w:tcW w:w="6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6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66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0</w:t>
            </w:r>
          </w:p>
        </w:tc>
        <w:tc>
          <w:tcPr>
            <w:tcW w:w="766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7"/>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76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6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2"/>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4,146,500</w:t>
            </w:r>
            <w:r>
              <w:rPr>
                <w:rFonts w:ascii="Arial" w:cs="Arial" w:eastAsia="Arial" w:hAnsi="Arial"/>
                <w:sz w:val="29"/>
                <w:szCs w:val="29"/>
                <w:b w:val="1"/>
                <w:bCs w:val="1"/>
                <w:color w:val="auto"/>
                <w:vertAlign w:val="superscript"/>
              </w:rPr>
              <w:t>(1)</w:t>
            </w: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13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4,146,500</w:t>
            </w:r>
            <w:r>
              <w:rPr>
                <w:rFonts w:ascii="Arial" w:cs="Arial" w:eastAsia="Arial" w:hAnsi="Arial"/>
                <w:sz w:val="29"/>
                <w:szCs w:val="29"/>
                <w:b w:val="1"/>
                <w:bCs w:val="1"/>
                <w:color w:val="auto"/>
                <w:vertAlign w:val="superscript"/>
              </w:rPr>
              <w:t>(1)</w:t>
            </w: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6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420" w:type="dxa"/>
            <w:vAlign w:val="bottom"/>
            <w:tcBorders>
              <w:bottom w:val="single" w:sz="8" w:color="auto"/>
            </w:tcBorders>
            <w:gridSpan w:val="3"/>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35"/>
                <w:szCs w:val="35"/>
                <w:b w:val="1"/>
                <w:bCs w:val="1"/>
                <w:color w:val="auto"/>
                <w:vertAlign w:val="subscript"/>
              </w:rPr>
              <w:t>21.6%</w:t>
            </w:r>
            <w:r>
              <w:rPr>
                <w:rFonts w:ascii="Arial" w:cs="Arial" w:eastAsia="Arial" w:hAnsi="Arial"/>
                <w:sz w:val="15"/>
                <w:szCs w:val="15"/>
                <w:b w:val="1"/>
                <w:bCs w:val="1"/>
                <w:color w:val="auto"/>
              </w:rPr>
              <w:t>(1)(2)</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1400" w:type="dxa"/>
            <w:vAlign w:val="bottom"/>
            <w:tcBorders>
              <w:left w:val="single" w:sz="8" w:color="auto"/>
              <w:bottom w:val="single" w:sz="8" w:color="auto"/>
              <w:right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420" w:type="dxa"/>
            <w:vAlign w:val="bottom"/>
            <w:tcBorders>
              <w:bottom w:val="single" w:sz="8" w:color="auto"/>
            </w:tcBorders>
            <w:gridSpan w:val="3"/>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b w:val="1"/>
                <w:bCs w:val="1"/>
                <w:color w:val="auto"/>
              </w:rPr>
              <w:t>IN</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6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5"/>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60" w:type="dxa"/>
            <w:vAlign w:val="bottom"/>
          </w:tcPr>
          <w:p>
            <w:pPr>
              <w:jc w:val="right"/>
              <w:ind w:right="5387"/>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2"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w w:val="95"/>
              </w:rPr>
              <w:t>Michael Altman</w:t>
            </w:r>
          </w:p>
        </w:tc>
        <w:tc>
          <w:tcPr>
            <w:tcW w:w="7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720" w:type="dxa"/>
            <w:vAlign w:val="bottom"/>
            <w:tcBorders>
              <w:bottom w:val="single" w:sz="8" w:color="auto"/>
            </w:tcBorders>
            <w:gridSpan w:val="5"/>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740" w:type="dxa"/>
            <w:vAlign w:val="bottom"/>
            <w:shd w:val="clear" w:color="auto" w:fill="BFBFBF"/>
          </w:tcPr>
          <w:p>
            <w:pPr>
              <w:spacing w:after="0"/>
              <w:rPr>
                <w:sz w:val="20"/>
                <w:szCs w:val="20"/>
                <w:color w:val="auto"/>
              </w:rPr>
            </w:pPr>
          </w:p>
        </w:tc>
        <w:tc>
          <w:tcPr>
            <w:tcW w:w="766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740" w:type="dxa"/>
            <w:vAlign w:val="bottom"/>
            <w:shd w:val="clear" w:color="auto" w:fill="BFBFBF"/>
          </w:tcPr>
          <w:p>
            <w:pPr>
              <w:spacing w:after="0"/>
              <w:rPr>
                <w:sz w:val="24"/>
                <w:szCs w:val="24"/>
                <w:color w:val="auto"/>
              </w:rPr>
            </w:pPr>
          </w:p>
        </w:tc>
        <w:tc>
          <w:tcPr>
            <w:tcW w:w="766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740" w:type="dxa"/>
            <w:vAlign w:val="bottom"/>
            <w:tcBorders>
              <w:bottom w:val="single" w:sz="8" w:color="auto"/>
            </w:tcBorders>
            <w:shd w:val="clear" w:color="auto" w:fill="BFBFBF"/>
          </w:tcPr>
          <w:p>
            <w:pPr>
              <w:spacing w:after="0"/>
              <w:rPr>
                <w:sz w:val="23"/>
                <w:szCs w:val="23"/>
                <w:color w:val="auto"/>
              </w:rPr>
            </w:pPr>
          </w:p>
        </w:tc>
        <w:tc>
          <w:tcPr>
            <w:tcW w:w="766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rPr>
              <w:t>United States</w:t>
            </w:r>
          </w:p>
        </w:tc>
        <w:tc>
          <w:tcPr>
            <w:tcW w:w="7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0" w:type="dxa"/>
            <w:vAlign w:val="bottom"/>
            <w:tcBorders>
              <w:bottom w:val="single" w:sz="8" w:color="auto"/>
            </w:tcBorders>
            <w:gridSpan w:val="2"/>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0</w:t>
            </w:r>
          </w:p>
        </w:tc>
        <w:tc>
          <w:tcPr>
            <w:tcW w:w="7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6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40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87"/>
              </w:rPr>
              <w:t>4,146,500</w:t>
            </w:r>
          </w:p>
        </w:tc>
        <w:tc>
          <w:tcPr>
            <w:tcW w:w="7660" w:type="dxa"/>
            <w:vAlign w:val="bottom"/>
          </w:tcPr>
          <w:p>
            <w:pPr>
              <w:jc w:val="right"/>
              <w:ind w:right="7425"/>
              <w:spacing w:after="0"/>
              <w:rPr>
                <w:sz w:val="20"/>
                <w:szCs w:val="20"/>
                <w:color w:val="auto"/>
              </w:rPr>
            </w:pPr>
            <w:r>
              <w:rPr>
                <w:rFonts w:ascii="Arial" w:cs="Arial" w:eastAsia="Arial" w:hAnsi="Arial"/>
                <w:sz w:val="15"/>
                <w:szCs w:val="15"/>
                <w:b w:val="1"/>
                <w:bCs w:val="1"/>
                <w:color w:val="auto"/>
                <w:w w:val="76"/>
              </w:rPr>
              <w:t>(1)</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tcPr>
          <w:p>
            <w:pPr>
              <w:jc w:val="center"/>
              <w:spacing w:after="0" w:line="131" w:lineRule="exact"/>
              <w:rPr>
                <w:sz w:val="20"/>
                <w:szCs w:val="20"/>
                <w:color w:val="auto"/>
              </w:rPr>
            </w:pPr>
            <w:r>
              <w:rPr>
                <w:rFonts w:ascii="Arial" w:cs="Arial" w:eastAsia="Arial" w:hAnsi="Arial"/>
                <w:sz w:val="15"/>
                <w:szCs w:val="15"/>
                <w:b w:val="1"/>
                <w:bCs w:val="1"/>
                <w:color w:val="auto"/>
              </w:rPr>
              <w:t>BENEFICIALLY</w:t>
            </w:r>
          </w:p>
        </w:tc>
        <w:tc>
          <w:tcPr>
            <w:tcW w:w="6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6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66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6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7"/>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0</w:t>
            </w:r>
          </w:p>
        </w:tc>
        <w:tc>
          <w:tcPr>
            <w:tcW w:w="7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6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0" w:type="dxa"/>
            <w:vAlign w:val="bottom"/>
            <w:tcBorders>
              <w:bottom w:val="single" w:sz="8" w:color="auto"/>
            </w:tcBorders>
            <w:gridSpan w:val="2"/>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4,146,500</w:t>
            </w:r>
            <w:r>
              <w:rPr>
                <w:rFonts w:ascii="Arial" w:cs="Arial" w:eastAsia="Arial" w:hAnsi="Arial"/>
                <w:sz w:val="29"/>
                <w:szCs w:val="29"/>
                <w:b w:val="1"/>
                <w:bCs w:val="1"/>
                <w:color w:val="auto"/>
                <w:vertAlign w:val="superscript"/>
              </w:rPr>
              <w:t>(1)</w:t>
            </w: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13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4,146,500</w:t>
            </w:r>
            <w:r>
              <w:rPr>
                <w:rFonts w:ascii="Arial" w:cs="Arial" w:eastAsia="Arial" w:hAnsi="Arial"/>
                <w:sz w:val="29"/>
                <w:szCs w:val="29"/>
                <w:b w:val="1"/>
                <w:bCs w:val="1"/>
                <w:color w:val="auto"/>
                <w:vertAlign w:val="superscript"/>
              </w:rPr>
              <w:t>(1)</w:t>
            </w: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6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420" w:type="dxa"/>
            <w:vAlign w:val="bottom"/>
            <w:tcBorders>
              <w:bottom w:val="single" w:sz="8" w:color="auto"/>
            </w:tcBorders>
            <w:gridSpan w:val="3"/>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35"/>
                <w:szCs w:val="35"/>
                <w:b w:val="1"/>
                <w:bCs w:val="1"/>
                <w:color w:val="auto"/>
                <w:vertAlign w:val="subscript"/>
              </w:rPr>
              <w:t>21.6%</w:t>
            </w:r>
            <w:r>
              <w:rPr>
                <w:rFonts w:ascii="Arial" w:cs="Arial" w:eastAsia="Arial" w:hAnsi="Arial"/>
                <w:sz w:val="15"/>
                <w:szCs w:val="15"/>
                <w:b w:val="1"/>
                <w:bCs w:val="1"/>
                <w:color w:val="auto"/>
              </w:rPr>
              <w:t>(1)(2)</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1400" w:type="dxa"/>
            <w:vAlign w:val="bottom"/>
            <w:tcBorders>
              <w:left w:val="single" w:sz="8" w:color="auto"/>
              <w:bottom w:val="single" w:sz="8" w:color="auto"/>
              <w:right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420" w:type="dxa"/>
            <w:vAlign w:val="bottom"/>
            <w:tcBorders>
              <w:bottom w:val="single" w:sz="8" w:color="auto"/>
            </w:tcBorders>
            <w:gridSpan w:val="3"/>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b w:val="1"/>
                <w:bCs w:val="1"/>
                <w:color w:val="auto"/>
              </w:rPr>
              <w:t>IN</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6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660" w:hanging="328"/>
        <w:spacing w:after="0" w:line="270"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See Item 4. Represents: (i) 3,647,500 Class B ordinary shares, $0.0001 par value per share, of the Issuer (the “Class B ordinary shares”) directly held by ARYA Sciences Holdings III (the “Sponsor”) and which will automatically convert into the Class A ordinary shares, $0.0001 par value per share, of the Issuer (the “Class A ordinary shares”) at the time of the Issuer’s initial business combination and as more fully described under the heading “Description of Securities—Founder Shares” in the Issuer’s Prospectus filed with the Securities and Exchange Commission (the “SEC”) pursuant to Rule 424(b)(4) under the Securities Act of 1933, as amended, on August 10, 2020 (File Nos. 333-239986 and 333-241828) (the “IPO Prospectus”) or the Issuer’s amended and restated memorandum and articles of association; and (ii) 499,000 Class A ordinary shares issued to the Sponsor in a private placement in connection with the Issuer’s initial public offering (the “private placement shares”) and which are identical to the Issuer’s Class A ordinary shares, subject to certain limited exceptions as more fully described under the heading “Description of Securities— Private Placement Shares” in the IPO Prospectus.</w:t>
      </w:r>
    </w:p>
    <w:p>
      <w:pPr>
        <w:spacing w:after="0" w:line="207"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14,950,000 Class A ordinary shares, 499,000 private placement shares, and 3,737,500 Class B ordinary shares, issued and outstanding as of November 13, 2020 as reported in the Issuer’s Quarterly Report on Form 10-Q filed with the U.S. Securities and Exchange Commission on November 13, 2020 and assuming the conversion of all Class B ordinary shares into Class A ordinary shares.</w:t>
      </w:r>
    </w:p>
    <w:p>
      <w:pPr>
        <w:sectPr>
          <w:pgSz w:w="11900" w:h="16838" w:orient="portrait"/>
          <w:cols w:equalWidth="0" w:num="1">
            <w:col w:w="11240"/>
          </w:cols>
          <w:pgMar w:left="320" w:top="120" w:right="3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340" w:type="dxa"/>
            <w:vAlign w:val="bottom"/>
            <w:gridSpan w:val="6"/>
          </w:tcPr>
          <w:p>
            <w:pPr>
              <w:ind w:left="260"/>
              <w:spacing w:after="0"/>
              <w:rPr>
                <w:sz w:val="20"/>
                <w:szCs w:val="20"/>
                <w:color w:val="auto"/>
              </w:rPr>
            </w:pPr>
            <w:r>
              <w:rPr>
                <w:rFonts w:ascii="Arial" w:cs="Arial" w:eastAsia="Arial" w:hAnsi="Arial"/>
                <w:sz w:val="18"/>
                <w:szCs w:val="18"/>
                <w:b w:val="1"/>
                <w:bCs w:val="1"/>
                <w:color w:val="auto"/>
              </w:rPr>
              <w:t>Name of Issuer</w:t>
            </w:r>
          </w:p>
        </w:tc>
      </w:tr>
      <w:tr>
        <w:trPr>
          <w:trHeight w:val="496"/>
        </w:trPr>
        <w:tc>
          <w:tcPr>
            <w:tcW w:w="880" w:type="dxa"/>
            <w:vAlign w:val="bottom"/>
          </w:tcPr>
          <w:p>
            <w:pPr>
              <w:spacing w:after="0"/>
              <w:rPr>
                <w:sz w:val="24"/>
                <w:szCs w:val="24"/>
                <w:color w:val="auto"/>
              </w:rPr>
            </w:pPr>
          </w:p>
        </w:tc>
        <w:tc>
          <w:tcPr>
            <w:tcW w:w="10340" w:type="dxa"/>
            <w:vAlign w:val="bottom"/>
            <w:gridSpan w:val="6"/>
          </w:tcPr>
          <w:p>
            <w:pPr>
              <w:ind w:left="260"/>
              <w:spacing w:after="0"/>
              <w:rPr>
                <w:sz w:val="20"/>
                <w:szCs w:val="20"/>
                <w:color w:val="auto"/>
              </w:rPr>
            </w:pPr>
            <w:r>
              <w:rPr>
                <w:rFonts w:ascii="Arial" w:cs="Arial" w:eastAsia="Arial" w:hAnsi="Arial"/>
                <w:sz w:val="22"/>
                <w:szCs w:val="22"/>
                <w:color w:val="auto"/>
              </w:rPr>
              <w:t>ARYA Sciences Acquisition Corp III (the “Issuer”)</w:t>
            </w:r>
          </w:p>
        </w:tc>
      </w:tr>
      <w:tr>
        <w:trPr>
          <w:trHeight w:val="449"/>
        </w:trPr>
        <w:tc>
          <w:tcPr>
            <w:tcW w:w="88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10340" w:type="dxa"/>
            <w:vAlign w:val="bottom"/>
            <w:gridSpan w:val="6"/>
          </w:tcPr>
          <w:p>
            <w:pPr>
              <w:ind w:left="260"/>
              <w:spacing w:after="0"/>
              <w:rPr>
                <w:sz w:val="20"/>
                <w:szCs w:val="20"/>
                <w:color w:val="auto"/>
              </w:rPr>
            </w:pPr>
            <w:r>
              <w:rPr>
                <w:rFonts w:ascii="Arial" w:cs="Arial" w:eastAsia="Arial" w:hAnsi="Arial"/>
                <w:sz w:val="18"/>
                <w:szCs w:val="18"/>
                <w:b w:val="1"/>
                <w:bCs w:val="1"/>
                <w:color w:val="auto"/>
              </w:rPr>
              <w:t>Address of the Issuer’s Principal Executive Offices</w:t>
            </w:r>
          </w:p>
        </w:tc>
      </w:tr>
      <w:tr>
        <w:trPr>
          <w:trHeight w:val="465"/>
        </w:trPr>
        <w:tc>
          <w:tcPr>
            <w:tcW w:w="880" w:type="dxa"/>
            <w:vAlign w:val="bottom"/>
          </w:tcPr>
          <w:p>
            <w:pPr>
              <w:spacing w:after="0"/>
              <w:rPr>
                <w:sz w:val="24"/>
                <w:szCs w:val="24"/>
                <w:color w:val="auto"/>
              </w:rPr>
            </w:pPr>
          </w:p>
        </w:tc>
        <w:tc>
          <w:tcPr>
            <w:tcW w:w="10340" w:type="dxa"/>
            <w:vAlign w:val="bottom"/>
            <w:gridSpan w:val="6"/>
          </w:tcPr>
          <w:p>
            <w:pPr>
              <w:ind w:left="260"/>
              <w:spacing w:after="0"/>
              <w:rPr>
                <w:sz w:val="20"/>
                <w:szCs w:val="20"/>
                <w:color w:val="auto"/>
              </w:rPr>
            </w:pPr>
            <w:r>
              <w:rPr>
                <w:rFonts w:ascii="Arial" w:cs="Arial" w:eastAsia="Arial" w:hAnsi="Arial"/>
                <w:sz w:val="22"/>
                <w:szCs w:val="22"/>
                <w:color w:val="auto"/>
              </w:rPr>
              <w:t>51 Astor Place, 10th Floor</w:t>
            </w:r>
          </w:p>
        </w:tc>
      </w:tr>
      <w:tr>
        <w:trPr>
          <w:trHeight w:val="274"/>
        </w:trPr>
        <w:tc>
          <w:tcPr>
            <w:tcW w:w="880" w:type="dxa"/>
            <w:vAlign w:val="bottom"/>
          </w:tcPr>
          <w:p>
            <w:pPr>
              <w:spacing w:after="0"/>
              <w:rPr>
                <w:sz w:val="23"/>
                <w:szCs w:val="23"/>
                <w:color w:val="auto"/>
              </w:rPr>
            </w:pPr>
          </w:p>
        </w:tc>
        <w:tc>
          <w:tcPr>
            <w:tcW w:w="10340" w:type="dxa"/>
            <w:vAlign w:val="bottom"/>
            <w:gridSpan w:val="6"/>
          </w:tcPr>
          <w:p>
            <w:pPr>
              <w:ind w:left="260"/>
              <w:spacing w:after="0"/>
              <w:rPr>
                <w:sz w:val="20"/>
                <w:szCs w:val="20"/>
                <w:color w:val="auto"/>
              </w:rPr>
            </w:pPr>
            <w:r>
              <w:rPr>
                <w:rFonts w:ascii="Arial" w:cs="Arial" w:eastAsia="Arial" w:hAnsi="Arial"/>
                <w:sz w:val="22"/>
                <w:szCs w:val="22"/>
                <w:color w:val="auto"/>
              </w:rPr>
              <w:t>New York, NY 10003</w:t>
            </w:r>
          </w:p>
        </w:tc>
      </w:tr>
      <w:tr>
        <w:trPr>
          <w:trHeight w:val="449"/>
        </w:trPr>
        <w:tc>
          <w:tcPr>
            <w:tcW w:w="88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10340" w:type="dxa"/>
            <w:vAlign w:val="bottom"/>
            <w:gridSpan w:val="6"/>
          </w:tcPr>
          <w:p>
            <w:pPr>
              <w:ind w:left="260"/>
              <w:spacing w:after="0"/>
              <w:rPr>
                <w:sz w:val="20"/>
                <w:szCs w:val="20"/>
                <w:color w:val="auto"/>
              </w:rPr>
            </w:pPr>
            <w:r>
              <w:rPr>
                <w:rFonts w:ascii="Arial" w:cs="Arial" w:eastAsia="Arial" w:hAnsi="Arial"/>
                <w:sz w:val="18"/>
                <w:szCs w:val="18"/>
                <w:b w:val="1"/>
                <w:bCs w:val="1"/>
                <w:color w:val="auto"/>
              </w:rPr>
              <w:t>Names of Persons Filing</w:t>
            </w:r>
          </w:p>
        </w:tc>
      </w:tr>
      <w:tr>
        <w:trPr>
          <w:trHeight w:val="465"/>
        </w:trPr>
        <w:tc>
          <w:tcPr>
            <w:tcW w:w="880" w:type="dxa"/>
            <w:vAlign w:val="bottom"/>
          </w:tcPr>
          <w:p>
            <w:pPr>
              <w:spacing w:after="0"/>
              <w:rPr>
                <w:sz w:val="24"/>
                <w:szCs w:val="24"/>
                <w:color w:val="auto"/>
              </w:rPr>
            </w:pPr>
          </w:p>
        </w:tc>
        <w:tc>
          <w:tcPr>
            <w:tcW w:w="10340" w:type="dxa"/>
            <w:vAlign w:val="bottom"/>
            <w:gridSpan w:val="6"/>
          </w:tcPr>
          <w:p>
            <w:pPr>
              <w:ind w:left="260"/>
              <w:spacing w:after="0"/>
              <w:rPr>
                <w:sz w:val="20"/>
                <w:szCs w:val="20"/>
                <w:color w:val="auto"/>
              </w:rPr>
            </w:pPr>
            <w:r>
              <w:rPr>
                <w:rFonts w:ascii="Arial" w:cs="Arial" w:eastAsia="Arial" w:hAnsi="Arial"/>
                <w:sz w:val="22"/>
                <w:szCs w:val="22"/>
                <w:color w:val="auto"/>
                <w:w w:val="88"/>
              </w:rPr>
              <w:t>This Schedule 13G is filed by the entities and persons listed below, all of whom together are referred to herein as the</w:t>
            </w:r>
          </w:p>
        </w:tc>
      </w:tr>
      <w:tr>
        <w:trPr>
          <w:trHeight w:val="274"/>
        </w:trPr>
        <w:tc>
          <w:tcPr>
            <w:tcW w:w="880" w:type="dxa"/>
            <w:vAlign w:val="bottom"/>
          </w:tcPr>
          <w:p>
            <w:pPr>
              <w:spacing w:after="0"/>
              <w:rPr>
                <w:sz w:val="23"/>
                <w:szCs w:val="23"/>
                <w:color w:val="auto"/>
              </w:rPr>
            </w:pPr>
          </w:p>
        </w:tc>
        <w:tc>
          <w:tcPr>
            <w:tcW w:w="10340" w:type="dxa"/>
            <w:vAlign w:val="bottom"/>
            <w:gridSpan w:val="6"/>
          </w:tcPr>
          <w:p>
            <w:pPr>
              <w:ind w:left="260"/>
              <w:spacing w:after="0"/>
              <w:rPr>
                <w:sz w:val="20"/>
                <w:szCs w:val="20"/>
                <w:color w:val="auto"/>
              </w:rPr>
            </w:pPr>
            <w:r>
              <w:rPr>
                <w:rFonts w:ascii="Arial" w:cs="Arial" w:eastAsia="Arial" w:hAnsi="Arial"/>
                <w:sz w:val="22"/>
                <w:szCs w:val="22"/>
                <w:color w:val="auto"/>
              </w:rPr>
              <w:t>“Reporting Persons”:</w:t>
            </w:r>
          </w:p>
        </w:tc>
      </w:tr>
      <w:tr>
        <w:trPr>
          <w:trHeight w:val="449"/>
        </w:trPr>
        <w:tc>
          <w:tcPr>
            <w:tcW w:w="880" w:type="dxa"/>
            <w:vAlign w:val="bottom"/>
          </w:tcPr>
          <w:p>
            <w:pPr>
              <w:spacing w:after="0"/>
              <w:rPr>
                <w:sz w:val="24"/>
                <w:szCs w:val="24"/>
                <w:color w:val="auto"/>
              </w:rPr>
            </w:pPr>
          </w:p>
        </w:tc>
        <w:tc>
          <w:tcPr>
            <w:tcW w:w="10340" w:type="dxa"/>
            <w:vAlign w:val="bottom"/>
            <w:gridSpan w:val="6"/>
          </w:tcPr>
          <w:p>
            <w:pPr>
              <w:ind w:left="740"/>
              <w:spacing w:after="0"/>
              <w:rPr>
                <w:sz w:val="20"/>
                <w:szCs w:val="20"/>
                <w:color w:val="auto"/>
              </w:rPr>
            </w:pPr>
            <w:r>
              <w:rPr>
                <w:rFonts w:ascii="Arial" w:cs="Arial" w:eastAsia="Arial" w:hAnsi="Arial"/>
                <w:sz w:val="18"/>
                <w:szCs w:val="18"/>
                <w:color w:val="auto"/>
              </w:rPr>
              <w:t>a)  ARYA Sciences Holdings III (the “Sponsor”);</w:t>
            </w:r>
          </w:p>
        </w:tc>
      </w:tr>
      <w:tr>
        <w:trPr>
          <w:trHeight w:val="459"/>
        </w:trPr>
        <w:tc>
          <w:tcPr>
            <w:tcW w:w="880" w:type="dxa"/>
            <w:vAlign w:val="bottom"/>
          </w:tcPr>
          <w:p>
            <w:pPr>
              <w:spacing w:after="0"/>
              <w:rPr>
                <w:sz w:val="24"/>
                <w:szCs w:val="24"/>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b)</w:t>
            </w:r>
          </w:p>
        </w:tc>
        <w:tc>
          <w:tcPr>
            <w:tcW w:w="9360" w:type="dxa"/>
            <w:vAlign w:val="bottom"/>
            <w:gridSpan w:val="5"/>
          </w:tcPr>
          <w:p>
            <w:pPr>
              <w:ind w:left="100"/>
              <w:spacing w:after="0"/>
              <w:rPr>
                <w:sz w:val="20"/>
                <w:szCs w:val="20"/>
                <w:color w:val="auto"/>
              </w:rPr>
            </w:pPr>
            <w:r>
              <w:rPr>
                <w:rFonts w:ascii="Arial" w:cs="Arial" w:eastAsia="Arial" w:hAnsi="Arial"/>
                <w:sz w:val="18"/>
                <w:szCs w:val="18"/>
                <w:color w:val="auto"/>
              </w:rPr>
              <w:t>Adam Stone; and</w:t>
            </w:r>
          </w:p>
        </w:tc>
      </w:tr>
      <w:tr>
        <w:trPr>
          <w:trHeight w:val="459"/>
        </w:trPr>
        <w:tc>
          <w:tcPr>
            <w:tcW w:w="880" w:type="dxa"/>
            <w:vAlign w:val="bottom"/>
          </w:tcPr>
          <w:p>
            <w:pPr>
              <w:spacing w:after="0"/>
              <w:rPr>
                <w:sz w:val="24"/>
                <w:szCs w:val="24"/>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c)</w:t>
            </w:r>
          </w:p>
        </w:tc>
        <w:tc>
          <w:tcPr>
            <w:tcW w:w="9360" w:type="dxa"/>
            <w:vAlign w:val="bottom"/>
            <w:gridSpan w:val="5"/>
          </w:tcPr>
          <w:p>
            <w:pPr>
              <w:ind w:left="100"/>
              <w:spacing w:after="0"/>
              <w:rPr>
                <w:sz w:val="20"/>
                <w:szCs w:val="20"/>
                <w:color w:val="auto"/>
              </w:rPr>
            </w:pPr>
            <w:r>
              <w:rPr>
                <w:rFonts w:ascii="Arial" w:cs="Arial" w:eastAsia="Arial" w:hAnsi="Arial"/>
                <w:sz w:val="18"/>
                <w:szCs w:val="18"/>
                <w:color w:val="auto"/>
              </w:rPr>
              <w:t>Michael Altman.</w:t>
            </w:r>
          </w:p>
        </w:tc>
      </w:tr>
      <w:tr>
        <w:trPr>
          <w:trHeight w:val="459"/>
        </w:trPr>
        <w:tc>
          <w:tcPr>
            <w:tcW w:w="88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340" w:type="dxa"/>
            <w:vAlign w:val="bottom"/>
            <w:gridSpan w:val="6"/>
          </w:tcPr>
          <w:p>
            <w:pPr>
              <w:ind w:left="260"/>
              <w:spacing w:after="0"/>
              <w:rPr>
                <w:sz w:val="20"/>
                <w:szCs w:val="20"/>
                <w:color w:val="auto"/>
              </w:rPr>
            </w:pPr>
            <w:r>
              <w:rPr>
                <w:rFonts w:ascii="Arial" w:cs="Arial" w:eastAsia="Arial" w:hAnsi="Arial"/>
                <w:sz w:val="18"/>
                <w:szCs w:val="18"/>
                <w:b w:val="1"/>
                <w:bCs w:val="1"/>
                <w:color w:val="auto"/>
              </w:rPr>
              <w:t>Address of the Principal Business Office, or if none, Residence</w:t>
            </w:r>
          </w:p>
        </w:tc>
      </w:tr>
      <w:tr>
        <w:trPr>
          <w:trHeight w:val="465"/>
        </w:trPr>
        <w:tc>
          <w:tcPr>
            <w:tcW w:w="880" w:type="dxa"/>
            <w:vAlign w:val="bottom"/>
          </w:tcPr>
          <w:p>
            <w:pPr>
              <w:spacing w:after="0"/>
              <w:rPr>
                <w:sz w:val="24"/>
                <w:szCs w:val="24"/>
                <w:color w:val="auto"/>
              </w:rPr>
            </w:pPr>
          </w:p>
        </w:tc>
        <w:tc>
          <w:tcPr>
            <w:tcW w:w="10340" w:type="dxa"/>
            <w:vAlign w:val="bottom"/>
            <w:gridSpan w:val="6"/>
          </w:tcPr>
          <w:p>
            <w:pPr>
              <w:ind w:left="260"/>
              <w:spacing w:after="0"/>
              <w:rPr>
                <w:sz w:val="20"/>
                <w:szCs w:val="20"/>
                <w:color w:val="auto"/>
              </w:rPr>
            </w:pPr>
            <w:r>
              <w:rPr>
                <w:rFonts w:ascii="Arial" w:cs="Arial" w:eastAsia="Arial" w:hAnsi="Arial"/>
                <w:sz w:val="22"/>
                <w:szCs w:val="22"/>
                <w:color w:val="auto"/>
              </w:rPr>
              <w:t>The principal business office of each of the Reporting Persons is:</w:t>
            </w:r>
          </w:p>
        </w:tc>
      </w:tr>
      <w:tr>
        <w:trPr>
          <w:trHeight w:val="243"/>
        </w:trPr>
        <w:tc>
          <w:tcPr>
            <w:tcW w:w="880" w:type="dxa"/>
            <w:vAlign w:val="bottom"/>
          </w:tcPr>
          <w:p>
            <w:pPr>
              <w:spacing w:after="0"/>
              <w:rPr>
                <w:sz w:val="21"/>
                <w:szCs w:val="21"/>
                <w:color w:val="auto"/>
              </w:rPr>
            </w:pPr>
          </w:p>
        </w:tc>
        <w:tc>
          <w:tcPr>
            <w:tcW w:w="10340" w:type="dxa"/>
            <w:vAlign w:val="bottom"/>
            <w:gridSpan w:val="6"/>
          </w:tcPr>
          <w:p>
            <w:pPr>
              <w:ind w:left="260"/>
              <w:spacing w:after="0" w:line="243" w:lineRule="exact"/>
              <w:rPr>
                <w:sz w:val="20"/>
                <w:szCs w:val="20"/>
                <w:color w:val="auto"/>
              </w:rPr>
            </w:pPr>
            <w:r>
              <w:rPr>
                <w:rFonts w:ascii="Arial" w:cs="Arial" w:eastAsia="Arial" w:hAnsi="Arial"/>
                <w:sz w:val="22"/>
                <w:szCs w:val="22"/>
                <w:color w:val="auto"/>
              </w:rPr>
              <w:t>51 Astor Place, 10th Floor</w:t>
            </w:r>
          </w:p>
        </w:tc>
      </w:tr>
      <w:tr>
        <w:trPr>
          <w:trHeight w:val="274"/>
        </w:trPr>
        <w:tc>
          <w:tcPr>
            <w:tcW w:w="880" w:type="dxa"/>
            <w:vAlign w:val="bottom"/>
          </w:tcPr>
          <w:p>
            <w:pPr>
              <w:spacing w:after="0"/>
              <w:rPr>
                <w:sz w:val="23"/>
                <w:szCs w:val="23"/>
                <w:color w:val="auto"/>
              </w:rPr>
            </w:pPr>
          </w:p>
        </w:tc>
        <w:tc>
          <w:tcPr>
            <w:tcW w:w="10340" w:type="dxa"/>
            <w:vAlign w:val="bottom"/>
            <w:gridSpan w:val="6"/>
          </w:tcPr>
          <w:p>
            <w:pPr>
              <w:ind w:left="260"/>
              <w:spacing w:after="0"/>
              <w:rPr>
                <w:sz w:val="20"/>
                <w:szCs w:val="20"/>
                <w:color w:val="auto"/>
              </w:rPr>
            </w:pPr>
            <w:r>
              <w:rPr>
                <w:rFonts w:ascii="Arial" w:cs="Arial" w:eastAsia="Arial" w:hAnsi="Arial"/>
                <w:sz w:val="22"/>
                <w:szCs w:val="22"/>
                <w:color w:val="auto"/>
              </w:rPr>
              <w:t>New York, NY 10003</w:t>
            </w:r>
          </w:p>
        </w:tc>
      </w:tr>
      <w:tr>
        <w:trPr>
          <w:trHeight w:val="449"/>
        </w:trPr>
        <w:tc>
          <w:tcPr>
            <w:tcW w:w="88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340" w:type="dxa"/>
            <w:vAlign w:val="bottom"/>
            <w:gridSpan w:val="6"/>
          </w:tcPr>
          <w:p>
            <w:pPr>
              <w:ind w:left="260"/>
              <w:spacing w:after="0"/>
              <w:rPr>
                <w:sz w:val="20"/>
                <w:szCs w:val="20"/>
                <w:color w:val="auto"/>
              </w:rPr>
            </w:pPr>
            <w:r>
              <w:rPr>
                <w:rFonts w:ascii="Arial" w:cs="Arial" w:eastAsia="Arial" w:hAnsi="Arial"/>
                <w:sz w:val="18"/>
                <w:szCs w:val="18"/>
                <w:b w:val="1"/>
                <w:bCs w:val="1"/>
                <w:color w:val="auto"/>
              </w:rPr>
              <w:t>Citizenship</w:t>
            </w:r>
          </w:p>
        </w:tc>
      </w:tr>
      <w:tr>
        <w:trPr>
          <w:trHeight w:val="496"/>
        </w:trPr>
        <w:tc>
          <w:tcPr>
            <w:tcW w:w="880" w:type="dxa"/>
            <w:vAlign w:val="bottom"/>
          </w:tcPr>
          <w:p>
            <w:pPr>
              <w:spacing w:after="0"/>
              <w:rPr>
                <w:sz w:val="24"/>
                <w:szCs w:val="24"/>
                <w:color w:val="auto"/>
              </w:rPr>
            </w:pPr>
          </w:p>
        </w:tc>
        <w:tc>
          <w:tcPr>
            <w:tcW w:w="10340" w:type="dxa"/>
            <w:vAlign w:val="bottom"/>
            <w:gridSpan w:val="6"/>
          </w:tcPr>
          <w:p>
            <w:pPr>
              <w:ind w:left="260"/>
              <w:spacing w:after="0"/>
              <w:rPr>
                <w:sz w:val="20"/>
                <w:szCs w:val="20"/>
                <w:color w:val="auto"/>
              </w:rPr>
            </w:pPr>
            <w:r>
              <w:rPr>
                <w:rFonts w:ascii="Arial" w:cs="Arial" w:eastAsia="Arial" w:hAnsi="Arial"/>
                <w:sz w:val="22"/>
                <w:szCs w:val="22"/>
                <w:color w:val="auto"/>
              </w:rPr>
              <w:t>See responses to Item 4 on each of the cover pages of this Schedule 13G.</w:t>
            </w:r>
          </w:p>
        </w:tc>
      </w:tr>
      <w:tr>
        <w:trPr>
          <w:trHeight w:val="449"/>
        </w:trPr>
        <w:tc>
          <w:tcPr>
            <w:tcW w:w="88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340" w:type="dxa"/>
            <w:vAlign w:val="bottom"/>
            <w:gridSpan w:val="6"/>
          </w:tcPr>
          <w:p>
            <w:pPr>
              <w:ind w:left="260"/>
              <w:spacing w:after="0"/>
              <w:rPr>
                <w:sz w:val="20"/>
                <w:szCs w:val="20"/>
                <w:color w:val="auto"/>
              </w:rPr>
            </w:pPr>
            <w:r>
              <w:rPr>
                <w:rFonts w:ascii="Arial" w:cs="Arial" w:eastAsia="Arial" w:hAnsi="Arial"/>
                <w:sz w:val="18"/>
                <w:szCs w:val="18"/>
                <w:b w:val="1"/>
                <w:bCs w:val="1"/>
                <w:color w:val="auto"/>
              </w:rPr>
              <w:t>Title of Class of Securities</w:t>
            </w:r>
          </w:p>
        </w:tc>
      </w:tr>
      <w:tr>
        <w:trPr>
          <w:trHeight w:val="496"/>
        </w:trPr>
        <w:tc>
          <w:tcPr>
            <w:tcW w:w="880" w:type="dxa"/>
            <w:vAlign w:val="bottom"/>
          </w:tcPr>
          <w:p>
            <w:pPr>
              <w:spacing w:after="0"/>
              <w:rPr>
                <w:sz w:val="24"/>
                <w:szCs w:val="24"/>
                <w:color w:val="auto"/>
              </w:rPr>
            </w:pPr>
          </w:p>
        </w:tc>
        <w:tc>
          <w:tcPr>
            <w:tcW w:w="10340" w:type="dxa"/>
            <w:vAlign w:val="bottom"/>
            <w:gridSpan w:val="6"/>
          </w:tcPr>
          <w:p>
            <w:pPr>
              <w:ind w:left="260"/>
              <w:spacing w:after="0"/>
              <w:rPr>
                <w:sz w:val="20"/>
                <w:szCs w:val="20"/>
                <w:color w:val="auto"/>
              </w:rPr>
            </w:pPr>
            <w:r>
              <w:rPr>
                <w:rFonts w:ascii="Arial" w:cs="Arial" w:eastAsia="Arial" w:hAnsi="Arial"/>
                <w:sz w:val="22"/>
                <w:szCs w:val="22"/>
                <w:color w:val="auto"/>
              </w:rPr>
              <w:t>Class A ordinary shares, $0.0001 par value per share.</w:t>
            </w:r>
          </w:p>
        </w:tc>
      </w:tr>
      <w:tr>
        <w:trPr>
          <w:trHeight w:val="449"/>
        </w:trPr>
        <w:tc>
          <w:tcPr>
            <w:tcW w:w="88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340" w:type="dxa"/>
            <w:vAlign w:val="bottom"/>
            <w:gridSpan w:val="6"/>
          </w:tcPr>
          <w:p>
            <w:pPr>
              <w:ind w:left="260"/>
              <w:spacing w:after="0"/>
              <w:rPr>
                <w:sz w:val="20"/>
                <w:szCs w:val="20"/>
                <w:color w:val="auto"/>
              </w:rPr>
            </w:pPr>
            <w:r>
              <w:rPr>
                <w:rFonts w:ascii="Arial" w:cs="Arial" w:eastAsia="Arial" w:hAnsi="Arial"/>
                <w:sz w:val="18"/>
                <w:szCs w:val="18"/>
                <w:b w:val="1"/>
                <w:bCs w:val="1"/>
                <w:color w:val="auto"/>
              </w:rPr>
              <w:t>CUSIP Number</w:t>
            </w:r>
          </w:p>
        </w:tc>
      </w:tr>
      <w:tr>
        <w:trPr>
          <w:trHeight w:val="496"/>
        </w:trPr>
        <w:tc>
          <w:tcPr>
            <w:tcW w:w="880" w:type="dxa"/>
            <w:vAlign w:val="bottom"/>
          </w:tcPr>
          <w:p>
            <w:pPr>
              <w:spacing w:after="0"/>
              <w:rPr>
                <w:sz w:val="24"/>
                <w:szCs w:val="24"/>
                <w:color w:val="auto"/>
              </w:rPr>
            </w:pPr>
          </w:p>
        </w:tc>
        <w:tc>
          <w:tcPr>
            <w:tcW w:w="10340" w:type="dxa"/>
            <w:vAlign w:val="bottom"/>
            <w:gridSpan w:val="6"/>
          </w:tcPr>
          <w:p>
            <w:pPr>
              <w:ind w:left="260"/>
              <w:spacing w:after="0"/>
              <w:rPr>
                <w:sz w:val="20"/>
                <w:szCs w:val="20"/>
                <w:color w:val="auto"/>
              </w:rPr>
            </w:pPr>
            <w:r>
              <w:rPr>
                <w:rFonts w:ascii="Arial" w:cs="Arial" w:eastAsia="Arial" w:hAnsi="Arial"/>
                <w:sz w:val="22"/>
                <w:szCs w:val="22"/>
                <w:color w:val="auto"/>
              </w:rPr>
              <w:t>G3166W 106</w:t>
            </w:r>
          </w:p>
        </w:tc>
      </w:tr>
      <w:tr>
        <w:trPr>
          <w:trHeight w:val="408"/>
        </w:trPr>
        <w:tc>
          <w:tcPr>
            <w:tcW w:w="8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340" w:type="dxa"/>
            <w:vAlign w:val="bottom"/>
            <w:gridSpan w:val="6"/>
          </w:tcPr>
          <w:p>
            <w:pPr>
              <w:ind w:left="160"/>
              <w:spacing w:after="0"/>
              <w:rPr>
                <w:sz w:val="20"/>
                <w:szCs w:val="20"/>
                <w:color w:val="auto"/>
              </w:rPr>
            </w:pPr>
            <w:r>
              <w:rPr>
                <w:rFonts w:ascii="Arial" w:cs="Arial" w:eastAsia="Arial" w:hAnsi="Arial"/>
                <w:sz w:val="18"/>
                <w:szCs w:val="18"/>
                <w:b w:val="1"/>
                <w:bCs w:val="1"/>
                <w:color w:val="auto"/>
              </w:rPr>
              <w:t>If this statement is filed pursuant to Rule 13d-1(b) or 13d-2(b) or (c), check whether the person filing is:</w:t>
            </w:r>
          </w:p>
        </w:tc>
      </w:tr>
      <w:tr>
        <w:trPr>
          <w:trHeight w:val="20"/>
        </w:trPr>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r>
    </w:tbl>
    <w:p>
      <w:pPr>
        <w:spacing w:after="0" w:line="256" w:lineRule="exact"/>
        <w:rPr>
          <w:sz w:val="20"/>
          <w:szCs w:val="20"/>
          <w:color w:val="auto"/>
        </w:rPr>
      </w:pPr>
    </w:p>
    <w:p>
      <w:pPr>
        <w:ind w:left="920" w:hanging="912"/>
        <w:spacing w:after="0"/>
        <w:tabs>
          <w:tab w:leader="none" w:pos="9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(b) a bank as defined in Section 3(a)(6) or the Exchange Act.</w:t>
      </w:r>
    </w:p>
    <w:p>
      <w:pPr>
        <w:spacing w:after="0" w:line="25" w:lineRule="exact"/>
        <w:rPr>
          <w:rFonts w:ascii="MS PGothic" w:cs="MS PGothic" w:eastAsia="MS PGothic" w:hAnsi="MS PGothic"/>
          <w:sz w:val="18"/>
          <w:szCs w:val="18"/>
          <w:color w:val="auto"/>
        </w:rPr>
      </w:pPr>
    </w:p>
    <w:p>
      <w:pPr>
        <w:ind w:left="920" w:hanging="912"/>
        <w:spacing w:after="0"/>
        <w:tabs>
          <w:tab w:leader="none" w:pos="9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 an insurance company as defined in Section 3(a)(19) of the Exchange Act.</w:t>
      </w:r>
    </w:p>
    <w:p>
      <w:pPr>
        <w:spacing w:after="0" w:line="9" w:lineRule="exact"/>
        <w:rPr>
          <w:rFonts w:ascii="MS PGothic" w:cs="MS PGothic" w:eastAsia="MS PGothic" w:hAnsi="MS PGothic"/>
          <w:sz w:val="18"/>
          <w:szCs w:val="18"/>
          <w:color w:val="auto"/>
        </w:rPr>
      </w:pPr>
    </w:p>
    <w:p>
      <w:pPr>
        <w:ind w:left="920" w:hanging="912"/>
        <w:spacing w:after="0"/>
        <w:tabs>
          <w:tab w:leader="none" w:pos="9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(d) an investment company registered under Section 8 of the Investment Company Act.</w:t>
      </w:r>
    </w:p>
    <w:p>
      <w:pPr>
        <w:spacing w:after="0" w:line="9" w:lineRule="exact"/>
        <w:rPr>
          <w:rFonts w:ascii="MS PGothic" w:cs="MS PGothic" w:eastAsia="MS PGothic" w:hAnsi="MS PGothic"/>
          <w:sz w:val="18"/>
          <w:szCs w:val="18"/>
          <w:color w:val="auto"/>
        </w:rPr>
      </w:pPr>
    </w:p>
    <w:p>
      <w:pPr>
        <w:ind w:left="920" w:hanging="912"/>
        <w:spacing w:after="0"/>
        <w:tabs>
          <w:tab w:leader="none" w:pos="9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(e) an investment adviser in accordance with Rule 13d-1(b)(1)(ii)(E).</w:t>
      </w:r>
    </w:p>
    <w:p>
      <w:pPr>
        <w:spacing w:after="0" w:line="9" w:lineRule="exact"/>
        <w:rPr>
          <w:rFonts w:ascii="MS PGothic" w:cs="MS PGothic" w:eastAsia="MS PGothic" w:hAnsi="MS PGothic"/>
          <w:sz w:val="18"/>
          <w:szCs w:val="18"/>
          <w:color w:val="auto"/>
        </w:rPr>
      </w:pPr>
    </w:p>
    <w:p>
      <w:pPr>
        <w:ind w:left="920" w:hanging="912"/>
        <w:spacing w:after="0"/>
        <w:tabs>
          <w:tab w:leader="none" w:pos="9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 an employee benefit plan or endowment fund in accordance with Rule 13d-1(b)(1)(ii)(F).</w:t>
      </w:r>
    </w:p>
    <w:p>
      <w:pPr>
        <w:spacing w:after="0" w:line="9" w:lineRule="exact"/>
        <w:rPr>
          <w:rFonts w:ascii="MS PGothic" w:cs="MS PGothic" w:eastAsia="MS PGothic" w:hAnsi="MS PGothic"/>
          <w:sz w:val="18"/>
          <w:szCs w:val="18"/>
          <w:color w:val="auto"/>
        </w:rPr>
      </w:pPr>
    </w:p>
    <w:p>
      <w:pPr>
        <w:ind w:left="920" w:hanging="912"/>
        <w:spacing w:after="0"/>
        <w:tabs>
          <w:tab w:leader="none" w:pos="9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(g) a parent holding company or control person in accordance with Rule 13d-1(b)(1)(ii)(G).</w:t>
      </w:r>
    </w:p>
    <w:p>
      <w:pPr>
        <w:spacing w:after="0" w:line="9" w:lineRule="exact"/>
        <w:rPr>
          <w:rFonts w:ascii="MS PGothic" w:cs="MS PGothic" w:eastAsia="MS PGothic" w:hAnsi="MS PGothic"/>
          <w:sz w:val="18"/>
          <w:szCs w:val="18"/>
          <w:color w:val="auto"/>
        </w:rPr>
      </w:pPr>
    </w:p>
    <w:p>
      <w:pPr>
        <w:ind w:left="920" w:hanging="912"/>
        <w:spacing w:after="0"/>
        <w:tabs>
          <w:tab w:leader="none" w:pos="9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(h) a savings association as defined in Section 3(b) of the Federal Deposit Insurance Act.</w:t>
      </w:r>
    </w:p>
    <w:p>
      <w:pPr>
        <w:spacing w:after="0" w:line="9" w:lineRule="exact"/>
        <w:rPr>
          <w:rFonts w:ascii="MS PGothic" w:cs="MS PGothic" w:eastAsia="MS PGothic" w:hAnsi="MS PGothic"/>
          <w:sz w:val="18"/>
          <w:szCs w:val="18"/>
          <w:color w:val="auto"/>
        </w:rPr>
      </w:pPr>
    </w:p>
    <w:p>
      <w:pPr>
        <w:ind w:left="920" w:hanging="912"/>
        <w:spacing w:after="0"/>
        <w:tabs>
          <w:tab w:leader="none" w:pos="9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(i) a church plan that is excluded from the definition of an investment company under Section 3(c)(14) of the Investment Company Act.</w:t>
      </w:r>
    </w:p>
    <w:p>
      <w:pPr>
        <w:spacing w:after="0" w:line="20" w:lineRule="exact"/>
        <w:rPr>
          <w:rFonts w:ascii="MS PGothic" w:cs="MS PGothic" w:eastAsia="MS PGothic" w:hAnsi="MS PGothic"/>
          <w:sz w:val="17"/>
          <w:szCs w:val="17"/>
          <w:color w:val="auto"/>
        </w:rPr>
      </w:pPr>
    </w:p>
    <w:p>
      <w:pPr>
        <w:ind w:left="920" w:hanging="912"/>
        <w:spacing w:after="0"/>
        <w:tabs>
          <w:tab w:leader="none" w:pos="9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(j) a non-U.S. institution in accordance with Rule 13d-1(b)(1)(ii)(J).</w:t>
      </w:r>
    </w:p>
    <w:p>
      <w:pPr>
        <w:spacing w:after="0" w:line="9" w:lineRule="exact"/>
        <w:rPr>
          <w:rFonts w:ascii="MS PGothic" w:cs="MS PGothic" w:eastAsia="MS PGothic" w:hAnsi="MS PGothic"/>
          <w:sz w:val="18"/>
          <w:szCs w:val="18"/>
          <w:color w:val="auto"/>
        </w:rPr>
      </w:pPr>
    </w:p>
    <w:p>
      <w:pPr>
        <w:ind w:left="920" w:hanging="912"/>
        <w:spacing w:after="0"/>
        <w:tabs>
          <w:tab w:leader="none" w:pos="9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(k) a group in accordance with Rule 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-1351280</wp:posOffset>
            </wp:positionV>
            <wp:extent cx="86995" cy="88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ind w:left="920" w:hanging="912"/>
        <w:spacing w:after="0"/>
        <w:tabs>
          <w:tab w:leader="none" w:pos="92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400" w:type="dxa"/>
            <w:vAlign w:val="bottom"/>
          </w:tcPr>
          <w:p>
            <w:pPr>
              <w:ind w:left="200"/>
              <w:spacing w:after="0"/>
              <w:rPr>
                <w:sz w:val="20"/>
                <w:szCs w:val="20"/>
                <w:color w:val="auto"/>
              </w:rPr>
            </w:pPr>
            <w:r>
              <w:rPr>
                <w:rFonts w:ascii="Arial" w:cs="Arial" w:eastAsia="Arial" w:hAnsi="Arial"/>
                <w:sz w:val="18"/>
                <w:szCs w:val="18"/>
                <w:b w:val="1"/>
                <w:bCs w:val="1"/>
                <w:color w:val="auto"/>
              </w:rPr>
              <w:t>Ownership</w:t>
            </w:r>
          </w:p>
        </w:tc>
      </w:tr>
      <w:tr>
        <w:trPr>
          <w:trHeight w:val="496"/>
        </w:trPr>
        <w:tc>
          <w:tcPr>
            <w:tcW w:w="840" w:type="dxa"/>
            <w:vAlign w:val="bottom"/>
          </w:tcPr>
          <w:p>
            <w:pPr>
              <w:spacing w:after="0"/>
              <w:rPr>
                <w:sz w:val="24"/>
                <w:szCs w:val="24"/>
                <w:color w:val="auto"/>
              </w:rPr>
            </w:pPr>
          </w:p>
        </w:tc>
        <w:tc>
          <w:tcPr>
            <w:tcW w:w="10400" w:type="dxa"/>
            <w:vAlign w:val="bottom"/>
          </w:tcPr>
          <w:p>
            <w:pPr>
              <w:ind w:left="300"/>
              <w:spacing w:after="0"/>
              <w:rPr>
                <w:sz w:val="20"/>
                <w:szCs w:val="20"/>
                <w:color w:val="auto"/>
              </w:rPr>
            </w:pPr>
            <w:r>
              <w:rPr>
                <w:rFonts w:ascii="Arial" w:cs="Arial" w:eastAsia="Arial" w:hAnsi="Arial"/>
                <w:sz w:val="22"/>
                <w:szCs w:val="22"/>
                <w:color w:val="auto"/>
                <w:w w:val="88"/>
              </w:rPr>
              <w:t>The responses to Items 5 to 11 of each of the cover page of this Schedule 13G are incorporated herein by reference.</w:t>
            </w:r>
          </w:p>
        </w:tc>
      </w:tr>
      <w:tr>
        <w:trPr>
          <w:trHeight w:val="455"/>
        </w:trPr>
        <w:tc>
          <w:tcPr>
            <w:tcW w:w="840" w:type="dxa"/>
            <w:vAlign w:val="bottom"/>
          </w:tcPr>
          <w:p>
            <w:pPr>
              <w:spacing w:after="0"/>
              <w:rPr>
                <w:sz w:val="24"/>
                <w:szCs w:val="24"/>
                <w:color w:val="auto"/>
              </w:rPr>
            </w:pPr>
          </w:p>
        </w:tc>
        <w:tc>
          <w:tcPr>
            <w:tcW w:w="10400" w:type="dxa"/>
            <w:vAlign w:val="bottom"/>
          </w:tcPr>
          <w:p>
            <w:pPr>
              <w:ind w:left="300"/>
              <w:spacing w:after="0"/>
              <w:rPr>
                <w:sz w:val="20"/>
                <w:szCs w:val="20"/>
                <w:color w:val="auto"/>
              </w:rPr>
            </w:pPr>
            <w:r>
              <w:rPr>
                <w:rFonts w:ascii="Arial" w:cs="Arial" w:eastAsia="Arial" w:hAnsi="Arial"/>
                <w:sz w:val="22"/>
                <w:szCs w:val="22"/>
                <w:color w:val="auto"/>
                <w:w w:val="93"/>
              </w:rPr>
              <w:t>As of December 31, 2020, the Reporting Persons hold 3,647,500 Class B ordinary shares and 499,000 private</w:t>
            </w:r>
          </w:p>
        </w:tc>
      </w:tr>
      <w:tr>
        <w:trPr>
          <w:trHeight w:val="243"/>
        </w:trPr>
        <w:tc>
          <w:tcPr>
            <w:tcW w:w="840" w:type="dxa"/>
            <w:vAlign w:val="bottom"/>
          </w:tcPr>
          <w:p>
            <w:pPr>
              <w:spacing w:after="0"/>
              <w:rPr>
                <w:sz w:val="21"/>
                <w:szCs w:val="21"/>
                <w:color w:val="auto"/>
              </w:rPr>
            </w:pPr>
          </w:p>
        </w:tc>
        <w:tc>
          <w:tcPr>
            <w:tcW w:w="10400" w:type="dxa"/>
            <w:vAlign w:val="bottom"/>
          </w:tcPr>
          <w:p>
            <w:pPr>
              <w:ind w:left="300"/>
              <w:spacing w:after="0" w:line="243" w:lineRule="exact"/>
              <w:rPr>
                <w:sz w:val="20"/>
                <w:szCs w:val="20"/>
                <w:color w:val="auto"/>
              </w:rPr>
            </w:pPr>
            <w:r>
              <w:rPr>
                <w:rFonts w:ascii="Arial" w:cs="Arial" w:eastAsia="Arial" w:hAnsi="Arial"/>
                <w:sz w:val="22"/>
                <w:szCs w:val="22"/>
                <w:color w:val="auto"/>
                <w:w w:val="92"/>
              </w:rPr>
              <w:t>placement shares, representing 21.6% of the Issuer’s issued and outstanding ordinary shares and assuming the</w:t>
            </w:r>
          </w:p>
        </w:tc>
      </w:tr>
      <w:tr>
        <w:trPr>
          <w:trHeight w:val="274"/>
        </w:trPr>
        <w:tc>
          <w:tcPr>
            <w:tcW w:w="840" w:type="dxa"/>
            <w:vAlign w:val="bottom"/>
          </w:tcPr>
          <w:p>
            <w:pPr>
              <w:spacing w:after="0"/>
              <w:rPr>
                <w:sz w:val="23"/>
                <w:szCs w:val="23"/>
                <w:color w:val="auto"/>
              </w:rPr>
            </w:pPr>
          </w:p>
        </w:tc>
        <w:tc>
          <w:tcPr>
            <w:tcW w:w="10400" w:type="dxa"/>
            <w:vAlign w:val="bottom"/>
          </w:tcPr>
          <w:p>
            <w:pPr>
              <w:ind w:left="300"/>
              <w:spacing w:after="0"/>
              <w:rPr>
                <w:sz w:val="20"/>
                <w:szCs w:val="20"/>
                <w:color w:val="auto"/>
              </w:rPr>
            </w:pPr>
            <w:r>
              <w:rPr>
                <w:rFonts w:ascii="Arial" w:cs="Arial" w:eastAsia="Arial" w:hAnsi="Arial"/>
                <w:sz w:val="22"/>
                <w:szCs w:val="22"/>
                <w:color w:val="auto"/>
              </w:rPr>
              <w:t>conversion of all Class B ordinary shares into Class A ordinary shares.</w:t>
            </w:r>
          </w:p>
        </w:tc>
      </w:tr>
      <w:tr>
        <w:trPr>
          <w:trHeight w:val="455"/>
        </w:trPr>
        <w:tc>
          <w:tcPr>
            <w:tcW w:w="840" w:type="dxa"/>
            <w:vAlign w:val="bottom"/>
          </w:tcPr>
          <w:p>
            <w:pPr>
              <w:spacing w:after="0"/>
              <w:rPr>
                <w:sz w:val="24"/>
                <w:szCs w:val="24"/>
                <w:color w:val="auto"/>
              </w:rPr>
            </w:pPr>
          </w:p>
        </w:tc>
        <w:tc>
          <w:tcPr>
            <w:tcW w:w="10400" w:type="dxa"/>
            <w:vAlign w:val="bottom"/>
          </w:tcPr>
          <w:p>
            <w:pPr>
              <w:ind w:left="300"/>
              <w:spacing w:after="0"/>
              <w:rPr>
                <w:sz w:val="20"/>
                <w:szCs w:val="20"/>
                <w:color w:val="auto"/>
              </w:rPr>
            </w:pPr>
            <w:r>
              <w:rPr>
                <w:rFonts w:ascii="Arial" w:cs="Arial" w:eastAsia="Arial" w:hAnsi="Arial"/>
                <w:sz w:val="22"/>
                <w:szCs w:val="22"/>
                <w:color w:val="auto"/>
                <w:w w:val="90"/>
              </w:rPr>
              <w:t>The Class B ordinary shares will automatically convert into Class A ordinary shares at the time of the Issuer’s initial</w:t>
            </w:r>
          </w:p>
        </w:tc>
      </w:tr>
      <w:tr>
        <w:trPr>
          <w:trHeight w:val="243"/>
        </w:trPr>
        <w:tc>
          <w:tcPr>
            <w:tcW w:w="840" w:type="dxa"/>
            <w:vAlign w:val="bottom"/>
          </w:tcPr>
          <w:p>
            <w:pPr>
              <w:spacing w:after="0"/>
              <w:rPr>
                <w:sz w:val="21"/>
                <w:szCs w:val="21"/>
                <w:color w:val="auto"/>
              </w:rPr>
            </w:pPr>
          </w:p>
        </w:tc>
        <w:tc>
          <w:tcPr>
            <w:tcW w:w="10400" w:type="dxa"/>
            <w:vAlign w:val="bottom"/>
          </w:tcPr>
          <w:p>
            <w:pPr>
              <w:ind w:left="300"/>
              <w:spacing w:after="0" w:line="243" w:lineRule="exact"/>
              <w:rPr>
                <w:sz w:val="20"/>
                <w:szCs w:val="20"/>
                <w:color w:val="auto"/>
              </w:rPr>
            </w:pPr>
            <w:r>
              <w:rPr>
                <w:rFonts w:ascii="Arial" w:cs="Arial" w:eastAsia="Arial" w:hAnsi="Arial"/>
                <w:sz w:val="22"/>
                <w:szCs w:val="22"/>
                <w:color w:val="auto"/>
                <w:w w:val="89"/>
              </w:rPr>
              <w:t>business combination or earlier at the option of the holders thereof at a one-for-one basis, subject to adjustment, as</w:t>
            </w:r>
          </w:p>
        </w:tc>
      </w:tr>
      <w:tr>
        <w:trPr>
          <w:trHeight w:val="243"/>
        </w:trPr>
        <w:tc>
          <w:tcPr>
            <w:tcW w:w="840" w:type="dxa"/>
            <w:vAlign w:val="bottom"/>
          </w:tcPr>
          <w:p>
            <w:pPr>
              <w:spacing w:after="0"/>
              <w:rPr>
                <w:sz w:val="21"/>
                <w:szCs w:val="21"/>
                <w:color w:val="auto"/>
              </w:rPr>
            </w:pPr>
          </w:p>
        </w:tc>
        <w:tc>
          <w:tcPr>
            <w:tcW w:w="10400" w:type="dxa"/>
            <w:vAlign w:val="bottom"/>
          </w:tcPr>
          <w:p>
            <w:pPr>
              <w:ind w:left="300"/>
              <w:spacing w:after="0" w:line="243" w:lineRule="exact"/>
              <w:rPr>
                <w:sz w:val="20"/>
                <w:szCs w:val="20"/>
                <w:color w:val="auto"/>
              </w:rPr>
            </w:pPr>
            <w:r>
              <w:rPr>
                <w:rFonts w:ascii="Arial" w:cs="Arial" w:eastAsia="Arial" w:hAnsi="Arial"/>
                <w:sz w:val="22"/>
                <w:szCs w:val="22"/>
                <w:color w:val="auto"/>
                <w:w w:val="92"/>
              </w:rPr>
              <w:t>more fully described in the Issuer’s amended and restated memorandum and articles of association or under the</w:t>
            </w:r>
          </w:p>
        </w:tc>
      </w:tr>
      <w:tr>
        <w:trPr>
          <w:trHeight w:val="243"/>
        </w:trPr>
        <w:tc>
          <w:tcPr>
            <w:tcW w:w="840" w:type="dxa"/>
            <w:vAlign w:val="bottom"/>
          </w:tcPr>
          <w:p>
            <w:pPr>
              <w:spacing w:after="0"/>
              <w:rPr>
                <w:sz w:val="21"/>
                <w:szCs w:val="21"/>
                <w:color w:val="auto"/>
              </w:rPr>
            </w:pPr>
          </w:p>
        </w:tc>
        <w:tc>
          <w:tcPr>
            <w:tcW w:w="10400" w:type="dxa"/>
            <w:vAlign w:val="bottom"/>
          </w:tcPr>
          <w:p>
            <w:pPr>
              <w:ind w:left="300"/>
              <w:spacing w:after="0" w:line="243" w:lineRule="exact"/>
              <w:rPr>
                <w:sz w:val="20"/>
                <w:szCs w:val="20"/>
                <w:color w:val="auto"/>
              </w:rPr>
            </w:pPr>
            <w:r>
              <w:rPr>
                <w:rFonts w:ascii="Arial" w:cs="Arial" w:eastAsia="Arial" w:hAnsi="Arial"/>
                <w:sz w:val="22"/>
                <w:szCs w:val="22"/>
                <w:color w:val="auto"/>
                <w:w w:val="93"/>
              </w:rPr>
              <w:t>heading “Description of Securities—Founder Shares” in the IPO Prospectus. The private placement shares are</w:t>
            </w:r>
          </w:p>
        </w:tc>
      </w:tr>
      <w:tr>
        <w:trPr>
          <w:trHeight w:val="243"/>
        </w:trPr>
        <w:tc>
          <w:tcPr>
            <w:tcW w:w="840" w:type="dxa"/>
            <w:vAlign w:val="bottom"/>
          </w:tcPr>
          <w:p>
            <w:pPr>
              <w:spacing w:after="0"/>
              <w:rPr>
                <w:sz w:val="21"/>
                <w:szCs w:val="21"/>
                <w:color w:val="auto"/>
              </w:rPr>
            </w:pPr>
          </w:p>
        </w:tc>
        <w:tc>
          <w:tcPr>
            <w:tcW w:w="10400" w:type="dxa"/>
            <w:vAlign w:val="bottom"/>
          </w:tcPr>
          <w:p>
            <w:pPr>
              <w:ind w:left="300"/>
              <w:spacing w:after="0" w:line="243" w:lineRule="exact"/>
              <w:rPr>
                <w:sz w:val="20"/>
                <w:szCs w:val="20"/>
                <w:color w:val="auto"/>
              </w:rPr>
            </w:pPr>
            <w:r>
              <w:rPr>
                <w:rFonts w:ascii="Arial" w:cs="Arial" w:eastAsia="Arial" w:hAnsi="Arial"/>
                <w:sz w:val="22"/>
                <w:szCs w:val="22"/>
                <w:color w:val="auto"/>
                <w:w w:val="93"/>
              </w:rPr>
              <w:t>identical to the Class A ordinary shares, subject to certain limited exceptions as more fully described under the</w:t>
            </w:r>
          </w:p>
        </w:tc>
      </w:tr>
      <w:tr>
        <w:trPr>
          <w:trHeight w:val="274"/>
        </w:trPr>
        <w:tc>
          <w:tcPr>
            <w:tcW w:w="840" w:type="dxa"/>
            <w:vAlign w:val="bottom"/>
          </w:tcPr>
          <w:p>
            <w:pPr>
              <w:spacing w:after="0"/>
              <w:rPr>
                <w:sz w:val="23"/>
                <w:szCs w:val="23"/>
                <w:color w:val="auto"/>
              </w:rPr>
            </w:pPr>
          </w:p>
        </w:tc>
        <w:tc>
          <w:tcPr>
            <w:tcW w:w="10400" w:type="dxa"/>
            <w:vAlign w:val="bottom"/>
          </w:tcPr>
          <w:p>
            <w:pPr>
              <w:ind w:left="300"/>
              <w:spacing w:after="0"/>
              <w:rPr>
                <w:sz w:val="20"/>
                <w:szCs w:val="20"/>
                <w:color w:val="auto"/>
              </w:rPr>
            </w:pPr>
            <w:r>
              <w:rPr>
                <w:rFonts w:ascii="Arial" w:cs="Arial" w:eastAsia="Arial" w:hAnsi="Arial"/>
                <w:sz w:val="22"/>
                <w:szCs w:val="22"/>
                <w:color w:val="auto"/>
              </w:rPr>
              <w:t>heading “Description of Securities—Private Placement Shares” in the IPO Prospectus.</w:t>
            </w:r>
          </w:p>
        </w:tc>
      </w:tr>
      <w:tr>
        <w:trPr>
          <w:trHeight w:val="455"/>
        </w:trPr>
        <w:tc>
          <w:tcPr>
            <w:tcW w:w="840" w:type="dxa"/>
            <w:vAlign w:val="bottom"/>
          </w:tcPr>
          <w:p>
            <w:pPr>
              <w:spacing w:after="0"/>
              <w:rPr>
                <w:sz w:val="24"/>
                <w:szCs w:val="24"/>
                <w:color w:val="auto"/>
              </w:rPr>
            </w:pPr>
          </w:p>
        </w:tc>
        <w:tc>
          <w:tcPr>
            <w:tcW w:w="10400" w:type="dxa"/>
            <w:vAlign w:val="bottom"/>
          </w:tcPr>
          <w:p>
            <w:pPr>
              <w:ind w:left="300"/>
              <w:spacing w:after="0"/>
              <w:rPr>
                <w:sz w:val="20"/>
                <w:szCs w:val="20"/>
                <w:color w:val="auto"/>
              </w:rPr>
            </w:pPr>
            <w:r>
              <w:rPr>
                <w:rFonts w:ascii="Arial" w:cs="Arial" w:eastAsia="Arial" w:hAnsi="Arial"/>
                <w:sz w:val="22"/>
                <w:szCs w:val="22"/>
                <w:color w:val="auto"/>
                <w:w w:val="90"/>
              </w:rPr>
              <w:t>The Sponsor is the record holder of the securities reported herein. The Sponsor is governed by a board of directors</w:t>
            </w:r>
          </w:p>
        </w:tc>
      </w:tr>
      <w:tr>
        <w:trPr>
          <w:trHeight w:val="243"/>
        </w:trPr>
        <w:tc>
          <w:tcPr>
            <w:tcW w:w="840" w:type="dxa"/>
            <w:vAlign w:val="bottom"/>
          </w:tcPr>
          <w:p>
            <w:pPr>
              <w:spacing w:after="0"/>
              <w:rPr>
                <w:sz w:val="21"/>
                <w:szCs w:val="21"/>
                <w:color w:val="auto"/>
              </w:rPr>
            </w:pPr>
          </w:p>
        </w:tc>
        <w:tc>
          <w:tcPr>
            <w:tcW w:w="10400" w:type="dxa"/>
            <w:vAlign w:val="bottom"/>
          </w:tcPr>
          <w:p>
            <w:pPr>
              <w:ind w:left="300"/>
              <w:spacing w:after="0" w:line="243" w:lineRule="exact"/>
              <w:rPr>
                <w:sz w:val="20"/>
                <w:szCs w:val="20"/>
                <w:color w:val="auto"/>
              </w:rPr>
            </w:pPr>
            <w:r>
              <w:rPr>
                <w:rFonts w:ascii="Arial" w:cs="Arial" w:eastAsia="Arial" w:hAnsi="Arial"/>
                <w:sz w:val="22"/>
                <w:szCs w:val="22"/>
                <w:color w:val="auto"/>
                <w:w w:val="90"/>
              </w:rPr>
              <w:t>consisting of two directors, Adam Stone and Michael Altman. As such, Messrs. Stone and Altman have voting and</w:t>
            </w:r>
          </w:p>
        </w:tc>
      </w:tr>
      <w:tr>
        <w:trPr>
          <w:trHeight w:val="243"/>
        </w:trPr>
        <w:tc>
          <w:tcPr>
            <w:tcW w:w="840" w:type="dxa"/>
            <w:vAlign w:val="bottom"/>
          </w:tcPr>
          <w:p>
            <w:pPr>
              <w:spacing w:after="0"/>
              <w:rPr>
                <w:sz w:val="21"/>
                <w:szCs w:val="21"/>
                <w:color w:val="auto"/>
              </w:rPr>
            </w:pPr>
          </w:p>
        </w:tc>
        <w:tc>
          <w:tcPr>
            <w:tcW w:w="10400" w:type="dxa"/>
            <w:vAlign w:val="bottom"/>
          </w:tcPr>
          <w:p>
            <w:pPr>
              <w:ind w:left="300"/>
              <w:spacing w:after="0" w:line="243" w:lineRule="exact"/>
              <w:rPr>
                <w:sz w:val="20"/>
                <w:szCs w:val="20"/>
                <w:color w:val="auto"/>
              </w:rPr>
            </w:pPr>
            <w:r>
              <w:rPr>
                <w:rFonts w:ascii="Arial" w:cs="Arial" w:eastAsia="Arial" w:hAnsi="Arial"/>
                <w:sz w:val="22"/>
                <w:szCs w:val="22"/>
                <w:color w:val="auto"/>
                <w:w w:val="88"/>
              </w:rPr>
              <w:t>investment discretion with respect to the securities held of record by the Sponsor and may be deemed to have shared</w:t>
            </w:r>
          </w:p>
        </w:tc>
      </w:tr>
      <w:tr>
        <w:trPr>
          <w:trHeight w:val="274"/>
        </w:trPr>
        <w:tc>
          <w:tcPr>
            <w:tcW w:w="840" w:type="dxa"/>
            <w:vAlign w:val="bottom"/>
          </w:tcPr>
          <w:p>
            <w:pPr>
              <w:spacing w:after="0"/>
              <w:rPr>
                <w:sz w:val="23"/>
                <w:szCs w:val="23"/>
                <w:color w:val="auto"/>
              </w:rPr>
            </w:pPr>
          </w:p>
        </w:tc>
        <w:tc>
          <w:tcPr>
            <w:tcW w:w="10400" w:type="dxa"/>
            <w:vAlign w:val="bottom"/>
          </w:tcPr>
          <w:p>
            <w:pPr>
              <w:ind w:left="300"/>
              <w:spacing w:after="0"/>
              <w:rPr>
                <w:sz w:val="20"/>
                <w:szCs w:val="20"/>
                <w:color w:val="auto"/>
              </w:rPr>
            </w:pPr>
            <w:r>
              <w:rPr>
                <w:rFonts w:ascii="Arial" w:cs="Arial" w:eastAsia="Arial" w:hAnsi="Arial"/>
                <w:sz w:val="22"/>
                <w:szCs w:val="22"/>
                <w:color w:val="auto"/>
              </w:rPr>
              <w:t>beneficial ownership of the Class B ordinary shares held directly by the Sponsor.</w:t>
            </w:r>
          </w:p>
        </w:tc>
      </w:tr>
      <w:tr>
        <w:trPr>
          <w:trHeight w:val="449"/>
        </w:trPr>
        <w:tc>
          <w:tcPr>
            <w:tcW w:w="8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400" w:type="dxa"/>
            <w:vAlign w:val="bottom"/>
          </w:tcPr>
          <w:p>
            <w:pPr>
              <w:ind w:left="30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496"/>
        </w:trPr>
        <w:tc>
          <w:tcPr>
            <w:tcW w:w="840" w:type="dxa"/>
            <w:vAlign w:val="bottom"/>
          </w:tcPr>
          <w:p>
            <w:pPr>
              <w:spacing w:after="0"/>
              <w:rPr>
                <w:sz w:val="24"/>
                <w:szCs w:val="24"/>
                <w:color w:val="auto"/>
              </w:rPr>
            </w:pPr>
          </w:p>
        </w:tc>
        <w:tc>
          <w:tcPr>
            <w:tcW w:w="10400" w:type="dxa"/>
            <w:vAlign w:val="bottom"/>
          </w:tcPr>
          <w:p>
            <w:pPr>
              <w:ind w:left="300"/>
              <w:spacing w:after="0"/>
              <w:rPr>
                <w:sz w:val="20"/>
                <w:szCs w:val="20"/>
                <w:color w:val="auto"/>
              </w:rPr>
            </w:pPr>
            <w:r>
              <w:rPr>
                <w:rFonts w:ascii="Arial" w:cs="Arial" w:eastAsia="Arial" w:hAnsi="Arial"/>
                <w:sz w:val="22"/>
                <w:szCs w:val="22"/>
                <w:color w:val="auto"/>
              </w:rPr>
              <w:t>Not Applicable</w:t>
            </w:r>
          </w:p>
        </w:tc>
      </w:tr>
      <w:tr>
        <w:trPr>
          <w:trHeight w:val="449"/>
        </w:trPr>
        <w:tc>
          <w:tcPr>
            <w:tcW w:w="8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00" w:type="dxa"/>
            <w:vAlign w:val="bottom"/>
          </w:tcPr>
          <w:p>
            <w:pPr>
              <w:ind w:left="30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496"/>
        </w:trPr>
        <w:tc>
          <w:tcPr>
            <w:tcW w:w="840" w:type="dxa"/>
            <w:vAlign w:val="bottom"/>
          </w:tcPr>
          <w:p>
            <w:pPr>
              <w:spacing w:after="0"/>
              <w:rPr>
                <w:sz w:val="24"/>
                <w:szCs w:val="24"/>
                <w:color w:val="auto"/>
              </w:rPr>
            </w:pPr>
          </w:p>
        </w:tc>
        <w:tc>
          <w:tcPr>
            <w:tcW w:w="10400" w:type="dxa"/>
            <w:vAlign w:val="bottom"/>
          </w:tcPr>
          <w:p>
            <w:pPr>
              <w:ind w:left="300"/>
              <w:spacing w:after="0"/>
              <w:rPr>
                <w:sz w:val="20"/>
                <w:szCs w:val="20"/>
                <w:color w:val="auto"/>
              </w:rPr>
            </w:pPr>
            <w:r>
              <w:rPr>
                <w:rFonts w:ascii="Arial" w:cs="Arial" w:eastAsia="Arial" w:hAnsi="Arial"/>
                <w:sz w:val="22"/>
                <w:szCs w:val="22"/>
                <w:b w:val="1"/>
                <w:bCs w:val="1"/>
                <w:color w:val="auto"/>
              </w:rPr>
              <w:t>Not Applicable</w:t>
            </w:r>
          </w:p>
        </w:tc>
      </w:tr>
      <w:tr>
        <w:trPr>
          <w:trHeight w:val="431"/>
        </w:trPr>
        <w:tc>
          <w:tcPr>
            <w:tcW w:w="84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400" w:type="dxa"/>
            <w:vAlign w:val="bottom"/>
          </w:tcPr>
          <w:p>
            <w:pPr>
              <w:ind w:left="300"/>
              <w:spacing w:after="0"/>
              <w:rPr>
                <w:sz w:val="20"/>
                <w:szCs w:val="20"/>
                <w:color w:val="auto"/>
              </w:rPr>
            </w:pPr>
            <w:r>
              <w:rPr>
                <w:rFonts w:ascii="Arial" w:cs="Arial" w:eastAsia="Arial" w:hAnsi="Arial"/>
                <w:sz w:val="18"/>
                <w:szCs w:val="18"/>
                <w:b w:val="1"/>
                <w:bCs w:val="1"/>
                <w:color w:val="auto"/>
                <w:w w:val="97"/>
              </w:rPr>
              <w:t>Identification and Classification of the Subsidiary Which Acquired the Security Being Reported on By the Parent Holding</w:t>
            </w:r>
          </w:p>
        </w:tc>
      </w:tr>
      <w:tr>
        <w:trPr>
          <w:trHeight w:val="234"/>
        </w:trPr>
        <w:tc>
          <w:tcPr>
            <w:tcW w:w="840" w:type="dxa"/>
            <w:vAlign w:val="bottom"/>
          </w:tcPr>
          <w:p>
            <w:pPr>
              <w:spacing w:after="0"/>
              <w:rPr>
                <w:sz w:val="20"/>
                <w:szCs w:val="20"/>
                <w:color w:val="auto"/>
              </w:rPr>
            </w:pPr>
          </w:p>
        </w:tc>
        <w:tc>
          <w:tcPr>
            <w:tcW w:w="10400" w:type="dxa"/>
            <w:vAlign w:val="bottom"/>
          </w:tcPr>
          <w:p>
            <w:pPr>
              <w:ind w:left="300"/>
              <w:spacing w:after="0"/>
              <w:rPr>
                <w:sz w:val="20"/>
                <w:szCs w:val="20"/>
                <w:color w:val="auto"/>
              </w:rPr>
            </w:pPr>
            <w:r>
              <w:rPr>
                <w:rFonts w:ascii="Arial" w:cs="Arial" w:eastAsia="Arial" w:hAnsi="Arial"/>
                <w:sz w:val="18"/>
                <w:szCs w:val="18"/>
                <w:b w:val="1"/>
                <w:bCs w:val="1"/>
                <w:color w:val="auto"/>
              </w:rPr>
              <w:t>Company or Control Person</w:t>
            </w:r>
          </w:p>
        </w:tc>
      </w:tr>
      <w:tr>
        <w:trPr>
          <w:trHeight w:val="496"/>
        </w:trPr>
        <w:tc>
          <w:tcPr>
            <w:tcW w:w="840" w:type="dxa"/>
            <w:vAlign w:val="bottom"/>
          </w:tcPr>
          <w:p>
            <w:pPr>
              <w:spacing w:after="0"/>
              <w:rPr>
                <w:sz w:val="24"/>
                <w:szCs w:val="24"/>
                <w:color w:val="auto"/>
              </w:rPr>
            </w:pPr>
          </w:p>
        </w:tc>
        <w:tc>
          <w:tcPr>
            <w:tcW w:w="10400" w:type="dxa"/>
            <w:vAlign w:val="bottom"/>
          </w:tcPr>
          <w:p>
            <w:pPr>
              <w:ind w:left="300"/>
              <w:spacing w:after="0"/>
              <w:rPr>
                <w:sz w:val="20"/>
                <w:szCs w:val="20"/>
                <w:color w:val="auto"/>
              </w:rPr>
            </w:pPr>
            <w:r>
              <w:rPr>
                <w:rFonts w:ascii="Arial" w:cs="Arial" w:eastAsia="Arial" w:hAnsi="Arial"/>
                <w:sz w:val="22"/>
                <w:szCs w:val="22"/>
                <w:color w:val="auto"/>
              </w:rPr>
              <w:t>Not Applicable</w:t>
            </w:r>
          </w:p>
        </w:tc>
      </w:tr>
      <w:tr>
        <w:trPr>
          <w:trHeight w:val="449"/>
        </w:trPr>
        <w:tc>
          <w:tcPr>
            <w:tcW w:w="8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400" w:type="dxa"/>
            <w:vAlign w:val="bottom"/>
          </w:tcPr>
          <w:p>
            <w:pPr>
              <w:ind w:left="30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496"/>
        </w:trPr>
        <w:tc>
          <w:tcPr>
            <w:tcW w:w="840" w:type="dxa"/>
            <w:vAlign w:val="bottom"/>
          </w:tcPr>
          <w:p>
            <w:pPr>
              <w:spacing w:after="0"/>
              <w:rPr>
                <w:sz w:val="24"/>
                <w:szCs w:val="24"/>
                <w:color w:val="auto"/>
              </w:rPr>
            </w:pPr>
          </w:p>
        </w:tc>
        <w:tc>
          <w:tcPr>
            <w:tcW w:w="10400" w:type="dxa"/>
            <w:vAlign w:val="bottom"/>
          </w:tcPr>
          <w:p>
            <w:pPr>
              <w:ind w:left="300"/>
              <w:spacing w:after="0"/>
              <w:rPr>
                <w:sz w:val="20"/>
                <w:szCs w:val="20"/>
                <w:color w:val="auto"/>
              </w:rPr>
            </w:pPr>
            <w:r>
              <w:rPr>
                <w:rFonts w:ascii="Arial" w:cs="Arial" w:eastAsia="Arial" w:hAnsi="Arial"/>
                <w:sz w:val="22"/>
                <w:szCs w:val="22"/>
                <w:color w:val="auto"/>
              </w:rPr>
              <w:t>Not Applicable</w:t>
            </w:r>
          </w:p>
        </w:tc>
      </w:tr>
      <w:tr>
        <w:trPr>
          <w:trHeight w:val="449"/>
        </w:trPr>
        <w:tc>
          <w:tcPr>
            <w:tcW w:w="84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400" w:type="dxa"/>
            <w:vAlign w:val="bottom"/>
          </w:tcPr>
          <w:p>
            <w:pPr>
              <w:ind w:left="300"/>
              <w:spacing w:after="0"/>
              <w:rPr>
                <w:sz w:val="20"/>
                <w:szCs w:val="20"/>
                <w:color w:val="auto"/>
              </w:rPr>
            </w:pPr>
            <w:r>
              <w:rPr>
                <w:rFonts w:ascii="Arial" w:cs="Arial" w:eastAsia="Arial" w:hAnsi="Arial"/>
                <w:sz w:val="18"/>
                <w:szCs w:val="18"/>
                <w:b w:val="1"/>
                <w:bCs w:val="1"/>
                <w:color w:val="auto"/>
              </w:rPr>
              <w:t>Notice of Dissolution of Group</w:t>
            </w:r>
          </w:p>
        </w:tc>
      </w:tr>
      <w:tr>
        <w:trPr>
          <w:trHeight w:val="496"/>
        </w:trPr>
        <w:tc>
          <w:tcPr>
            <w:tcW w:w="840" w:type="dxa"/>
            <w:vAlign w:val="bottom"/>
          </w:tcPr>
          <w:p>
            <w:pPr>
              <w:spacing w:after="0"/>
              <w:rPr>
                <w:sz w:val="24"/>
                <w:szCs w:val="24"/>
                <w:color w:val="auto"/>
              </w:rPr>
            </w:pPr>
          </w:p>
        </w:tc>
        <w:tc>
          <w:tcPr>
            <w:tcW w:w="10400" w:type="dxa"/>
            <w:vAlign w:val="bottom"/>
          </w:tcPr>
          <w:p>
            <w:pPr>
              <w:ind w:left="300"/>
              <w:spacing w:after="0"/>
              <w:rPr>
                <w:sz w:val="20"/>
                <w:szCs w:val="20"/>
                <w:color w:val="auto"/>
              </w:rPr>
            </w:pPr>
            <w:r>
              <w:rPr>
                <w:rFonts w:ascii="Arial" w:cs="Arial" w:eastAsia="Arial" w:hAnsi="Arial"/>
                <w:sz w:val="22"/>
                <w:szCs w:val="22"/>
                <w:color w:val="auto"/>
              </w:rPr>
              <w:t>Not Applicable</w:t>
            </w:r>
          </w:p>
        </w:tc>
      </w:tr>
      <w:tr>
        <w:trPr>
          <w:trHeight w:val="449"/>
        </w:trPr>
        <w:tc>
          <w:tcPr>
            <w:tcW w:w="84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400" w:type="dxa"/>
            <w:vAlign w:val="bottom"/>
          </w:tcPr>
          <w:p>
            <w:pPr>
              <w:ind w:left="300"/>
              <w:spacing w:after="0"/>
              <w:rPr>
                <w:sz w:val="20"/>
                <w:szCs w:val="20"/>
                <w:color w:val="auto"/>
              </w:rPr>
            </w:pPr>
            <w:r>
              <w:rPr>
                <w:rFonts w:ascii="Arial" w:cs="Arial" w:eastAsia="Arial" w:hAnsi="Arial"/>
                <w:sz w:val="18"/>
                <w:szCs w:val="18"/>
                <w:b w:val="1"/>
                <w:bCs w:val="1"/>
                <w:color w:val="auto"/>
              </w:rPr>
              <w:t>Certification</w:t>
            </w:r>
          </w:p>
        </w:tc>
      </w:tr>
      <w:tr>
        <w:trPr>
          <w:trHeight w:val="496"/>
        </w:trPr>
        <w:tc>
          <w:tcPr>
            <w:tcW w:w="840" w:type="dxa"/>
            <w:vAlign w:val="bottom"/>
          </w:tcPr>
          <w:p>
            <w:pPr>
              <w:spacing w:after="0"/>
              <w:rPr>
                <w:sz w:val="24"/>
                <w:szCs w:val="24"/>
                <w:color w:val="auto"/>
              </w:rPr>
            </w:pPr>
          </w:p>
        </w:tc>
        <w:tc>
          <w:tcPr>
            <w:tcW w:w="10400" w:type="dxa"/>
            <w:vAlign w:val="bottom"/>
          </w:tcPr>
          <w:p>
            <w:pPr>
              <w:ind w:left="300"/>
              <w:spacing w:after="0"/>
              <w:rPr>
                <w:sz w:val="20"/>
                <w:szCs w:val="20"/>
                <w:color w:val="auto"/>
              </w:rPr>
            </w:pPr>
            <w:r>
              <w:rPr>
                <w:rFonts w:ascii="Arial" w:cs="Arial" w:eastAsia="Arial" w:hAnsi="Arial"/>
                <w:sz w:val="22"/>
                <w:szCs w:val="22"/>
                <w:color w:val="auto"/>
              </w:rPr>
              <w:t>Not Applicable</w:t>
            </w:r>
          </w:p>
        </w:tc>
      </w:tr>
      <w:tr>
        <w:trPr>
          <w:trHeight w:val="572"/>
        </w:trPr>
        <w:tc>
          <w:tcPr>
            <w:tcW w:w="840" w:type="dxa"/>
            <w:vAlign w:val="bottom"/>
          </w:tcPr>
          <w:p>
            <w:pPr>
              <w:spacing w:after="0"/>
              <w:rPr>
                <w:sz w:val="24"/>
                <w:szCs w:val="24"/>
                <w:color w:val="auto"/>
              </w:rPr>
            </w:pPr>
          </w:p>
        </w:tc>
        <w:tc>
          <w:tcPr>
            <w:tcW w:w="10400" w:type="dxa"/>
            <w:vAlign w:val="bottom"/>
          </w:tcPr>
          <w:p>
            <w:pPr>
              <w:ind w:left="4740"/>
              <w:spacing w:after="0"/>
              <w:rPr>
                <w:sz w:val="20"/>
                <w:szCs w:val="20"/>
                <w:color w:val="auto"/>
              </w:rPr>
            </w:pPr>
            <w:r>
              <w:rPr>
                <w:rFonts w:ascii="Arial" w:cs="Arial" w:eastAsia="Arial" w:hAnsi="Arial"/>
                <w:sz w:val="14"/>
                <w:szCs w:val="14"/>
                <w:color w:val="auto"/>
              </w:rPr>
              <w:t>6</w:t>
            </w:r>
          </w:p>
        </w:tc>
      </w:tr>
      <w:tr>
        <w:trPr>
          <w:trHeight w:val="46"/>
        </w:trPr>
        <w:tc>
          <w:tcPr>
            <w:tcW w:w="840" w:type="dxa"/>
            <w:vAlign w:val="bottom"/>
            <w:tcBorders>
              <w:bottom w:val="single" w:sz="8" w:color="auto"/>
            </w:tcBorders>
          </w:tcPr>
          <w:p>
            <w:pPr>
              <w:spacing w:after="0"/>
              <w:rPr>
                <w:sz w:val="4"/>
                <w:szCs w:val="4"/>
                <w:color w:val="auto"/>
              </w:rPr>
            </w:pPr>
          </w:p>
        </w:tc>
        <w:tc>
          <w:tcPr>
            <w:tcW w:w="104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right="760"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16, 2021</w:t>
            </w:r>
          </w:p>
        </w:tc>
        <w:tc>
          <w:tcPr>
            <w:tcW w:w="620" w:type="dxa"/>
            <w:vAlign w:val="bottom"/>
          </w:tcPr>
          <w:p>
            <w:pPr>
              <w:spacing w:after="0"/>
              <w:rPr>
                <w:sz w:val="20"/>
                <w:szCs w:val="20"/>
                <w:color w:val="auto"/>
              </w:rPr>
            </w:pPr>
          </w:p>
        </w:tc>
        <w:tc>
          <w:tcPr>
            <w:tcW w:w="5620" w:type="dxa"/>
            <w:vAlign w:val="bottom"/>
            <w:gridSpan w:val="3"/>
          </w:tcPr>
          <w:p>
            <w:pPr>
              <w:ind w:left="20"/>
              <w:spacing w:after="0"/>
              <w:rPr>
                <w:sz w:val="20"/>
                <w:szCs w:val="20"/>
                <w:color w:val="auto"/>
              </w:rPr>
            </w:pPr>
            <w:r>
              <w:rPr>
                <w:rFonts w:ascii="Arial" w:cs="Arial" w:eastAsia="Arial" w:hAnsi="Arial"/>
                <w:sz w:val="18"/>
                <w:szCs w:val="18"/>
                <w:b w:val="1"/>
                <w:bCs w:val="1"/>
                <w:color w:val="auto"/>
              </w:rPr>
              <w:t>Arya Sciences Holdings III</w:t>
            </w:r>
          </w:p>
        </w:tc>
      </w:tr>
      <w:tr>
        <w:trPr>
          <w:trHeight w:val="453"/>
        </w:trPr>
        <w:tc>
          <w:tcPr>
            <w:tcW w:w="11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20" w:type="dxa"/>
            <w:vAlign w:val="bottom"/>
            <w:gridSpan w:val="3"/>
          </w:tcPr>
          <w:p>
            <w:pPr>
              <w:ind w:left="20"/>
              <w:spacing w:after="0"/>
              <w:rPr>
                <w:sz w:val="20"/>
                <w:szCs w:val="20"/>
                <w:color w:val="auto"/>
              </w:rPr>
            </w:pPr>
            <w:r>
              <w:rPr>
                <w:rFonts w:ascii="Arial" w:cs="Arial" w:eastAsia="Arial" w:hAnsi="Arial"/>
                <w:sz w:val="18"/>
                <w:szCs w:val="18"/>
                <w:color w:val="auto"/>
              </w:rPr>
              <w:t>By: /s/ Samuel Cohn</w:t>
            </w:r>
          </w:p>
        </w:tc>
      </w:tr>
      <w:tr>
        <w:trPr>
          <w:trHeight w:val="202"/>
        </w:trPr>
        <w:tc>
          <w:tcPr>
            <w:tcW w:w="11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6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Name: Samuel Cohn</w:t>
            </w:r>
          </w:p>
        </w:tc>
      </w:tr>
      <w:tr>
        <w:trPr>
          <w:trHeight w:val="230"/>
        </w:trPr>
        <w:tc>
          <w:tcPr>
            <w:tcW w:w="11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Title:  Secretary</w:t>
            </w:r>
          </w:p>
        </w:tc>
      </w:tr>
      <w:tr>
        <w:trPr>
          <w:trHeight w:val="479"/>
        </w:trPr>
        <w:tc>
          <w:tcPr>
            <w:tcW w:w="11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Adam Stone</w:t>
            </w:r>
          </w:p>
        </w:tc>
      </w:tr>
      <w:tr>
        <w:trPr>
          <w:trHeight w:val="234"/>
        </w:trPr>
        <w:tc>
          <w:tcPr>
            <w:tcW w:w="11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Adam Stone</w:t>
            </w:r>
          </w:p>
        </w:tc>
      </w:tr>
      <w:tr>
        <w:trPr>
          <w:trHeight w:val="461"/>
        </w:trPr>
        <w:tc>
          <w:tcPr>
            <w:tcW w:w="11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Michael Altman</w:t>
            </w:r>
          </w:p>
        </w:tc>
      </w:tr>
      <w:tr>
        <w:trPr>
          <w:trHeight w:val="234"/>
        </w:trPr>
        <w:tc>
          <w:tcPr>
            <w:tcW w:w="11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Michael Altman</w:t>
            </w:r>
          </w:p>
        </w:tc>
      </w:tr>
      <w:tr>
        <w:trPr>
          <w:trHeight w:val="427"/>
        </w:trPr>
        <w:tc>
          <w:tcPr>
            <w:tcW w:w="11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22"/>
                <w:szCs w:val="22"/>
                <w:b w:val="1"/>
                <w:bCs w:val="1"/>
                <w:color w:val="auto"/>
                <w:w w:val="90"/>
              </w:rPr>
              <w:t>Exhibit Index</w:t>
            </w:r>
          </w:p>
        </w:tc>
        <w:tc>
          <w:tcPr>
            <w:tcW w:w="4980" w:type="dxa"/>
            <w:vAlign w:val="bottom"/>
          </w:tcPr>
          <w:p>
            <w:pPr>
              <w:spacing w:after="0"/>
              <w:rPr>
                <w:sz w:val="24"/>
                <w:szCs w:val="24"/>
                <w:color w:val="auto"/>
              </w:rPr>
            </w:pPr>
          </w:p>
        </w:tc>
      </w:tr>
      <w:tr>
        <w:trPr>
          <w:trHeight w:val="486"/>
        </w:trPr>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39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100" w:type="dxa"/>
            <w:vAlign w:val="bottom"/>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Exhibit 99.1</w:t>
              </w:r>
            </w:hyperlink>
          </w:p>
        </w:tc>
        <w:tc>
          <w:tcPr>
            <w:tcW w:w="10140" w:type="dxa"/>
            <w:vAlign w:val="bottom"/>
            <w:gridSpan w:val="5"/>
          </w:tcPr>
          <w:p>
            <w:pPr>
              <w:ind w:left="180"/>
              <w:spacing w:after="0"/>
              <w:rPr>
                <w:sz w:val="20"/>
                <w:szCs w:val="20"/>
                <w:color w:val="auto"/>
              </w:rPr>
            </w:pPr>
            <w:r>
              <w:rPr>
                <w:rFonts w:ascii="Arial" w:cs="Arial" w:eastAsia="Arial" w:hAnsi="Arial"/>
                <w:sz w:val="18"/>
                <w:szCs w:val="18"/>
                <w:color w:val="auto"/>
                <w:w w:val="93"/>
              </w:rPr>
              <w:t>Joint Filing Agreement, dated as of February 16, 2021, by and among ARYA Sciences Holdings III, Adam Stone and Michael Altman.</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Attention: Intentional misstatements or omissions of fact constitute Federal criminal violations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(See 18 U.S.C. 1001)</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jc w:val="center"/>
        <w:ind w:right="-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JOINT FILING AGREEMENT</w:t>
      </w:r>
    </w:p>
    <w:p>
      <w:pPr>
        <w:spacing w:after="0" w:line="239" w:lineRule="exact"/>
        <w:rPr>
          <w:sz w:val="20"/>
          <w:szCs w:val="20"/>
          <w:color w:val="auto"/>
        </w:rPr>
      </w:pPr>
    </w:p>
    <w:p>
      <w:pPr>
        <w:ind w:firstLine="648"/>
        <w:spacing w:after="0" w:line="252" w:lineRule="auto"/>
        <w:rPr>
          <w:sz w:val="20"/>
          <w:szCs w:val="20"/>
          <w:color w:val="auto"/>
        </w:rPr>
      </w:pPr>
      <w:r>
        <w:rPr>
          <w:rFonts w:ascii="Arial" w:cs="Arial" w:eastAsia="Arial" w:hAnsi="Arial"/>
          <w:sz w:val="21"/>
          <w:szCs w:val="21"/>
          <w:color w:val="auto"/>
        </w:rPr>
        <w:t>In accordance with Rule 13d-1(k) under the Securities Exchange Act of 1934, as amended, the undersigned agree to the joint filing on behalf of each of them of a Statement on Schedule 13G (including any and all amendments thereto) with respect to the ordinary shares, $0.0001 par value per share, of ARYA Sciences Acquisition Corp III, and further agree that this Joint Filing Agreement shall be included as an exhibit to such joint filings.</w:t>
      </w:r>
    </w:p>
    <w:p>
      <w:pPr>
        <w:spacing w:after="0" w:line="201"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The undersigned further agree that each party hereto is responsible for the timely filing of such Statement on Schedule 13G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spacing w:after="0" w:line="170" w:lineRule="exact"/>
        <w:rPr>
          <w:sz w:val="20"/>
          <w:szCs w:val="20"/>
          <w:color w:val="auto"/>
        </w:rPr>
      </w:pPr>
    </w:p>
    <w:p>
      <w:pPr>
        <w:ind w:right="300" w:firstLine="648"/>
        <w:spacing w:after="0" w:line="250" w:lineRule="auto"/>
        <w:rPr>
          <w:sz w:val="20"/>
          <w:szCs w:val="20"/>
          <w:color w:val="auto"/>
        </w:rPr>
      </w:pPr>
      <w:r>
        <w:rPr>
          <w:rFonts w:ascii="Arial" w:cs="Arial" w:eastAsia="Arial" w:hAnsi="Arial"/>
          <w:sz w:val="22"/>
          <w:szCs w:val="22"/>
          <w:color w:val="auto"/>
        </w:rPr>
        <w:t>This Joint Filing Agreement may be signed in counterparts with the same effect as if the signature on each counterpart were upon the same instrument.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the undersigned have executed this Agreement as of February 16, 2021.</w:t>
      </w:r>
    </w:p>
    <w:p>
      <w:pPr>
        <w:spacing w:after="0" w:line="23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Arya Sciences Holdings III</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Samuel Cohn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334327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Samuel Cohn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Secretary</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Adam Stone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Michael 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80"/>
      </w:cols>
      <w:pgMar w:left="320" w:top="27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2021-02-16T16:31:20Z</dcterms:created>
  <dcterms:modified xsi:type="dcterms:W3CDTF">2021-02-16T16:31:20Z</dcterms:modified>
</cp:coreProperties>
</file>