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tcPr>
          <w:p>
            <w:pPr>
              <w:spacing w:after="0" w:line="181" w:lineRule="exact"/>
              <w:rPr>
                <w:rFonts w:ascii="Arial" w:cs="Arial" w:eastAsia="Arial" w:hAnsi="Arial"/>
                <w:sz w:val="16"/>
                <w:szCs w:val="16"/>
                <w:color w:val="0000EE"/>
                <w:w w:val="92"/>
              </w:rPr>
            </w:pPr>
            <w:hyperlink r:id="rId11">
              <w:r>
                <w:rPr>
                  <w:rFonts w:ascii="Arial" w:cs="Arial" w:eastAsia="Arial" w:hAnsi="Arial"/>
                  <w:sz w:val="16"/>
                  <w:szCs w:val="16"/>
                  <w:color w:val="0000EE"/>
                  <w:w w:val="92"/>
                </w:rPr>
                <w:t>Mowry Anna</w:t>
              </w:r>
            </w:hyperlink>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Borders>
              <w:bottom w:val="single" w:sz="8" w:color="0000EE"/>
            </w:tcBorders>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0"/>
                <w:szCs w:val="10"/>
                <w:color w:val="auto"/>
              </w:rPr>
              <w:t>(Last)</w:t>
            </w:r>
          </w:p>
        </w:tc>
        <w:tc>
          <w:tcPr>
            <w:tcW w:w="1060" w:type="dxa"/>
            <w:vAlign w:val="bottom"/>
          </w:tcPr>
          <w:p>
            <w:pPr>
              <w:ind w:left="1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Nautilus Biotechnology,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NAUT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425 PONTIUS AVE N, STE 202</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SEATTLE</w:t>
      </w:r>
      <w:r>
        <w:rPr>
          <w:sz w:val="20"/>
          <w:szCs w:val="20"/>
          <w:color w:val="auto"/>
        </w:rPr>
        <w:tab/>
      </w:r>
      <w:r>
        <w:rPr>
          <w:rFonts w:ascii="Arial" w:cs="Arial" w:eastAsia="Arial" w:hAnsi="Arial"/>
          <w:sz w:val="13"/>
          <w:szCs w:val="13"/>
          <w:color w:val="0000FF"/>
        </w:rPr>
        <w:t>WA</w:t>
      </w:r>
      <w:r>
        <w:rPr>
          <w:sz w:val="20"/>
          <w:szCs w:val="20"/>
          <w:color w:val="auto"/>
        </w:rPr>
        <w:tab/>
      </w:r>
      <w:r>
        <w:rPr>
          <w:rFonts w:ascii="Arial" w:cs="Arial" w:eastAsia="Arial" w:hAnsi="Arial"/>
          <w:sz w:val="11"/>
          <w:szCs w:val="11"/>
          <w:color w:val="0000FF"/>
        </w:rPr>
        <w:t>98109</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1105"/>
        <w:spacing w:after="0"/>
        <w:rPr>
          <w:sz w:val="20"/>
          <w:szCs w:val="20"/>
          <w:color w:val="auto"/>
        </w:rPr>
      </w:pPr>
      <w:r>
        <w:rPr>
          <w:rFonts w:ascii="Arial" w:cs="Arial" w:eastAsia="Arial" w:hAnsi="Arial"/>
          <w:sz w:val="13"/>
          <w:szCs w:val="13"/>
          <w:color w:val="0000FF"/>
        </w:rPr>
        <w:t>CFO and Treasurer</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3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18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ind w:left="3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182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660" w:type="dxa"/>
            <w:vAlign w:val="bottom"/>
          </w:tcPr>
          <w:p>
            <w:pPr>
              <w:ind w:left="280"/>
              <w:spacing w:after="0"/>
              <w:rPr>
                <w:sz w:val="20"/>
                <w:szCs w:val="20"/>
                <w:color w:val="auto"/>
              </w:rPr>
            </w:pPr>
            <w:r>
              <w:rPr>
                <w:rFonts w:ascii="Arial" w:cs="Arial" w:eastAsia="Arial" w:hAnsi="Arial"/>
                <w:sz w:val="8"/>
                <w:szCs w:val="8"/>
                <w:color w:val="008000"/>
              </w:rPr>
              <w:t>(1)</w:t>
            </w:r>
          </w:p>
        </w:tc>
        <w:tc>
          <w:tcPr>
            <w:tcW w:w="600" w:type="dxa"/>
            <w:vAlign w:val="bottom"/>
          </w:tcPr>
          <w:p>
            <w:pPr>
              <w:jc w:val="right"/>
              <w:ind w:right="30"/>
              <w:spacing w:after="0"/>
              <w:rPr>
                <w:sz w:val="20"/>
                <w:szCs w:val="20"/>
                <w:color w:val="auto"/>
              </w:rPr>
            </w:pPr>
            <w:r>
              <w:rPr>
                <w:rFonts w:ascii="Arial" w:cs="Arial" w:eastAsia="Arial" w:hAnsi="Arial"/>
                <w:sz w:val="10"/>
                <w:szCs w:val="10"/>
                <w:color w:val="0000FF"/>
                <w:w w:val="99"/>
              </w:rPr>
              <w:t>12/03/2030</w:t>
            </w:r>
          </w:p>
        </w:tc>
        <w:tc>
          <w:tcPr>
            <w:tcW w:w="18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960" w:type="dxa"/>
            <w:vAlign w:val="bottom"/>
          </w:tcPr>
          <w:p>
            <w:pPr>
              <w:jc w:val="right"/>
              <w:ind w:right="46"/>
              <w:spacing w:after="0"/>
              <w:rPr>
                <w:sz w:val="20"/>
                <w:szCs w:val="20"/>
                <w:color w:val="auto"/>
              </w:rPr>
            </w:pPr>
            <w:r>
              <w:rPr>
                <w:rFonts w:ascii="Arial" w:cs="Arial" w:eastAsia="Arial" w:hAnsi="Arial"/>
                <w:sz w:val="13"/>
                <w:szCs w:val="13"/>
                <w:color w:val="0000FF"/>
              </w:rPr>
              <w:t>435,368</w:t>
            </w:r>
          </w:p>
        </w:tc>
        <w:tc>
          <w:tcPr>
            <w:tcW w:w="720" w:type="dxa"/>
            <w:vAlign w:val="bottom"/>
          </w:tcPr>
          <w:p>
            <w:pPr>
              <w:ind w:left="280"/>
              <w:spacing w:after="0"/>
              <w:rPr>
                <w:sz w:val="20"/>
                <w:szCs w:val="20"/>
                <w:color w:val="auto"/>
              </w:rPr>
            </w:pPr>
            <w:r>
              <w:rPr>
                <w:rFonts w:ascii="Arial" w:cs="Arial" w:eastAsia="Arial" w:hAnsi="Arial"/>
                <w:sz w:val="13"/>
                <w:szCs w:val="13"/>
                <w:color w:val="0000FF"/>
              </w:rPr>
              <w:t>1.14</w:t>
            </w:r>
          </w:p>
        </w:tc>
        <w:tc>
          <w:tcPr>
            <w:tcW w:w="840" w:type="dxa"/>
            <w:vAlign w:val="bottom"/>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3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7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100" w:hanging="10"/>
        <w:spacing w:after="0" w:line="242" w:lineRule="auto"/>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Subject to reporting person's continuous status as a "Service Provider" (as defined in the Nautilus Subsidiary, Inc. 2017 Equity Incentive Plan) through each vesting date, 13/49ths of the shares subject to the Option shall vest on the thirteen (13) month anniversary of the Vesting Commencement Date (as defined below), and one forty-ninth (1/49th) of the shares subject to the Option shall vest each month thereafter on the same day of the month as the Vesting Commencement Date (and if there is no corresponding day, on the last day of the month).The Vesting Commencement Date is December 3, 2020.</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20"/>
        </w:trPr>
        <w:tc>
          <w:tcPr>
            <w:tcW w:w="6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70"/>
        </w:trPr>
        <w:tc>
          <w:tcPr>
            <w:tcW w:w="658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Anna Mowry</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Anna Mowry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56938"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2021-06-09T20:45:58Z</dcterms:created>
  <dcterms:modified xsi:type="dcterms:W3CDTF">2021-06-09T20:45:58Z</dcterms:modified>
</cp:coreProperties>
</file>