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28,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center"/>
              <w:ind w:right="1535"/>
              <w:spacing w:after="0"/>
              <w:rPr>
                <w:sz w:val="20"/>
                <w:szCs w:val="20"/>
                <w:color w:val="auto"/>
              </w:rPr>
            </w:pPr>
            <w:r>
              <w:rPr>
                <w:rFonts w:ascii="Times New Roman" w:cs="Times New Roman" w:eastAsia="Times New Roman" w:hAnsi="Times New Roman"/>
                <w:sz w:val="18"/>
                <w:szCs w:val="18"/>
                <w:b w:val="1"/>
                <w:bCs w:val="1"/>
                <w:color w:val="auto"/>
                <w:w w:val="98"/>
              </w:rPr>
              <w:t>98-1541723</w:t>
            </w:r>
          </w:p>
        </w:tc>
      </w:tr>
      <w:tr>
        <w:trPr>
          <w:trHeight w:val="227"/>
        </w:trPr>
        <w:tc>
          <w:tcPr>
            <w:tcW w:w="20" w:type="dxa"/>
            <w:vAlign w:val="bottom"/>
          </w:tcPr>
          <w:p>
            <w:pPr>
              <w:spacing w:after="0"/>
              <w:rPr>
                <w:sz w:val="19"/>
                <w:szCs w:val="19"/>
                <w:color w:val="auto"/>
              </w:rPr>
            </w:pPr>
          </w:p>
        </w:tc>
        <w:tc>
          <w:tcPr>
            <w:tcW w:w="73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840" w:type="dxa"/>
            <w:vAlign w:val="bottom"/>
          </w:tcPr>
          <w:p>
            <w:pPr>
              <w:jc w:val="center"/>
              <w:ind w:right="1535"/>
              <w:spacing w:after="0"/>
              <w:rPr>
                <w:sz w:val="20"/>
                <w:szCs w:val="20"/>
                <w:color w:val="auto"/>
              </w:rPr>
            </w:pPr>
            <w:r>
              <w:rPr>
                <w:rFonts w:ascii="Times New Roman" w:cs="Times New Roman" w:eastAsia="Times New Roman" w:hAnsi="Times New Roman"/>
                <w:sz w:val="14"/>
                <w:szCs w:val="14"/>
                <w:color w:val="auto"/>
              </w:rPr>
              <w:t>(I.R.S. Employer</w:t>
            </w:r>
          </w:p>
        </w:tc>
      </w:tr>
      <w:tr>
        <w:trPr>
          <w:trHeight w:val="203"/>
        </w:trPr>
        <w:tc>
          <w:tcPr>
            <w:tcW w:w="20" w:type="dxa"/>
            <w:vAlign w:val="bottom"/>
          </w:tcPr>
          <w:p>
            <w:pPr>
              <w:spacing w:after="0"/>
              <w:rPr>
                <w:sz w:val="17"/>
                <w:szCs w:val="17"/>
                <w:color w:val="auto"/>
              </w:rPr>
            </w:pPr>
          </w:p>
        </w:tc>
        <w:tc>
          <w:tcPr>
            <w:tcW w:w="736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40" w:type="dxa"/>
            <w:vAlign w:val="bottom"/>
          </w:tcPr>
          <w:p>
            <w:pPr>
              <w:jc w:val="center"/>
              <w:ind w:right="1535"/>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66"/>
        </w:trPr>
        <w:tc>
          <w:tcPr>
            <w:tcW w:w="20" w:type="dxa"/>
            <w:vAlign w:val="bottom"/>
          </w:tcPr>
          <w:p>
            <w:pPr>
              <w:spacing w:after="0"/>
              <w:rPr>
                <w:sz w:val="24"/>
                <w:szCs w:val="24"/>
                <w:color w:val="auto"/>
              </w:rPr>
            </w:pPr>
          </w:p>
        </w:tc>
        <w:tc>
          <w:tcPr>
            <w:tcW w:w="7360" w:type="dxa"/>
            <w:vAlign w:val="bottom"/>
            <w:gridSpan w:val="3"/>
          </w:tcPr>
          <w:p>
            <w:pPr>
              <w:jc w:val="center"/>
              <w:ind w:left="3775"/>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384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7360" w:type="dxa"/>
            <w:vAlign w:val="bottom"/>
            <w:gridSpan w:val="3"/>
          </w:tcPr>
          <w:p>
            <w:pPr>
              <w:jc w:val="center"/>
              <w:ind w:left="3775"/>
              <w:spacing w:after="0"/>
              <w:rPr>
                <w:sz w:val="20"/>
                <w:szCs w:val="20"/>
                <w:color w:val="auto"/>
              </w:rPr>
            </w:pPr>
            <w:r>
              <w:rPr>
                <w:rFonts w:ascii="Times New Roman" w:cs="Times New Roman" w:eastAsia="Times New Roman" w:hAnsi="Times New Roman"/>
                <w:sz w:val="18"/>
                <w:szCs w:val="18"/>
                <w:b w:val="1"/>
                <w:bCs w:val="1"/>
                <w:color w:val="auto"/>
                <w:w w:val="99"/>
              </w:rPr>
              <w:t>Seattle, Washington 98102</w:t>
            </w:r>
          </w:p>
        </w:tc>
        <w:tc>
          <w:tcPr>
            <w:tcW w:w="3840" w:type="dxa"/>
            <w:vAlign w:val="bottom"/>
          </w:tcPr>
          <w:p>
            <w:pPr>
              <w:spacing w:after="0"/>
              <w:rPr>
                <w:sz w:val="20"/>
                <w:szCs w:val="20"/>
                <w:color w:val="auto"/>
              </w:rPr>
            </w:pPr>
          </w:p>
        </w:tc>
      </w:tr>
      <w:tr>
        <w:trPr>
          <w:trHeight w:val="314"/>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8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tc>
        <w:tc>
          <w:tcPr>
            <w:tcW w:w="38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75"/>
              <w:spacing w:after="0"/>
              <w:rPr>
                <w:sz w:val="20"/>
                <w:szCs w:val="20"/>
                <w:color w:val="auto"/>
              </w:rPr>
            </w:pPr>
            <w:r>
              <w:rPr>
                <w:rFonts w:ascii="Times New Roman" w:cs="Times New Roman" w:eastAsia="Times New Roman" w:hAnsi="Times New Roman"/>
                <w:sz w:val="18"/>
                <w:szCs w:val="18"/>
                <w:b w:val="1"/>
                <w:bCs w:val="1"/>
                <w:color w:val="auto"/>
                <w:w w:val="99"/>
              </w:rPr>
              <w:t>2021 Employee Stock Purchase Plan</w:t>
            </w:r>
          </w:p>
        </w:tc>
        <w:tc>
          <w:tcPr>
            <w:tcW w:w="384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7360" w:type="dxa"/>
            <w:vAlign w:val="bottom"/>
            <w:gridSpan w:val="3"/>
          </w:tcPr>
          <w:p>
            <w:pPr>
              <w:jc w:val="center"/>
              <w:ind w:left="3755"/>
              <w:spacing w:after="0"/>
              <w:rPr>
                <w:sz w:val="20"/>
                <w:szCs w:val="20"/>
                <w:color w:val="auto"/>
              </w:rPr>
            </w:pPr>
            <w:r>
              <w:rPr>
                <w:rFonts w:ascii="Times New Roman" w:cs="Times New Roman" w:eastAsia="Times New Roman" w:hAnsi="Times New Roman"/>
                <w:sz w:val="14"/>
                <w:szCs w:val="14"/>
                <w:color w:val="auto"/>
              </w:rPr>
              <w:t>(Full title of the plan)</w:t>
            </w:r>
          </w:p>
        </w:tc>
        <w:tc>
          <w:tcPr>
            <w:tcW w:w="3840" w:type="dxa"/>
            <w:vAlign w:val="bottom"/>
          </w:tcPr>
          <w:p>
            <w:pPr>
              <w:spacing w:after="0"/>
              <w:rPr>
                <w:sz w:val="17"/>
                <w:szCs w:val="17"/>
                <w:color w:val="auto"/>
              </w:rPr>
            </w:pPr>
          </w:p>
        </w:tc>
      </w:tr>
      <w:tr>
        <w:trPr>
          <w:trHeight w:val="307"/>
        </w:trPr>
        <w:tc>
          <w:tcPr>
            <w:tcW w:w="20" w:type="dxa"/>
            <w:vAlign w:val="bottom"/>
          </w:tcPr>
          <w:p>
            <w:pPr>
              <w:spacing w:after="0"/>
              <w:rPr>
                <w:sz w:val="24"/>
                <w:szCs w:val="24"/>
                <w:color w:val="auto"/>
              </w:rPr>
            </w:pPr>
          </w:p>
        </w:tc>
        <w:tc>
          <w:tcPr>
            <w:tcW w:w="7360" w:type="dxa"/>
            <w:vAlign w:val="bottom"/>
            <w:gridSpan w:val="3"/>
          </w:tcPr>
          <w:p>
            <w:pPr>
              <w:jc w:val="center"/>
              <w:ind w:left="3755"/>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38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55"/>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384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7360" w:type="dxa"/>
            <w:vAlign w:val="bottom"/>
            <w:gridSpan w:val="3"/>
          </w:tcPr>
          <w:p>
            <w:pPr>
              <w:jc w:val="center"/>
              <w:ind w:left="3775"/>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38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left="3775"/>
              <w:spacing w:after="0"/>
              <w:rPr>
                <w:sz w:val="20"/>
                <w:szCs w:val="20"/>
                <w:color w:val="auto"/>
              </w:rPr>
            </w:pPr>
            <w:r>
              <w:rPr>
                <w:rFonts w:ascii="Times New Roman" w:cs="Times New Roman" w:eastAsia="Times New Roman" w:hAnsi="Times New Roman"/>
                <w:sz w:val="18"/>
                <w:szCs w:val="18"/>
                <w:b w:val="1"/>
                <w:bCs w:val="1"/>
                <w:color w:val="auto"/>
                <w:w w:val="99"/>
              </w:rPr>
              <w:t>Seattle, Washington 98102</w:t>
            </w:r>
          </w:p>
        </w:tc>
        <w:tc>
          <w:tcPr>
            <w:tcW w:w="3840" w:type="dxa"/>
            <w:vAlign w:val="bottom"/>
          </w:tcPr>
          <w:p>
            <w:pPr>
              <w:spacing w:after="0"/>
              <w:rPr>
                <w:sz w:val="21"/>
                <w:szCs w:val="21"/>
                <w:color w:val="auto"/>
              </w:rPr>
            </w:pPr>
          </w:p>
        </w:tc>
      </w:tr>
      <w:tr>
        <w:trPr>
          <w:trHeight w:val="257"/>
        </w:trPr>
        <w:tc>
          <w:tcPr>
            <w:tcW w:w="7380" w:type="dxa"/>
            <w:vAlign w:val="bottom"/>
            <w:gridSpan w:val="4"/>
          </w:tcPr>
          <w:p>
            <w:pPr>
              <w:jc w:val="center"/>
              <w:ind w:left="3770"/>
              <w:spacing w:after="0"/>
              <w:rPr>
                <w:sz w:val="20"/>
                <w:szCs w:val="20"/>
                <w:color w:val="auto"/>
              </w:rPr>
            </w:pPr>
            <w:r>
              <w:rPr>
                <w:rFonts w:ascii="Times New Roman" w:cs="Times New Roman" w:eastAsia="Times New Roman" w:hAnsi="Times New Roman"/>
                <w:sz w:val="18"/>
                <w:szCs w:val="18"/>
                <w:b w:val="1"/>
                <w:bCs w:val="1"/>
                <w:color w:val="auto"/>
                <w:w w:val="99"/>
              </w:rPr>
              <w:t>(206) 333-2001</w:t>
            </w:r>
          </w:p>
        </w:tc>
        <w:tc>
          <w:tcPr>
            <w:tcW w:w="384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120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(Name, address and telephone number, including area code, of agent for service)</w:t>
            </w:r>
          </w:p>
        </w:tc>
      </w:tr>
      <w:tr>
        <w:trPr>
          <w:trHeight w:val="293"/>
        </w:trPr>
        <w:tc>
          <w:tcPr>
            <w:tcW w:w="73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Copies to:</w:t>
            </w:r>
          </w:p>
        </w:tc>
        <w:tc>
          <w:tcPr>
            <w:tcW w:w="38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36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Robert F. Kornegay</w:t>
            </w:r>
          </w:p>
        </w:tc>
        <w:tc>
          <w:tcPr>
            <w:tcW w:w="3840" w:type="dxa"/>
            <w:vAlign w:val="bottom"/>
          </w:tcPr>
          <w:p>
            <w:pPr>
              <w:jc w:val="center"/>
              <w:ind w:right="1655"/>
              <w:spacing w:after="0"/>
              <w:rPr>
                <w:sz w:val="20"/>
                <w:szCs w:val="20"/>
                <w:color w:val="auto"/>
              </w:rPr>
            </w:pPr>
            <w:r>
              <w:rPr>
                <w:rFonts w:ascii="Times New Roman" w:cs="Times New Roman" w:eastAsia="Times New Roman" w:hAnsi="Times New Roman"/>
                <w:sz w:val="18"/>
                <w:szCs w:val="18"/>
                <w:b w:val="1"/>
                <w:bCs w:val="1"/>
                <w:color w:val="auto"/>
              </w:rPr>
              <w:t>Matthew Murphy</w:t>
            </w: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Zachary B. Myers</w:t>
            </w:r>
          </w:p>
        </w:tc>
        <w:tc>
          <w:tcPr>
            <w:tcW w:w="3840" w:type="dxa"/>
            <w:vAlign w:val="bottom"/>
          </w:tcPr>
          <w:p>
            <w:pPr>
              <w:jc w:val="center"/>
              <w:ind w:right="1655"/>
              <w:spacing w:after="0"/>
              <w:rPr>
                <w:sz w:val="20"/>
                <w:szCs w:val="20"/>
                <w:color w:val="auto"/>
              </w:rPr>
            </w:pPr>
            <w:r>
              <w:rPr>
                <w:rFonts w:ascii="Times New Roman" w:cs="Times New Roman" w:eastAsia="Times New Roman" w:hAnsi="Times New Roman"/>
                <w:sz w:val="18"/>
                <w:szCs w:val="18"/>
                <w:b w:val="1"/>
                <w:bCs w:val="1"/>
                <w:color w:val="auto"/>
              </w:rPr>
              <w:t>General Counsel</w:t>
            </w:r>
          </w:p>
        </w:tc>
      </w:tr>
      <w:tr>
        <w:trPr>
          <w:trHeight w:val="256"/>
        </w:trPr>
        <w:tc>
          <w:tcPr>
            <w:tcW w:w="20" w:type="dxa"/>
            <w:vAlign w:val="bottom"/>
          </w:tcPr>
          <w:p>
            <w:pPr>
              <w:spacing w:after="0"/>
              <w:rPr>
                <w:sz w:val="22"/>
                <w:szCs w:val="22"/>
                <w:color w:val="auto"/>
              </w:rPr>
            </w:pPr>
          </w:p>
        </w:tc>
        <w:tc>
          <w:tcPr>
            <w:tcW w:w="736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c>
          <w:tcPr>
            <w:tcW w:w="3840" w:type="dxa"/>
            <w:vAlign w:val="bottom"/>
          </w:tcPr>
          <w:p>
            <w:pPr>
              <w:jc w:val="center"/>
              <w:ind w:right="1655"/>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r>
      <w:tr>
        <w:trPr>
          <w:trHeight w:val="243"/>
        </w:trPr>
        <w:tc>
          <w:tcPr>
            <w:tcW w:w="20" w:type="dxa"/>
            <w:vAlign w:val="bottom"/>
          </w:tcPr>
          <w:p>
            <w:pPr>
              <w:spacing w:after="0"/>
              <w:rPr>
                <w:sz w:val="21"/>
                <w:szCs w:val="21"/>
                <w:color w:val="auto"/>
              </w:rPr>
            </w:pPr>
          </w:p>
        </w:tc>
        <w:tc>
          <w:tcPr>
            <w:tcW w:w="7360" w:type="dxa"/>
            <w:vAlign w:val="bottom"/>
            <w:gridSpan w:val="3"/>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650 Page Mill Road</w:t>
            </w:r>
          </w:p>
        </w:tc>
        <w:tc>
          <w:tcPr>
            <w:tcW w:w="3840" w:type="dxa"/>
            <w:vAlign w:val="bottom"/>
          </w:tcPr>
          <w:p>
            <w:pPr>
              <w:jc w:val="center"/>
              <w:ind w:right="1655"/>
              <w:spacing w:after="0"/>
              <w:rPr>
                <w:sz w:val="20"/>
                <w:szCs w:val="20"/>
                <w:color w:val="auto"/>
              </w:rPr>
            </w:pPr>
            <w:r>
              <w:rPr>
                <w:rFonts w:ascii="Times New Roman" w:cs="Times New Roman" w:eastAsia="Times New Roman" w:hAnsi="Times New Roman"/>
                <w:sz w:val="18"/>
                <w:szCs w:val="18"/>
                <w:b w:val="1"/>
                <w:bCs w:val="1"/>
                <w:color w:val="auto"/>
                <w:w w:val="99"/>
              </w:rPr>
              <w:t>Seattle, Washington 98102</w:t>
            </w:r>
          </w:p>
        </w:tc>
      </w:tr>
      <w:tr>
        <w:trPr>
          <w:trHeight w:val="257"/>
        </w:trPr>
        <w:tc>
          <w:tcPr>
            <w:tcW w:w="20" w:type="dxa"/>
            <w:vAlign w:val="bottom"/>
          </w:tcPr>
          <w:p>
            <w:pPr>
              <w:spacing w:after="0"/>
              <w:rPr>
                <w:sz w:val="22"/>
                <w:szCs w:val="22"/>
                <w:color w:val="auto"/>
              </w:rPr>
            </w:pPr>
          </w:p>
        </w:tc>
        <w:tc>
          <w:tcPr>
            <w:tcW w:w="736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Palo Alto, California 94304</w:t>
            </w:r>
          </w:p>
        </w:tc>
        <w:tc>
          <w:tcPr>
            <w:tcW w:w="3840" w:type="dxa"/>
            <w:vAlign w:val="bottom"/>
          </w:tcPr>
          <w:p>
            <w:pPr>
              <w:jc w:val="center"/>
              <w:ind w:right="1655"/>
              <w:spacing w:after="0"/>
              <w:rPr>
                <w:sz w:val="20"/>
                <w:szCs w:val="20"/>
                <w:color w:val="auto"/>
              </w:rPr>
            </w:pPr>
            <w:r>
              <w:rPr>
                <w:rFonts w:ascii="Times New Roman" w:cs="Times New Roman" w:eastAsia="Times New Roman" w:hAnsi="Times New Roman"/>
                <w:sz w:val="18"/>
                <w:szCs w:val="18"/>
                <w:b w:val="1"/>
                <w:bCs w:val="1"/>
                <w:color w:val="auto"/>
              </w:rPr>
              <w:t>(206) 333-2001</w:t>
            </w:r>
          </w:p>
        </w:tc>
      </w:tr>
      <w:tr>
        <w:trPr>
          <w:trHeight w:val="243"/>
        </w:trPr>
        <w:tc>
          <w:tcPr>
            <w:tcW w:w="5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(650) 493-9300</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40" w:type="dxa"/>
            <w:vAlign w:val="bottom"/>
          </w:tcPr>
          <w:p>
            <w:pPr>
              <w:spacing w:after="0"/>
              <w:rPr>
                <w:sz w:val="21"/>
                <w:szCs w:val="21"/>
                <w:color w:val="auto"/>
              </w:rPr>
            </w:pPr>
          </w:p>
        </w:tc>
      </w:tr>
    </w:tbl>
    <w:p>
      <w:pPr>
        <w:spacing w:after="0" w:line="171" w:lineRule="exact"/>
        <w:rPr>
          <w:sz w:val="24"/>
          <w:szCs w:val="24"/>
          <w:color w:val="auto"/>
        </w:rPr>
      </w:pPr>
    </w:p>
    <w:p>
      <w:pPr>
        <w:ind w:right="340"/>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2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3" w:lineRule="exact"/>
        <w:rPr>
          <w:sz w:val="24"/>
          <w:szCs w:val="24"/>
          <w:color w:val="auto"/>
        </w:rPr>
      </w:pPr>
    </w:p>
    <w:p>
      <w:pPr>
        <w:sectPr>
          <w:pgSz w:w="11900" w:h="16838" w:orient="portrait"/>
          <w:cols w:equalWidth="0" w:num="2">
            <w:col w:w="6480" w:space="720"/>
            <w:col w:w="4040"/>
          </w:cols>
          <w:pgMar w:left="320" w:top="1440" w:right="339" w:bottom="1440" w:gutter="0" w:footer="0" w:header="0"/>
          <w:type w:val="continuous"/>
        </w:sectPr>
      </w:pPr>
    </w:p>
    <w:p>
      <w:pPr>
        <w:ind w:left="72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440" w:right="339" w:bottom="1440" w:gutter="0" w:footer="0" w:header="0"/>
          <w:type w:val="continuous"/>
        </w:sectPr>
      </w:pPr>
    </w:p>
    <w:p>
      <w:pPr>
        <w:spacing w:after="0" w:line="237"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 PURSUANT TO GENERAL INSTRUCTION E</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to register an additional 6,253,430 shares of common stock of Nautilus Biotechnology, Inc. (the “Registrant”) reserved for issuance pursuant to future awards under the Registrant’s 2021 Equity Incentive Plan (the “2021 Plan”) as a result of the annual evergreen increase under the 2021 Plan and 1,250,686 shares of Common Stock of the Registrant reserved for issuance pursuant to future awards under the 2021 Employee Stock Purchase Plan (the “2021 ESPP”) as a result of the annual evergreen increase under the 2021 ESPP.</w:t>
      </w:r>
    </w:p>
    <w:p>
      <w:pPr>
        <w:spacing w:after="0" w:line="191" w:lineRule="exact"/>
        <w:rPr>
          <w:sz w:val="20"/>
          <w:szCs w:val="20"/>
          <w:color w:val="auto"/>
        </w:rPr>
      </w:pPr>
    </w:p>
    <w:p>
      <w:pPr>
        <w:jc w:val="both"/>
        <w:ind w:firstLine="64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additional shares of common stock are securities of the same class as other securities for which previous Registration Statements on Form S-8 were filed by the Registrant with the Securities and Exchange Commission (the “SEC”) on </w:t>
      </w:r>
      <w:hyperlink r:id="rId8">
        <w:r>
          <w:rPr>
            <w:rFonts w:ascii="Times New Roman" w:cs="Times New Roman" w:eastAsia="Times New Roman" w:hAnsi="Times New Roman"/>
            <w:sz w:val="18"/>
            <w:szCs w:val="18"/>
            <w:u w:val="single" w:color="auto"/>
            <w:color w:val="0000FF"/>
          </w:rPr>
          <w:t>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highlight w:val="white"/>
        </w:rPr>
        <w:t>(File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No. 333-258684),</w:t>
      </w:r>
      <w:r>
        <w:rPr>
          <w:rFonts w:ascii="Times New Roman" w:cs="Times New Roman" w:eastAsia="Times New Roman" w:hAnsi="Times New Roman"/>
          <w:sz w:val="18"/>
          <w:szCs w:val="18"/>
          <w:color w:val="auto"/>
        </w:rPr>
        <w:t xml:space="preserve"> </w:t>
      </w:r>
      <w:hyperlink r:id="rId9">
        <w:r>
          <w:rPr>
            <w:rFonts w:ascii="Times New Roman" w:cs="Times New Roman" w:eastAsia="Times New Roman" w:hAnsi="Times New Roman"/>
            <w:sz w:val="18"/>
            <w:szCs w:val="18"/>
            <w:u w:val="single" w:color="auto"/>
            <w:color w:val="0000FF"/>
            <w:highlight w:val="white"/>
          </w:rPr>
          <w:t>February 24, 2022</w:t>
        </w:r>
      </w:hyperlink>
      <w:r>
        <w:rPr>
          <w:rFonts w:ascii="Times New Roman" w:cs="Times New Roman" w:eastAsia="Times New Roman" w:hAnsi="Times New Roman"/>
          <w:sz w:val="18"/>
          <w:szCs w:val="18"/>
          <w:color w:val="auto"/>
        </w:rPr>
        <w:t xml:space="preserve"> (File No. 333-262992), and </w:t>
      </w:r>
      <w:hyperlink r:id="rId10">
        <w:r>
          <w:rPr>
            <w:rFonts w:ascii="Times New Roman" w:cs="Times New Roman" w:eastAsia="Times New Roman" w:hAnsi="Times New Roman"/>
            <w:sz w:val="18"/>
            <w:szCs w:val="18"/>
            <w:u w:val="single" w:color="auto"/>
            <w:color w:val="0000FF"/>
          </w:rPr>
          <w:t>February 23,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333-269950) (the “Previous Registration Statements”). In accordance with General Instruction E of Form S-8, the contents of the Previous Registration Statements, including periodic reports filed after the Previous Registration Statements to maintain current information about the Registrant, are incorporated by reference into this Registration Statement.</w:t>
      </w:r>
    </w:p>
    <w:p>
      <w:pPr>
        <w:sectPr>
          <w:pgSz w:w="11900" w:h="16838" w:orient="portrait"/>
          <w:cols w:equalWidth="0" w:num="1">
            <w:col w:w="11240"/>
          </w:cols>
          <w:pgMar w:left="320" w:top="14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7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“Registration Statement”) the following documents previously filed with the SEC:</w:t>
      </w:r>
    </w:p>
    <w:p>
      <w:pPr>
        <w:spacing w:after="0" w:line="176" w:lineRule="exact"/>
        <w:rPr>
          <w:sz w:val="20"/>
          <w:szCs w:val="20"/>
          <w:color w:val="auto"/>
        </w:rPr>
      </w:pPr>
    </w:p>
    <w:p>
      <w:pPr>
        <w:ind w:left="1300" w:hanging="644"/>
        <w:spacing w:after="0" w:line="313" w:lineRule="auto"/>
        <w:tabs>
          <w:tab w:leader="none" w:pos="12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1">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001-39434) for the fiscal year ended December 31, 2023 filed with the SEC on February 28, 2024;</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305" w:lineRule="auto"/>
        <w:tabs>
          <w:tab w:leader="none" w:pos="12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196" w:lineRule="exact"/>
        <w:rPr>
          <w:rFonts w:ascii="Times New Roman" w:cs="Times New Roman" w:eastAsia="Times New Roman" w:hAnsi="Times New Roman"/>
          <w:sz w:val="18"/>
          <w:szCs w:val="18"/>
          <w:color w:val="auto"/>
        </w:rPr>
      </w:pPr>
    </w:p>
    <w:p>
      <w:pPr>
        <w:jc w:val="both"/>
        <w:ind w:left="1300" w:hanging="644"/>
        <w:spacing w:after="0" w:line="313" w:lineRule="auto"/>
        <w:tabs>
          <w:tab w:leader="none" w:pos="12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6, 2020 pursuant to Section 12(b) of the Exchange Act, including any amendment or report filed for the purpose of updating such description.</w:t>
      </w:r>
    </w:p>
    <w:p>
      <w:pPr>
        <w:spacing w:after="0" w:line="189" w:lineRule="exact"/>
        <w:rPr>
          <w:rFonts w:ascii="Times New Roman" w:cs="Times New Roman" w:eastAsia="Times New Roman" w:hAnsi="Times New Roman"/>
          <w:sz w:val="18"/>
          <w:szCs w:val="18"/>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70" w:lineRule="exact"/>
        <w:rPr>
          <w:rFonts w:ascii="Times New Roman" w:cs="Times New Roman" w:eastAsia="Times New Roman" w:hAnsi="Times New Roman"/>
          <w:sz w:val="18"/>
          <w:szCs w:val="18"/>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validity of the issuance of the shares of the Registrant’s common stock offered hereby has been passed upon by Wilson Sonsini Goodrich &amp; Rosati, Professional Corporation ("WSGR"). Certain members of, and investment partnerships comprised of members of, and persons associated with, WSGR, directly or indirectly, own less than 0.2% of the outstanding shares of the Registrant's Common Stock.</w:t>
      </w:r>
    </w:p>
    <w:p>
      <w:pPr>
        <w:spacing w:after="0" w:line="17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has filed the exhibits listed on the accompanying Exhibit Index of this Registration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2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1"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3360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160" w:space="720"/>
            <w:col w:w="6300"/>
          </w:cols>
          <w:pgMar w:left="360" w:top="1440" w:right="359" w:bottom="1440" w:gutter="0" w:footer="0" w:header="0"/>
        </w:sectPr>
      </w:pPr>
    </w:p>
    <w:p>
      <w:pPr>
        <w:jc w:val="right"/>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Number </w:t>
      </w: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-229870</wp:posOffset>
            </wp:positionV>
            <wp:extent cx="634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4.2</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4.3</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4.4</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53975</wp:posOffset>
            </wp:positionV>
            <wp:extent cx="3008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2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Certificate of Incorporation of Nautilus Biotechnology, Inc.</w:t>
        </w:r>
      </w:hyperlink>
    </w:p>
    <w:p>
      <w:pPr>
        <w:spacing w:after="0" w:line="23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7">
        <w:r>
          <w:rPr>
            <w:rFonts w:ascii="Times New Roman" w:cs="Times New Roman" w:eastAsia="Times New Roman" w:hAnsi="Times New Roman"/>
            <w:sz w:val="17"/>
            <w:szCs w:val="17"/>
            <w:u w:val="single" w:color="auto"/>
            <w:color w:val="0000FF"/>
          </w:rPr>
          <w:t>Amended and Restated Bylaws of Nautilus Biotechnology, Inc.</w:t>
        </w:r>
      </w:hyperlink>
    </w:p>
    <w:p>
      <w:pPr>
        <w:spacing w:after="0" w:line="23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Specimen Common Stock Certificate.</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Nautilus Biotechnology, Inc. 2021 Equity Incentive Plan.</w:t>
        </w:r>
      </w:hyperlink>
    </w:p>
    <w:p>
      <w:pPr>
        <w:spacing w:after="0" w:line="225" w:lineRule="exact"/>
        <w:rPr>
          <w:sz w:val="20"/>
          <w:szCs w:val="20"/>
          <w:color w:val="auto"/>
        </w:rPr>
      </w:pPr>
    </w:p>
    <w:p>
      <w:pPr>
        <w:ind w:right="760"/>
        <w:spacing w:after="0" w:line="346" w:lineRule="auto"/>
        <w:rPr>
          <w:rFonts w:ascii="Times New Roman" w:cs="Times New Roman" w:eastAsia="Times New Roman" w:hAnsi="Times New Roman"/>
          <w:sz w:val="17"/>
          <w:szCs w:val="17"/>
          <w:u w:val="single" w:color="auto"/>
          <w:color w:val="0000FF"/>
        </w:rPr>
      </w:pPr>
      <w:hyperlink r:id="rId20">
        <w:r>
          <w:rPr>
            <w:rFonts w:ascii="Times New Roman" w:cs="Times New Roman" w:eastAsia="Times New Roman" w:hAnsi="Times New Roman"/>
            <w:sz w:val="17"/>
            <w:szCs w:val="17"/>
            <w:u w:val="single" w:color="auto"/>
            <w:color w:val="0000FF"/>
          </w:rPr>
          <w:t>Form of Stock Option Agreement under the Nautilus</w:t>
        </w:r>
      </w:hyperlink>
      <w:r>
        <w:rPr>
          <w:rFonts w:ascii="Times New Roman" w:cs="Times New Roman" w:eastAsia="Times New Roman" w:hAnsi="Times New Roman"/>
          <w:sz w:val="17"/>
          <w:szCs w:val="17"/>
          <w:u w:val="single" w:color="auto"/>
          <w:color w:val="0000FF"/>
        </w:rPr>
        <w:t xml:space="preserve"> </w:t>
      </w:r>
      <w:hyperlink r:id="rId20">
        <w:r>
          <w:rPr>
            <w:rFonts w:ascii="Times New Roman" w:cs="Times New Roman" w:eastAsia="Times New Roman" w:hAnsi="Times New Roman"/>
            <w:sz w:val="17"/>
            <w:szCs w:val="17"/>
            <w:u w:val="single" w:color="auto"/>
            <w:color w:val="0000FF"/>
          </w:rPr>
          <w:t>Biotechnology, Inc. 2021 Equity Incentive Plan.</w:t>
        </w:r>
      </w:hyperlink>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28"/>
        </w:trPr>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8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001-39434</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10, 2021</w:t>
            </w:r>
          </w:p>
        </w:tc>
      </w:tr>
      <w:tr>
        <w:trPr>
          <w:trHeight w:val="414"/>
        </w:trPr>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2023</w:t>
            </w:r>
          </w:p>
        </w:tc>
      </w:tr>
      <w:tr>
        <w:trPr>
          <w:trHeight w:val="432"/>
        </w:trPr>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2021</w:t>
            </w:r>
          </w:p>
        </w:tc>
      </w:tr>
      <w:tr>
        <w:trPr>
          <w:trHeight w:val="432"/>
        </w:trPr>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2"/>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001-39434</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2021</w:t>
            </w:r>
          </w:p>
        </w:tc>
      </w:tr>
      <w:tr>
        <w:trPr>
          <w:trHeight w:val="432"/>
        </w:trPr>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333-254796</w:t>
            </w: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2021</w:t>
            </w:r>
          </w:p>
        </w:tc>
      </w:tr>
    </w:tbl>
    <w:p>
      <w:pPr>
        <w:spacing w:after="0" w:line="411" w:lineRule="exact"/>
        <w:rPr>
          <w:sz w:val="20"/>
          <w:szCs w:val="20"/>
          <w:color w:val="auto"/>
        </w:rPr>
      </w:pPr>
    </w:p>
    <w:p>
      <w:pPr>
        <w:sectPr>
          <w:pgSz w:w="11900" w:h="16838" w:orient="portrait"/>
          <w:cols w:equalWidth="0" w:num="3">
            <w:col w:w="640" w:space="440"/>
            <w:col w:w="4560" w:space="260"/>
            <w:col w:w="5280"/>
          </w:cols>
          <w:pgMar w:left="360" w:top="1440" w:right="359" w:bottom="1440" w:gutter="0" w:footer="0" w:header="0"/>
          <w:type w:val="continuous"/>
        </w:sectPr>
      </w:pPr>
    </w:p>
    <w:p>
      <w:pPr>
        <w:ind w:left="360"/>
        <w:spacing w:after="0" w:line="188" w:lineRule="auto"/>
        <w:tabs>
          <w:tab w:leader="none" w:pos="6100" w:val="left"/>
          <w:tab w:leader="none" w:pos="7020" w:val="left"/>
          <w:tab w:leader="none" w:pos="8660" w:val="left"/>
          <w:tab w:leader="none" w:pos="974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color w:val="auto"/>
        </w:rPr>
        <w:t>S-4</w:t>
      </w:r>
      <w:r>
        <w:rPr>
          <w:sz w:val="20"/>
          <w:szCs w:val="20"/>
          <w:color w:val="auto"/>
        </w:rPr>
        <w:tab/>
      </w:r>
      <w:r>
        <w:rPr>
          <w:rFonts w:ascii="Times New Roman" w:cs="Times New Roman" w:eastAsia="Times New Roman" w:hAnsi="Times New Roman"/>
          <w:sz w:val="16"/>
          <w:szCs w:val="16"/>
          <w:color w:val="auto"/>
        </w:rPr>
        <w:t>333-254796</w:t>
      </w:r>
      <w:r>
        <w:rPr>
          <w:sz w:val="20"/>
          <w:szCs w:val="20"/>
          <w:color w:val="auto"/>
        </w:rPr>
        <w:tab/>
      </w:r>
      <w:r>
        <w:rPr>
          <w:rFonts w:ascii="Times New Roman" w:cs="Times New Roman" w:eastAsia="Times New Roman" w:hAnsi="Times New Roman"/>
          <w:sz w:val="16"/>
          <w:szCs w:val="16"/>
          <w:color w:val="auto"/>
        </w:rPr>
        <w:t>10.8</w:t>
      </w:r>
      <w:r>
        <w:rPr>
          <w:sz w:val="20"/>
          <w:szCs w:val="20"/>
          <w:color w:val="auto"/>
        </w:rPr>
        <w:tab/>
      </w:r>
      <w:r>
        <w:rPr>
          <w:rFonts w:ascii="Times New Roman" w:cs="Times New Roman" w:eastAsia="Times New Roman" w:hAnsi="Times New Roman"/>
          <w:sz w:val="16"/>
          <w:szCs w:val="16"/>
          <w:color w:val="auto"/>
        </w:rPr>
        <w:t>March 26, 2021</w:t>
      </w:r>
    </w:p>
    <w:p>
      <w:pPr>
        <w:spacing w:after="0" w:line="1" w:lineRule="exact"/>
        <w:rPr>
          <w:sz w:val="20"/>
          <w:szCs w:val="20"/>
          <w:color w:val="auto"/>
        </w:rPr>
      </w:pPr>
    </w:p>
    <w:p>
      <w:pPr>
        <w:ind w:left="1080"/>
        <w:spacing w:after="0"/>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Form of Restricted Stock Unit Agreement under the Nautilus</w:t>
        </w:r>
      </w:hyperlink>
    </w:p>
    <w:p>
      <w:pPr>
        <w:spacing w:after="0" w:line="16" w:lineRule="exact"/>
        <w:rPr>
          <w:sz w:val="20"/>
          <w:szCs w:val="20"/>
          <w:color w:val="auto"/>
        </w:rPr>
      </w:pPr>
    </w:p>
    <w:p>
      <w:pPr>
        <w:ind w:left="1080"/>
        <w:spacing w:after="0"/>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Biotechnology, Inc. 2021 Equity Incentive Plan.</w:t>
        </w:r>
      </w:hyperlink>
    </w:p>
    <w:p>
      <w:pPr>
        <w:sectPr>
          <w:pgSz w:w="11900" w:h="16838" w:orient="portrait"/>
          <w:cols w:equalWidth="0" w:num="1">
            <w:col w:w="11180"/>
          </w:cols>
          <w:pgMar w:left="360" w:top="1440" w:right="359" w:bottom="1440" w:gutter="0" w:footer="0" w:header="0"/>
          <w:type w:val="continuous"/>
        </w:sectPr>
      </w:pP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4.7</w:t>
      </w: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313" w:lineRule="auto"/>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Form of Restricted Stock Award Agreement under the Nautilus</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Biotechnology, Inc. 2021 Equity Incentive Plan.</w:t>
        </w:r>
      </w:hyperlink>
    </w:p>
    <w:p>
      <w:pPr>
        <w:spacing w:after="0" w:line="149" w:lineRule="exact"/>
        <w:rPr>
          <w:sz w:val="20"/>
          <w:szCs w:val="20"/>
          <w:color w:val="auto"/>
        </w:rPr>
      </w:pPr>
    </w:p>
    <w:p>
      <w:pPr>
        <w:ind w:right="160"/>
        <w:spacing w:after="0" w:line="313" w:lineRule="auto"/>
        <w:rPr>
          <w:rFonts w:ascii="Times New Roman" w:cs="Times New Roman" w:eastAsia="Times New Roman" w:hAnsi="Times New Roman"/>
          <w:sz w:val="18"/>
          <w:szCs w:val="18"/>
          <w:u w:val="single" w:color="auto"/>
          <w:color w:val="0000FF"/>
        </w:rPr>
      </w:pPr>
      <w:hyperlink r:id="rId23">
        <w:r>
          <w:rPr>
            <w:rFonts w:ascii="Times New Roman" w:cs="Times New Roman" w:eastAsia="Times New Roman" w:hAnsi="Times New Roman"/>
            <w:sz w:val="18"/>
            <w:szCs w:val="18"/>
            <w:u w:val="single" w:color="auto"/>
            <w:color w:val="0000FF"/>
          </w:rPr>
          <w:t>Nautilus Biotechnology, Inc. 2021 Employee Stock Purchase</w:t>
        </w:r>
      </w:hyperlink>
      <w:r>
        <w:rPr>
          <w:rFonts w:ascii="Times New Roman" w:cs="Times New Roman" w:eastAsia="Times New Roman" w:hAnsi="Times New Roman"/>
          <w:sz w:val="18"/>
          <w:szCs w:val="18"/>
          <w:u w:val="single" w:color="auto"/>
          <w:color w:val="0000FF"/>
        </w:rPr>
        <w:t xml:space="preserve"> </w:t>
      </w:r>
      <w:hyperlink r:id="rId23">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333-254796</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10.9</w:t>
            </w:r>
          </w:p>
        </w:tc>
        <w:tc>
          <w:tcPr>
            <w:tcW w:w="15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March 26, 2021</w:t>
            </w:r>
          </w:p>
        </w:tc>
      </w:tr>
      <w:tr>
        <w:trPr>
          <w:trHeight w:val="68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001-39434</w:t>
            </w: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June 10, 2021</w:t>
            </w:r>
          </w:p>
        </w:tc>
      </w:tr>
    </w:tbl>
    <w:p>
      <w:pPr>
        <w:spacing w:after="0" w:line="454" w:lineRule="exact"/>
        <w:rPr>
          <w:sz w:val="20"/>
          <w:szCs w:val="20"/>
          <w:color w:val="auto"/>
        </w:rPr>
      </w:pPr>
    </w:p>
    <w:p>
      <w:pPr>
        <w:sectPr>
          <w:pgSz w:w="11900" w:h="16838" w:orient="portrait"/>
          <w:cols w:equalWidth="0" w:num="3">
            <w:col w:w="580" w:space="500"/>
            <w:col w:w="4560" w:space="480"/>
            <w:col w:w="5060"/>
          </w:cols>
          <w:pgMar w:left="360" w:top="1440" w:right="359" w:bottom="1440" w:gutter="0" w:footer="0" w:header="0"/>
          <w:type w:val="continuous"/>
        </w:sectPr>
      </w:pPr>
    </w:p>
    <w:tbl>
      <w:tblPr>
        <w:tblLayout w:type="fixed"/>
        <w:tblInd w:w="320" w:type="dxa"/>
        <w:tblCellMar>
          <w:top w:w="0" w:type="dxa"/>
          <w:left w:w="0" w:type="dxa"/>
          <w:bottom w:w="0" w:type="dxa"/>
          <w:right w:w="0" w:type="dxa"/>
        </w:tblCellMar>
      </w:tblPr>
      <w:tr>
        <w:trPr>
          <w:trHeight w:val="234"/>
        </w:trPr>
        <w:tc>
          <w:tcPr>
            <w:tcW w:w="7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7"/>
              </w:rPr>
              <w:t>5.1</w:t>
            </w:r>
          </w:p>
        </w:tc>
        <w:tc>
          <w:tcPr>
            <w:tcW w:w="46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P.C.</w:t>
            </w: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6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5"/>
              </w:rPr>
              <w:t>23.1</w:t>
            </w:r>
          </w:p>
        </w:tc>
        <w:tc>
          <w:tcPr>
            <w:tcW w:w="1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vMerge w:val="continue"/>
          </w:tcPr>
          <w:p>
            <w:pPr>
              <w:spacing w:after="0"/>
              <w:rPr>
                <w:sz w:val="24"/>
                <w:szCs w:val="24"/>
                <w:color w:val="auto"/>
              </w:rPr>
            </w:pPr>
          </w:p>
        </w:tc>
        <w:tc>
          <w:tcPr>
            <w:tcW w:w="46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46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PricewaterhouseCoopers LLP.</w:t>
            </w:r>
          </w:p>
        </w:tc>
        <w:tc>
          <w:tcPr>
            <w:tcW w:w="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5"/>
              </w:rPr>
              <w:t>23.2</w:t>
            </w:r>
          </w:p>
        </w:tc>
        <w:tc>
          <w:tcPr>
            <w:tcW w:w="1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0" w:type="dxa"/>
            <w:vAlign w:val="bottom"/>
            <w:vMerge w:val="continue"/>
          </w:tcPr>
          <w:p>
            <w:pPr>
              <w:spacing w:after="0"/>
              <w:rPr>
                <w:sz w:val="24"/>
                <w:szCs w:val="24"/>
                <w:color w:val="auto"/>
              </w:rPr>
            </w:pPr>
          </w:p>
        </w:tc>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P.C. (included in</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6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Exhibit 5.1 hereto).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24.1</w:t>
            </w:r>
          </w:p>
        </w:tc>
        <w:tc>
          <w:tcPr>
            <w:tcW w:w="44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u w:val="single" w:color="auto"/>
                <w:color w:val="0000FF"/>
                <w:w w:val="99"/>
              </w:rPr>
              <w:t>Power of Attorney (included on the signature page hereto).</w:t>
            </w:r>
          </w:p>
        </w:tc>
        <w:tc>
          <w:tcPr>
            <w:tcW w:w="0" w:type="dxa"/>
            <w:vAlign w:val="bottom"/>
          </w:tcPr>
          <w:p>
            <w:pPr>
              <w:spacing w:after="0"/>
              <w:rPr>
                <w:sz w:val="1"/>
                <w:szCs w:val="1"/>
                <w:color w:val="auto"/>
              </w:rPr>
            </w:pPr>
          </w:p>
        </w:tc>
      </w:tr>
      <w:tr>
        <w:trPr>
          <w:trHeight w:val="81"/>
        </w:trPr>
        <w:tc>
          <w:tcPr>
            <w:tcW w:w="540" w:type="dxa"/>
            <w:vAlign w:val="bottom"/>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080" w:hanging="743"/>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80"/>
          </w:cols>
          <w:pgMar w:left="360" w:top="1440" w:right="35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28th day of February, 2024.</w:t>
      </w:r>
    </w:p>
    <w:p>
      <w:pPr>
        <w:spacing w:after="0" w:line="21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31" w:lineRule="exact"/>
        <w:rPr>
          <w:sz w:val="20"/>
          <w:szCs w:val="20"/>
          <w:color w:val="auto"/>
        </w:rPr>
      </w:pPr>
    </w:p>
    <w:p>
      <w:pPr>
        <w:ind w:left="672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71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Sujal Patel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Sujal Patel and Anna Mowry, and each of them, as his or her true and lawful attorney-in-fact and agent with full power of substitution and resubstitution, for such person in any and all capacities, to sign any and all amendments to this Registration Statement (including post-effective amendments) on Form S-8,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such person might or could do in person, hereby ratifying and confirming all that any said attorney-in-fact, proxy and agent, or any substitute of any of them, may lawfully do or cause to be done by virtue hereof.</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13" w:right="339" w:bottom="1440" w:gutter="0" w:footer="0" w:header="0"/>
        </w:sectPr>
      </w:pPr>
    </w:p>
    <w:bookmarkStart w:id="5" w:name="page6"/>
    <w:bookmarkEnd w:id="5"/>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2280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19685</wp:posOffset>
            </wp:positionV>
            <wp:extent cx="4791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5260" w:space="720"/>
            <w:col w:w="4220"/>
          </w:cols>
          <w:pgMar w:left="340" w:top="1440" w:right="1359" w:bottom="1440" w:gutter="0" w:footer="0" w:header="0"/>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Sujal Patel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Anna Mowry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Mowry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Matthew L.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2280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L. Posard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Karen Akinsanya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Karen Akinsanya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Altman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Epperly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Parag Mallick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 Mallick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McIlwain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228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McIlwain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Farzad Nazem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Farzad Nazem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Vijay Pande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28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Vijay Pande</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p>
      <w:pPr>
        <w:spacing w:after="0" w:line="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200" w:lineRule="exact"/>
        <w:rPr>
          <w:sz w:val="20"/>
          <w:szCs w:val="20"/>
          <w:color w:val="auto"/>
        </w:rPr>
      </w:pPr>
    </w:p>
    <w:p>
      <w:pPr>
        <w:spacing w:after="0" w:line="29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00" w:lineRule="exact"/>
        <w:rPr>
          <w:sz w:val="20"/>
          <w:szCs w:val="20"/>
          <w:color w:val="auto"/>
        </w:rPr>
      </w:pPr>
    </w:p>
    <w:p>
      <w:pPr>
        <w:spacing w:after="0" w:line="226" w:lineRule="exact"/>
        <w:rPr>
          <w:sz w:val="20"/>
          <w:szCs w:val="20"/>
          <w:color w:val="auto"/>
        </w:rPr>
      </w:pPr>
    </w:p>
    <w:p>
      <w:pPr>
        <w:ind w:right="60"/>
        <w:spacing w:after="0" w:line="727" w:lineRule="auto"/>
        <w:rPr>
          <w:sz w:val="20"/>
          <w:szCs w:val="20"/>
          <w:color w:val="auto"/>
        </w:rPr>
      </w:pPr>
      <w:r>
        <w:rPr>
          <w:rFonts w:ascii="Times New Roman" w:cs="Times New Roman" w:eastAsia="Times New Roman" w:hAnsi="Times New Roman"/>
          <w:sz w:val="17"/>
          <w:szCs w:val="17"/>
          <w:color w:val="auto"/>
        </w:rPr>
        <w:t>February 28, 2024 February 28, 2024</w:t>
      </w:r>
    </w:p>
    <w:p>
      <w:pPr>
        <w:sectPr>
          <w:pgSz w:w="11900" w:h="16838" w:orient="portrait"/>
          <w:cols w:equalWidth="0" w:num="3">
            <w:col w:w="3720" w:space="720"/>
            <w:col w:w="3660" w:space="720"/>
            <w:col w:w="1380"/>
          </w:cols>
          <w:pgMar w:left="340" w:top="1440" w:right="1359" w:bottom="1440" w:gutter="0" w:footer="0" w:header="0"/>
          <w:type w:val="continuous"/>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S-8</w:t>
      </w: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000" w:type="dxa"/>
            <w:vAlign w:val="bottom"/>
            <w:tcBorders>
              <w:top w:val="single" w:sz="8" w:color="auto"/>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40" w:type="dxa"/>
            <w:vAlign w:val="bottom"/>
            <w:tcBorders>
              <w:top w:val="single" w:sz="8" w:color="auto"/>
            </w:tcBorders>
          </w:tcPr>
          <w:p>
            <w:pPr>
              <w:spacing w:after="0"/>
              <w:rPr>
                <w:sz w:val="14"/>
                <w:szCs w:val="14"/>
                <w:color w:val="auto"/>
              </w:rPr>
            </w:pPr>
          </w:p>
        </w:tc>
        <w:tc>
          <w:tcPr>
            <w:tcW w:w="2060" w:type="dxa"/>
            <w:vAlign w:val="bottom"/>
            <w:tcBorders>
              <w:top w:val="single" w:sz="8" w:color="auto"/>
              <w:right w:val="single" w:sz="8" w:color="auto"/>
            </w:tcBorders>
          </w:tcPr>
          <w:p>
            <w:pPr>
              <w:ind w:left="260"/>
              <w:spacing w:after="0" w:line="172" w:lineRule="exact"/>
              <w:rPr>
                <w:sz w:val="20"/>
                <w:szCs w:val="20"/>
                <w:color w:val="auto"/>
              </w:rPr>
            </w:pPr>
            <w:r>
              <w:rPr>
                <w:rFonts w:ascii="Times New Roman" w:cs="Times New Roman" w:eastAsia="Times New Roman" w:hAnsi="Times New Roman"/>
                <w:sz w:val="18"/>
                <w:szCs w:val="18"/>
                <w:b w:val="1"/>
                <w:bCs w:val="1"/>
                <w:color w:val="auto"/>
              </w:rPr>
              <w:t>Security Class Title</w:t>
            </w:r>
          </w:p>
        </w:tc>
        <w:tc>
          <w:tcPr>
            <w:tcW w:w="128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42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16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78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rPr>
              <w:t>Maximum Aggregate</w:t>
            </w:r>
          </w:p>
        </w:tc>
        <w:tc>
          <w:tcPr>
            <w:tcW w:w="118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340" w:type="dxa"/>
            <w:vAlign w:val="bottom"/>
            <w:tcBorders>
              <w:top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rPr>
              <w:t>Amount of</w:t>
            </w:r>
          </w:p>
        </w:tc>
      </w:tr>
      <w:tr>
        <w:trPr>
          <w:trHeight w:val="186"/>
        </w:trPr>
        <w:tc>
          <w:tcPr>
            <w:tcW w:w="10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2"/>
              </w:rPr>
              <w:t>Type</w:t>
            </w:r>
          </w:p>
        </w:tc>
        <w:tc>
          <w:tcPr>
            <w:tcW w:w="40" w:type="dxa"/>
            <w:vAlign w:val="bottom"/>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4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21"/>
                <w:szCs w:val="21"/>
                <w:b w:val="1"/>
                <w:bCs w:val="1"/>
                <w:color w:val="auto"/>
                <w:vertAlign w:val="superscript"/>
              </w:rPr>
              <w:t>(1)</w:t>
            </w:r>
          </w:p>
        </w:tc>
        <w:tc>
          <w:tcPr>
            <w:tcW w:w="116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7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Registration Fee</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29"/>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Unit</w:t>
            </w: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6,253,430</w:t>
            </w:r>
            <w:r>
              <w:rPr>
                <w:rFonts w:ascii="Times New Roman" w:cs="Times New Roman" w:eastAsia="Times New Roman" w:hAnsi="Times New Roman"/>
                <w:sz w:val="21"/>
                <w:szCs w:val="21"/>
                <w:color w:val="auto"/>
                <w:vertAlign w:val="superscript"/>
              </w:rPr>
              <w:t>(2)</w:t>
            </w:r>
          </w:p>
        </w:tc>
        <w:tc>
          <w:tcPr>
            <w:tcW w:w="11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$2.83</w:t>
            </w:r>
            <w:r>
              <w:rPr>
                <w:rFonts w:ascii="Times New Roman" w:cs="Times New Roman" w:eastAsia="Times New Roman" w:hAnsi="Times New Roman"/>
                <w:sz w:val="21"/>
                <w:szCs w:val="21"/>
                <w:color w:val="auto"/>
                <w:vertAlign w:val="superscript"/>
              </w:rPr>
              <w:t>(4)</w:t>
            </w:r>
          </w:p>
        </w:tc>
        <w:tc>
          <w:tcPr>
            <w:tcW w:w="1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$17,697,207</w:t>
            </w: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$147.60 per</w:t>
            </w:r>
          </w:p>
        </w:tc>
        <w:tc>
          <w:tcPr>
            <w:tcW w:w="13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$2,613.00</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$0.0001 per share, reserved</w:t>
            </w:r>
          </w:p>
        </w:tc>
        <w:tc>
          <w:tcPr>
            <w:tcW w:w="12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Rule 457(h)</w:t>
            </w: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$1,000,000</w:t>
            </w:r>
          </w:p>
        </w:tc>
        <w:tc>
          <w:tcPr>
            <w:tcW w:w="1340" w:type="dxa"/>
            <w:vAlign w:val="bottom"/>
            <w:tcBorders>
              <w:right w:val="single" w:sz="8" w:color="auto"/>
            </w:tcBorders>
          </w:tcPr>
          <w:p>
            <w:pPr>
              <w:spacing w:after="0"/>
              <w:rPr>
                <w:sz w:val="15"/>
                <w:szCs w:val="15"/>
                <w:color w:val="auto"/>
              </w:rPr>
            </w:pPr>
          </w:p>
        </w:tc>
      </w:tr>
      <w:tr>
        <w:trPr>
          <w:trHeight w:val="175"/>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84"/>
        </w:trPr>
        <w:tc>
          <w:tcPr>
            <w:tcW w:w="10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Registrant's 2021 Equity</w:t>
            </w: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34"/>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128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r>
      <w:tr>
        <w:trPr>
          <w:trHeight w:val="183"/>
        </w:trPr>
        <w:tc>
          <w:tcPr>
            <w:tcW w:w="100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Equity</w:t>
            </w: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Common Stock, par value</w:t>
            </w:r>
          </w:p>
        </w:tc>
        <w:tc>
          <w:tcPr>
            <w:tcW w:w="12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Rule 457(c) and</w:t>
            </w:r>
          </w:p>
        </w:tc>
        <w:tc>
          <w:tcPr>
            <w:tcW w:w="142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1,250,686</w:t>
            </w:r>
            <w:r>
              <w:rPr>
                <w:rFonts w:ascii="Times New Roman" w:cs="Times New Roman" w:eastAsia="Times New Roman" w:hAnsi="Times New Roman"/>
                <w:sz w:val="21"/>
                <w:szCs w:val="21"/>
                <w:color w:val="auto"/>
                <w:vertAlign w:val="superscript"/>
              </w:rPr>
              <w:t>(3)</w:t>
            </w:r>
          </w:p>
        </w:tc>
        <w:tc>
          <w:tcPr>
            <w:tcW w:w="1160" w:type="dxa"/>
            <w:vAlign w:val="bottom"/>
            <w:tcBorders>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21"/>
                <w:szCs w:val="21"/>
                <w:color w:val="auto"/>
                <w:vertAlign w:val="superscript"/>
              </w:rPr>
              <w:t>(5)</w:t>
            </w:r>
          </w:p>
        </w:tc>
        <w:tc>
          <w:tcPr>
            <w:tcW w:w="1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$3,014,154</w:t>
            </w:r>
          </w:p>
        </w:tc>
        <w:tc>
          <w:tcPr>
            <w:tcW w:w="11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$147.60 per</w:t>
            </w:r>
          </w:p>
        </w:tc>
        <w:tc>
          <w:tcPr>
            <w:tcW w:w="13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$445.00</w:t>
            </w: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$0.0001 per share, reserved</w:t>
            </w:r>
          </w:p>
        </w:tc>
        <w:tc>
          <w:tcPr>
            <w:tcW w:w="12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Rule 457(h)</w:t>
            </w: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$1,000,000</w:t>
            </w:r>
          </w:p>
        </w:tc>
        <w:tc>
          <w:tcPr>
            <w:tcW w:w="1340" w:type="dxa"/>
            <w:vAlign w:val="bottom"/>
            <w:tcBorders>
              <w:right w:val="single" w:sz="8" w:color="auto"/>
            </w:tcBorders>
          </w:tcPr>
          <w:p>
            <w:pPr>
              <w:spacing w:after="0"/>
              <w:rPr>
                <w:sz w:val="15"/>
                <w:szCs w:val="15"/>
                <w:color w:val="auto"/>
              </w:rPr>
            </w:pPr>
          </w:p>
        </w:tc>
      </w:tr>
      <w:tr>
        <w:trPr>
          <w:trHeight w:val="176"/>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 issuance under the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184"/>
        </w:trPr>
        <w:tc>
          <w:tcPr>
            <w:tcW w:w="1000" w:type="dxa"/>
            <w:vAlign w:val="bottom"/>
            <w:tcBorders>
              <w:left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Registrant's 2021</w:t>
            </w:r>
          </w:p>
        </w:tc>
        <w:tc>
          <w:tcPr>
            <w:tcW w:w="128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180"/>
        </w:trPr>
        <w:tc>
          <w:tcPr>
            <w:tcW w:w="1000" w:type="dxa"/>
            <w:vAlign w:val="bottom"/>
            <w:tcBorders>
              <w:left w:val="single" w:sz="8" w:color="auto"/>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Employee Stock Purchase</w:t>
            </w:r>
          </w:p>
        </w:tc>
        <w:tc>
          <w:tcPr>
            <w:tcW w:w="12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r>
      <w:tr>
        <w:trPr>
          <w:trHeight w:val="229"/>
        </w:trPr>
        <w:tc>
          <w:tcPr>
            <w:tcW w:w="1000" w:type="dxa"/>
            <w:vAlign w:val="bottom"/>
            <w:tcBorders>
              <w:left w:val="single" w:sz="8" w:color="auto"/>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28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100" w:type="dxa"/>
            <w:vAlign w:val="bottom"/>
            <w:tcBorders>
              <w:left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$20,711,361</w:t>
            </w: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$3,058.00</w:t>
            </w:r>
          </w:p>
        </w:tc>
      </w:tr>
      <w:tr>
        <w:trPr>
          <w:trHeight w:val="223"/>
        </w:trPr>
        <w:tc>
          <w:tcPr>
            <w:tcW w:w="3100" w:type="dxa"/>
            <w:vAlign w:val="bottom"/>
            <w:tcBorders>
              <w:left w:val="single" w:sz="8" w:color="auto"/>
              <w:bottom w:val="single" w:sz="8" w:color="auto"/>
            </w:tcBorders>
            <w:gridSpan w:val="3"/>
          </w:tcPr>
          <w:p>
            <w:pPr>
              <w:ind w:left="80"/>
              <w:spacing w:after="0" w:line="223" w:lineRule="exact"/>
              <w:rPr>
                <w:sz w:val="20"/>
                <w:szCs w:val="20"/>
                <w:color w:val="auto"/>
              </w:rPr>
            </w:pPr>
            <w:r>
              <w:rPr>
                <w:rFonts w:ascii="Times New Roman" w:cs="Times New Roman" w:eastAsia="Times New Roman" w:hAnsi="Times New Roman"/>
                <w:sz w:val="18"/>
                <w:szCs w:val="18"/>
                <w:b w:val="1"/>
                <w:bCs w:val="1"/>
                <w:color w:val="auto"/>
              </w:rPr>
              <w:t>Total Fee Offsets</w:t>
            </w:r>
            <w:r>
              <w:rPr>
                <w:rFonts w:ascii="Times New Roman" w:cs="Times New Roman" w:eastAsia="Times New Roman" w:hAnsi="Times New Roman"/>
                <w:sz w:val="23"/>
                <w:szCs w:val="23"/>
                <w:b w:val="1"/>
                <w:bCs w:val="1"/>
                <w:color w:val="auto"/>
                <w:vertAlign w:val="superscript"/>
              </w:rPr>
              <w:t>(6)</w:t>
            </w: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20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$3,058.00</w:t>
            </w:r>
          </w:p>
        </w:tc>
      </w:tr>
    </w:tbl>
    <w:p>
      <w:pPr>
        <w:spacing w:after="0" w:line="306" w:lineRule="exact"/>
        <w:rPr>
          <w:sz w:val="20"/>
          <w:szCs w:val="20"/>
          <w:color w:val="auto"/>
        </w:rPr>
      </w:pPr>
    </w:p>
    <w:p>
      <w:pPr>
        <w:ind w:left="660" w:right="60" w:hanging="328"/>
        <w:spacing w:after="0" w:line="214"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this registration statement (the “Registration Statement”) shall also cover any additional shares of the Registrant’s Common Stock that become issuable under the Registrant's 2021 Equity Incentive Plan (the “2021 Plan”) or the Registrant's 2021 Employee Stock Purchase Plan (the “2021 ESPP”) by reason of any stock dividend, stock split, recapitalization or other similar transaction effected without receipt of consideration or conversion of the Registrant’s Common Stock that increases the number of outstanding shares of Common Stock.</w:t>
      </w:r>
    </w:p>
    <w:p>
      <w:pPr>
        <w:spacing w:after="0" w:line="1" w:lineRule="exact"/>
        <w:rPr>
          <w:rFonts w:ascii="Times New Roman" w:cs="Times New Roman" w:eastAsia="Times New Roman" w:hAnsi="Times New Roman"/>
          <w:sz w:val="18"/>
          <w:szCs w:val="18"/>
          <w:color w:val="auto"/>
        </w:rPr>
      </w:pPr>
    </w:p>
    <w:p>
      <w:pPr>
        <w:ind w:left="660" w:right="180" w:hanging="328"/>
        <w:spacing w:after="0" w:line="203"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in the number of shares of Common Stock reserved for issuance pursuant to future awards under the 2021 Plan as a result of the annual evergreen increase under the 2021 Plan.</w:t>
      </w:r>
    </w:p>
    <w:p>
      <w:pPr>
        <w:ind w:left="660" w:right="100" w:hanging="328"/>
        <w:spacing w:after="0" w:line="211"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automatic increase in the number of shares of Common Stock reserved for issuance pursuant to future awards under the 2021 ESPP as a result of the annual evergreen increase under the 2021 ESPP.</w:t>
      </w:r>
    </w:p>
    <w:p>
      <w:pPr>
        <w:ind w:left="660" w:right="60" w:hanging="328"/>
        <w:spacing w:after="0" w:line="220" w:lineRule="auto"/>
        <w:tabs>
          <w:tab w:leader="none" w:pos="65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457(c) and 457(h) under the Securities Act, and solely for the purpose of calculating the registration fee, the proposed maximum offering price per share is $2.83, which is the average of the high and low prices of shares of Common Stock on The Nasdaq Global Select Market (“Nasdaq”) on February 22, 2024 (such date being within five business days of the date that this Registration Statement was filed with the U.S.</w:t>
      </w:r>
    </w:p>
    <w:p>
      <w:pPr>
        <w:spacing w:after="0" w:line="2"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Securities and Exchange Commission (the “SEC”)).</w:t>
      </w:r>
    </w:p>
    <w:p>
      <w:pPr>
        <w:sectPr>
          <w:pgSz w:w="11900" w:h="16838" w:orient="portrait"/>
          <w:cols w:equalWidth="0" w:num="1">
            <w:col w:w="11260"/>
          </w:cols>
          <w:pgMar w:left="320" w:top="104" w:right="319" w:bottom="1440" w:gutter="0" w:footer="0" w:header="0"/>
        </w:sectPr>
      </w:pPr>
    </w:p>
    <w:bookmarkStart w:id="7" w:name="page8"/>
    <w:bookmarkEnd w:id="7"/>
    <w:p>
      <w:pPr>
        <w:spacing w:after="0" w:line="396" w:lineRule="exact"/>
        <w:rPr>
          <w:sz w:val="20"/>
          <w:szCs w:val="20"/>
          <w:color w:val="auto"/>
        </w:rPr>
      </w:pPr>
    </w:p>
    <w:p>
      <w:pPr>
        <w:jc w:val="both"/>
        <w:ind w:left="328" w:hanging="328"/>
        <w:spacing w:after="0" w:line="211" w:lineRule="auto"/>
        <w:tabs>
          <w:tab w:leader="none" w:pos="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and 457(h) under the Securities Act, and solely for the purpose of calculating the registration fee, the proposed maximum offering price per share is $2.41, which is 85% of the average of the high and low prices of shares of Common Stock on Nasdaq on February 22, 2024 (such date being within five business days of the date that this Registration Statement was filed with the SEC).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1"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0908"/>
          </w:cols>
          <w:pgMar w:left="652" w:top="144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396" w:lineRule="exact"/>
        <w:rPr>
          <w:sz w:val="20"/>
          <w:szCs w:val="20"/>
          <w:color w:val="auto"/>
        </w:rPr>
      </w:pPr>
    </w:p>
    <w:p>
      <w:pPr>
        <w:ind w:left="7980"/>
        <w:spacing w:after="0"/>
        <w:rPr>
          <w:sz w:val="20"/>
          <w:szCs w:val="20"/>
          <w:color w:val="auto"/>
        </w:rPr>
      </w:pPr>
      <w:r>
        <w:rPr>
          <w:rFonts w:ascii="Georgia" w:cs="Georgia" w:eastAsia="Georgia" w:hAnsi="Georgia"/>
          <w:sz w:val="14"/>
          <w:szCs w:val="14"/>
          <w:color w:val="003D4C"/>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-1270</wp:posOffset>
            </wp:positionV>
            <wp:extent cx="108839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1088390" cy="402590"/>
                    </a:xfrm>
                    <a:prstGeom prst="rect">
                      <a:avLst/>
                    </a:prstGeom>
                    <a:noFill/>
                  </pic:spPr>
                </pic:pic>
              </a:graphicData>
            </a:graphic>
          </wp:anchor>
        </w:drawing>
      </w:r>
    </w:p>
    <w:p>
      <w:pPr>
        <w:ind w:left="7980"/>
        <w:spacing w:after="0"/>
        <w:rPr>
          <w:sz w:val="20"/>
          <w:szCs w:val="20"/>
          <w:color w:val="auto"/>
        </w:rPr>
      </w:pPr>
      <w:r>
        <w:rPr>
          <w:rFonts w:ascii="Georgia" w:cs="Georgia" w:eastAsia="Georgia" w:hAnsi="Georgia"/>
          <w:sz w:val="14"/>
          <w:szCs w:val="14"/>
          <w:color w:val="003D4C"/>
        </w:rPr>
        <w:t>Professional Corporation</w:t>
      </w:r>
    </w:p>
    <w:p>
      <w:pPr>
        <w:spacing w:after="0" w:line="46" w:lineRule="exact"/>
        <w:rPr>
          <w:sz w:val="20"/>
          <w:szCs w:val="20"/>
          <w:color w:val="auto"/>
        </w:rPr>
      </w:pPr>
    </w:p>
    <w:p>
      <w:pPr>
        <w:ind w:left="7980"/>
        <w:spacing w:after="0"/>
        <w:rPr>
          <w:sz w:val="20"/>
          <w:szCs w:val="20"/>
          <w:color w:val="auto"/>
        </w:rPr>
      </w:pPr>
      <w:r>
        <w:rPr>
          <w:rFonts w:ascii="Georgia" w:cs="Georgia" w:eastAsia="Georgia" w:hAnsi="Georgia"/>
          <w:sz w:val="14"/>
          <w:szCs w:val="14"/>
          <w:color w:val="003D4C"/>
        </w:rPr>
        <w:t>650 Page Mill Road</w:t>
      </w:r>
    </w:p>
    <w:p>
      <w:pPr>
        <w:ind w:left="7980"/>
        <w:spacing w:after="0"/>
        <w:rPr>
          <w:sz w:val="20"/>
          <w:szCs w:val="20"/>
          <w:color w:val="auto"/>
        </w:rPr>
      </w:pPr>
      <w:r>
        <w:rPr>
          <w:rFonts w:ascii="Georgia" w:cs="Georgia" w:eastAsia="Georgia" w:hAnsi="Georgia"/>
          <w:sz w:val="14"/>
          <w:szCs w:val="14"/>
          <w:color w:val="003D4C"/>
        </w:rPr>
        <w:t>Palo Alto, California 94304-1050</w:t>
      </w:r>
    </w:p>
    <w:p>
      <w:pPr>
        <w:spacing w:after="0" w:line="33" w:lineRule="exact"/>
        <w:rPr>
          <w:sz w:val="20"/>
          <w:szCs w:val="20"/>
          <w:color w:val="auto"/>
        </w:rPr>
      </w:pPr>
    </w:p>
    <w:p>
      <w:pPr>
        <w:ind w:left="7980"/>
        <w:spacing w:after="0"/>
        <w:rPr>
          <w:sz w:val="20"/>
          <w:szCs w:val="20"/>
          <w:color w:val="auto"/>
        </w:rPr>
      </w:pPr>
      <w:r>
        <w:rPr>
          <w:rFonts w:ascii="Georgia" w:cs="Georgia" w:eastAsia="Georgia" w:hAnsi="Georgia"/>
          <w:sz w:val="14"/>
          <w:szCs w:val="14"/>
          <w:color w:val="003D4C"/>
        </w:rPr>
        <w:t>o: 650.493.9300</w:t>
      </w:r>
    </w:p>
    <w:p>
      <w:pPr>
        <w:ind w:left="7980"/>
        <w:spacing w:after="0"/>
        <w:rPr>
          <w:sz w:val="20"/>
          <w:szCs w:val="20"/>
          <w:color w:val="auto"/>
        </w:rPr>
      </w:pPr>
      <w:r>
        <w:rPr>
          <w:rFonts w:ascii="Georgia" w:cs="Georgia" w:eastAsia="Georgia" w:hAnsi="Georgia"/>
          <w:sz w:val="14"/>
          <w:szCs w:val="14"/>
          <w:color w:val="003D4C"/>
        </w:rPr>
        <w:t>f: 650.493.6811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28,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Nautilus Biotechnology, Inc.</w:t>
      </w:r>
    </w:p>
    <w:p>
      <w:pPr>
        <w:spacing w:after="0" w:line="211" w:lineRule="auto"/>
        <w:rPr>
          <w:sz w:val="20"/>
          <w:szCs w:val="20"/>
          <w:color w:val="auto"/>
        </w:rPr>
      </w:pPr>
      <w:r>
        <w:rPr>
          <w:rFonts w:ascii="Times New Roman" w:cs="Times New Roman" w:eastAsia="Times New Roman" w:hAnsi="Times New Roman"/>
          <w:sz w:val="20"/>
          <w:szCs w:val="20"/>
          <w:color w:val="auto"/>
        </w:rPr>
        <w:t>2701 Eastlake Avenue East</w:t>
      </w:r>
    </w:p>
    <w:p>
      <w:pPr>
        <w:spacing w:after="0"/>
        <w:rPr>
          <w:sz w:val="20"/>
          <w:szCs w:val="20"/>
          <w:color w:val="auto"/>
        </w:rPr>
      </w:pPr>
      <w:r>
        <w:rPr>
          <w:rFonts w:ascii="Times New Roman" w:cs="Times New Roman" w:eastAsia="Times New Roman" w:hAnsi="Times New Roman"/>
          <w:sz w:val="20"/>
          <w:szCs w:val="20"/>
          <w:color w:val="auto"/>
        </w:rPr>
        <w:t>Seattle, Washington 98102</w:t>
      </w:r>
    </w:p>
    <w:p>
      <w:pPr>
        <w:spacing w:after="0" w:line="19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19"/>
          <w:szCs w:val="19"/>
          <w:b w:val="1"/>
          <w:bCs w:val="1"/>
          <w:u w:val="single" w:color="auto"/>
          <w:color w:val="auto"/>
        </w:rPr>
        <w:t>Registration Statement on Form S-8</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have examined the Registration Statement on Form S-8 (the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to be filed by Nautilus Biotechnology,</w:t>
      </w:r>
    </w:p>
    <w:p>
      <w:pPr>
        <w:spacing w:after="0" w:line="215" w:lineRule="auto"/>
        <w:rPr>
          <w:sz w:val="20"/>
          <w:szCs w:val="20"/>
          <w:color w:val="auto"/>
        </w:rPr>
      </w:pPr>
      <w:r>
        <w:rPr>
          <w:rFonts w:ascii="Times New Roman" w:cs="Times New Roman" w:eastAsia="Times New Roman" w:hAnsi="Times New Roman"/>
          <w:sz w:val="19"/>
          <w:szCs w:val="19"/>
          <w:color w:val="auto"/>
        </w:rPr>
        <w:t>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with the Securities and Exchange Commission on or about the date hereof, in connection with the registration under the Securities Act of 1933, as amended, of an aggregate of 7,504,116 shares (the “</w:t>
      </w:r>
      <w:r>
        <w:rPr>
          <w:rFonts w:ascii="Times New Roman" w:cs="Times New Roman" w:eastAsia="Times New Roman" w:hAnsi="Times New Roman"/>
          <w:sz w:val="19"/>
          <w:szCs w:val="19"/>
          <w:u w:val="single" w:color="auto"/>
          <w:color w:val="auto"/>
        </w:rPr>
        <w:t>Shares</w:t>
      </w:r>
      <w:r>
        <w:rPr>
          <w:rFonts w:ascii="Times New Roman" w:cs="Times New Roman" w:eastAsia="Times New Roman" w:hAnsi="Times New Roman"/>
          <w:sz w:val="19"/>
          <w:szCs w:val="19"/>
          <w:color w:val="auto"/>
        </w:rPr>
        <w:t>”) of the Company’s common</w:t>
      </w:r>
    </w:p>
    <w:p>
      <w:pPr>
        <w:spacing w:after="0" w:line="204" w:lineRule="auto"/>
        <w:rPr>
          <w:sz w:val="20"/>
          <w:szCs w:val="20"/>
          <w:color w:val="auto"/>
        </w:rPr>
      </w:pPr>
      <w:r>
        <w:rPr>
          <w:rFonts w:ascii="Times New Roman" w:cs="Times New Roman" w:eastAsia="Times New Roman" w:hAnsi="Times New Roman"/>
          <w:sz w:val="20"/>
          <w:szCs w:val="20"/>
          <w:color w:val="auto"/>
        </w:rPr>
        <w:t>stock, par value $0.0001 per share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consisting of (i) 6,253,430 shares of Common Stock reserved for future issuance under the Company’s 2021 Equity Incentive Plan and (ii) 1,250,686 shares of Common Stock reserved for issuance under the Company’s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2021 Employee Stock Purchase Plan. As the Company’s legal counsel, we have reviewed the actions proposed to be taken by the Company in connection with the issuance and sale of the Shares to be issued under such plans (which plans are referred to herein as the “</w:t>
      </w:r>
      <w:r>
        <w:rPr>
          <w:rFonts w:ascii="Times New Roman" w:cs="Times New Roman" w:eastAsia="Times New Roman" w:hAnsi="Times New Roman"/>
          <w:sz w:val="20"/>
          <w:szCs w:val="20"/>
          <w:u w:val="single" w:color="auto"/>
          <w:color w:val="auto"/>
        </w:rPr>
        <w:t>Plans</w:t>
      </w:r>
      <w:r>
        <w:rPr>
          <w:rFonts w:ascii="Times New Roman" w:cs="Times New Roman" w:eastAsia="Times New Roman" w:hAnsi="Times New Roman"/>
          <w:sz w:val="20"/>
          <w:szCs w:val="20"/>
          <w:color w:val="auto"/>
        </w:rPr>
        <w:t>”).</w:t>
      </w:r>
    </w:p>
    <w:p>
      <w:pPr>
        <w:spacing w:after="0" w:line="2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It is our opinion that the Shares, when issued and sold in the manner referred to in the Plans and pursuant to the agreements that accompany the Plans, will be legally and validly issued, fully paid and nonassessable.</w:t>
      </w:r>
    </w:p>
    <w:p>
      <w:pPr>
        <w:spacing w:after="0" w:line="2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2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3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WILSON SONSINI</w:t>
      </w:r>
    </w:p>
    <w:p>
      <w:pPr>
        <w:ind w:left="5080"/>
        <w:spacing w:after="0"/>
        <w:rPr>
          <w:sz w:val="20"/>
          <w:szCs w:val="20"/>
          <w:color w:val="auto"/>
        </w:rPr>
      </w:pPr>
      <w:r>
        <w:rPr>
          <w:rFonts w:ascii="Times New Roman" w:cs="Times New Roman" w:eastAsia="Times New Roman" w:hAnsi="Times New Roman"/>
          <w:sz w:val="20"/>
          <w:szCs w:val="20"/>
          <w:color w:val="auto"/>
        </w:rPr>
        <w:t>GOODRICH &amp; ROSATI,</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Professional Corporation</w:t>
      </w:r>
    </w:p>
    <w:p>
      <w:pPr>
        <w:spacing w:after="0" w:line="4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Wilson Sonsini Goodrich &amp;</w:t>
      </w:r>
    </w:p>
    <w:p>
      <w:pPr>
        <w:ind w:left="5080"/>
        <w:spacing w:after="0"/>
        <w:rPr>
          <w:sz w:val="20"/>
          <w:szCs w:val="20"/>
          <w:color w:val="auto"/>
        </w:rPr>
      </w:pPr>
      <w:r>
        <w:rPr>
          <w:rFonts w:ascii="Times New Roman" w:cs="Times New Roman" w:eastAsia="Times New Roman" w:hAnsi="Times New Roman"/>
          <w:sz w:val="20"/>
          <w:szCs w:val="20"/>
          <w:color w:val="auto"/>
        </w:rPr>
        <w:t>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003D4C"/>
        </w:rPr>
        <w:t>AUSTIN BEIJING BOSTON BRUSSELS HONG KONG LONDON LOS ANGELES NEW YORK PALO ALTO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003D4C"/>
        </w:rPr>
        <w:t>SAN DIEGO SAN FRANCISCO SEATTLE SHANGHAI WASHINGTON, DC WILMINGTON, DE</w:t>
      </w:r>
    </w:p>
    <w:p>
      <w:pPr>
        <w:sectPr>
          <w:pgSz w:w="11900" w:h="16838" w:orient="portrait"/>
          <w:cols w:equalWidth="0" w:num="1">
            <w:col w:w="11240"/>
          </w:cols>
          <w:pgMar w:left="320" w:top="114" w:right="339" w:bottom="1440" w:gutter="0" w:footer="0" w:header="0"/>
        </w:sectPr>
      </w:pPr>
    </w:p>
    <w:bookmarkStart w:id="9" w:name="page10"/>
    <w:bookmarkEnd w:id="9"/>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42"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Nautilus Biotechnology, Inc. of our report dated February 28, 2024 relating to the financial statements, which appears in Nautilus Biotechnology, Inc. 's Annual Report on Form 10-K for the year ended December 31, 2023.</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color w:val="auto"/>
        </w:rPr>
        <w:t>San Jose, California</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28,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jpeg"/><Relationship Id="rId8" Type="http://schemas.openxmlformats.org/officeDocument/2006/relationships/hyperlink" Target="https://www.sec.gov/Archives/edgar/data/1808805/000162828021016436/nautilus-sx8registrationst.htm" TargetMode="External"/><Relationship Id="rId9" Type="http://schemas.openxmlformats.org/officeDocument/2006/relationships/hyperlink" Target="https://www.sec.gov/Archives/edgar/data/1808805/000180880522000012/forms-82022evergreen.htm" TargetMode="External"/><Relationship Id="rId10" Type="http://schemas.openxmlformats.org/officeDocument/2006/relationships/hyperlink" Target="https://www.sec.gov/Archives/edgar/data/1808805/000180880523000013/forms-82023evergreen.htm" TargetMode="External"/><Relationship Id="rId11" Type="http://schemas.openxmlformats.org/officeDocument/2006/relationships/hyperlink" Target="https://www.sec.gov/Archives/edgar/data/1808805/000180880524000005/naut-20231231.htm" TargetMode="External"/><Relationship Id="rId12" Type="http://schemas.openxmlformats.org/officeDocument/2006/relationships/hyperlink" Target="https://www.sec.gov/Archives/edgar/data/0001808805/000114036120017640/nt10013610x6_8a12b.htm" TargetMode="External"/><Relationship Id="rId16" Type="http://schemas.openxmlformats.org/officeDocument/2006/relationships/hyperlink" Target="https://www.sec.gov/Archives/edgar/data/1808805/000162828021011892/exhibit31-form8xkclosing.htm" TargetMode="External"/><Relationship Id="rId17" Type="http://schemas.openxmlformats.org/officeDocument/2006/relationships/hyperlink" Target="https://www.sec.gov/Archives/edgar/data/1808805/000180880523000069/exhibit32-nautilusbiotechn.htm" TargetMode="External"/><Relationship Id="rId18" Type="http://schemas.openxmlformats.org/officeDocument/2006/relationships/hyperlink" Target="https://www.sec.gov/Archives/edgar/data/1808805/000162828021011892/exhibit41-super8xkclosing.htm" TargetMode="External"/><Relationship Id="rId19" Type="http://schemas.openxmlformats.org/officeDocument/2006/relationships/hyperlink" Target="https://www.sec.gov/Archives/edgar/data/1808805/000162828021011892/exhibit104-form8xkclosing.htm" TargetMode="External"/><Relationship Id="rId20" Type="http://schemas.openxmlformats.org/officeDocument/2006/relationships/hyperlink" Target="https://www.sec.gov/Archives/edgar/data/1808805/000162828021005786/exhibit107-sx4.htm" TargetMode="External"/><Relationship Id="rId21" Type="http://schemas.openxmlformats.org/officeDocument/2006/relationships/hyperlink" Target="https://www.sec.gov/Archives/edgar/data/1808805/000162828021005786/exhibit108-sx4.htm" TargetMode="External"/><Relationship Id="rId22" Type="http://schemas.openxmlformats.org/officeDocument/2006/relationships/hyperlink" Target="https://www.sec.gov/Archives/edgar/data/1808805/000162828021005786/exhibit109-sx4.htm" TargetMode="External"/><Relationship Id="rId23" Type="http://schemas.openxmlformats.org/officeDocument/2006/relationships/hyperlink" Target="https://www.sec.gov/Archives/edgar/data/1808805/000162828021011892/exhibit105-form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2024-02-28T06:20:47Z</dcterms:created>
  <dcterms:modified xsi:type="dcterms:W3CDTF">2024-02-28T06:20:47Z</dcterms:modified>
</cp:coreProperties>
</file>