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4052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94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McIlwain Matthew S</w:t>
              </w:r>
            </w:hyperlink>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3"/>
            <w:vMerge w:val="continue"/>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8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C/O MADRONA VENTURE GROUP</w:t>
            </w: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11/15/2021</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999 THIRD AVENUE, 34TH FLOOR</w:t>
            </w: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20" w:type="dxa"/>
            <w:vAlign w:val="bottom"/>
            <w:gridSpan w:val="5"/>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SEATTLE</w:t>
            </w:r>
          </w:p>
        </w:tc>
        <w:tc>
          <w:tcPr>
            <w:tcW w:w="800" w:type="dxa"/>
            <w:vAlign w:val="bottom"/>
            <w:gridSpan w:val="2"/>
          </w:tcPr>
          <w:p>
            <w:pPr>
              <w:ind w:left="80"/>
              <w:spacing w:after="0"/>
              <w:rPr>
                <w:sz w:val="20"/>
                <w:szCs w:val="20"/>
                <w:color w:val="auto"/>
              </w:rPr>
            </w:pPr>
            <w:r>
              <w:rPr>
                <w:rFonts w:ascii="Arial" w:cs="Arial" w:eastAsia="Arial" w:hAnsi="Arial"/>
                <w:sz w:val="17"/>
                <w:szCs w:val="17"/>
                <w:color w:val="0000FF"/>
              </w:rPr>
              <w:t>WA</w:t>
            </w:r>
          </w:p>
        </w:tc>
        <w:tc>
          <w:tcPr>
            <w:tcW w:w="1700" w:type="dxa"/>
            <w:vAlign w:val="bottom"/>
          </w:tcPr>
          <w:p>
            <w:pPr>
              <w:ind w:left="500"/>
              <w:spacing w:after="0"/>
              <w:rPr>
                <w:sz w:val="20"/>
                <w:szCs w:val="20"/>
                <w:color w:val="auto"/>
              </w:rPr>
            </w:pPr>
            <w:r>
              <w:rPr>
                <w:rFonts w:ascii="Arial" w:cs="Arial" w:eastAsia="Arial" w:hAnsi="Arial"/>
                <w:sz w:val="17"/>
                <w:szCs w:val="17"/>
                <w:color w:val="0000FF"/>
              </w:rPr>
              <w:t>98104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ind w:left="120"/>
              <w:spacing w:after="0" w:line="134"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8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440" w:type="dxa"/>
            <w:vAlign w:val="bottom"/>
            <w:tcBorders>
              <w:bottom w:val="single" w:sz="8" w:color="2C2C2C"/>
            </w:tcBorders>
            <w:gridSpan w:val="3"/>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1"/>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98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2"/>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4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4"/>
          </w:tcPr>
          <w:p>
            <w:pPr>
              <w:ind w:left="1080"/>
              <w:spacing w:after="0"/>
              <w:rPr>
                <w:sz w:val="20"/>
                <w:szCs w:val="20"/>
                <w:color w:val="auto"/>
              </w:rPr>
            </w:pPr>
            <w:r>
              <w:rPr>
                <w:rFonts w:ascii="Arial" w:cs="Arial" w:eastAsia="Arial" w:hAnsi="Arial"/>
                <w:sz w:val="17"/>
                <w:szCs w:val="17"/>
                <w:color w:val="0000FF"/>
              </w:rPr>
              <w:t>11/15/2021</w:t>
            </w: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100,000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5.2989</w:t>
            </w:r>
            <w:r>
              <w:rPr>
                <w:rFonts w:ascii="Arial" w:cs="Arial" w:eastAsia="Arial" w:hAnsi="Arial"/>
                <w:sz w:val="22"/>
                <w:szCs w:val="22"/>
                <w:color w:val="008000"/>
                <w:w w:val="93"/>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459,075</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Madrona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5,798,394</w:t>
            </w:r>
          </w:p>
        </w:tc>
        <w:tc>
          <w:tcPr>
            <w:tcW w:w="960" w:type="dxa"/>
            <w:vAlign w:val="bottom"/>
          </w:tcPr>
          <w:p>
            <w:pPr>
              <w:ind w:left="44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Fund VI,</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Madrona</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222,376</w:t>
            </w:r>
          </w:p>
        </w:tc>
        <w:tc>
          <w:tcPr>
            <w:tcW w:w="960" w:type="dxa"/>
            <w:vAlign w:val="bottom"/>
          </w:tcPr>
          <w:p>
            <w:pPr>
              <w:ind w:left="44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Fund</w:t>
      </w:r>
    </w:p>
    <w:p>
      <w:pPr>
        <w:spacing w:after="0" w:line="11" w:lineRule="exact"/>
        <w:rPr>
          <w:sz w:val="20"/>
          <w:szCs w:val="20"/>
          <w:color w:val="auto"/>
        </w:rPr>
      </w:pPr>
    </w:p>
    <w:p>
      <w:pPr>
        <w:ind w:left="10260"/>
        <w:spacing w:after="0"/>
        <w:rPr>
          <w:sz w:val="20"/>
          <w:szCs w:val="20"/>
          <w:color w:val="auto"/>
        </w:rPr>
      </w:pPr>
      <w:r>
        <w:rPr>
          <w:rFonts w:ascii="Arial" w:cs="Arial" w:eastAsia="Arial" w:hAnsi="Arial"/>
          <w:sz w:val="17"/>
          <w:szCs w:val="17"/>
          <w:color w:val="0000FF"/>
        </w:rPr>
        <w:t>VI-A,</w:t>
      </w:r>
    </w:p>
    <w:p>
      <w:pPr>
        <w:ind w:left="10260"/>
        <w:spacing w:after="0" w:line="185" w:lineRule="auto"/>
        <w:rPr>
          <w:sz w:val="20"/>
          <w:szCs w:val="20"/>
          <w:color w:val="auto"/>
        </w:rPr>
      </w:pPr>
      <w:r>
        <w:rPr>
          <w:rFonts w:ascii="Arial" w:cs="Arial" w:eastAsia="Arial" w:hAnsi="Arial"/>
          <w:sz w:val="26"/>
          <w:szCs w:val="26"/>
          <w:color w:val="0000FF"/>
          <w:vertAlign w:val="subscript"/>
        </w:rPr>
        <w:t>LP</w:t>
      </w:r>
      <w:r>
        <w:rPr>
          <w:rFonts w:ascii="Arial" w:cs="Arial" w:eastAsia="Arial" w:hAnsi="Arial"/>
          <w:sz w:val="10"/>
          <w:szCs w:val="10"/>
          <w:color w:val="008000"/>
        </w:rPr>
        <w:t>(3)</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for this transaction is a weighted-average price. The shares were sold in multiple transactions ranging from $5.16 to $5.36, inclusive. The reporting person undertakes to provide to Nautilus Biotechnology, Inc., any security holder of Nautilus Biotechnology, Inc., or the staff of the Securities and Exchange Commission, upon request, full information regarding the number of shares sold at each separate price within the ranges set forth in any footnotes to this Form 4.</w:t>
      </w:r>
    </w:p>
    <w:p>
      <w:pPr>
        <w:spacing w:after="0" w:line="25" w:lineRule="exact"/>
        <w:rPr>
          <w:rFonts w:ascii="Arial" w:cs="Arial" w:eastAsia="Arial" w:hAnsi="Arial"/>
          <w:sz w:val="13"/>
          <w:szCs w:val="13"/>
          <w:color w:val="008000"/>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Madrona Venture Fund VI, LP ("Madrona Fund VI"). Madrona Investment Partners VI, L.P. ("Madrona Partners VI") is the general partner of Madrona Fund VI, and Madrona VI General Partner, LLC ("Madrona VI LLC") is the general partner of Madrona Partners VI. The reporting person, is a managing member of Madrona VI LLC. The reporting person disclaims beneficial ownership over such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9" w:lineRule="exact"/>
        <w:rPr>
          <w:rFonts w:ascii="Arial" w:cs="Arial" w:eastAsia="Arial" w:hAnsi="Arial"/>
          <w:sz w:val="13"/>
          <w:szCs w:val="13"/>
          <w:color w:val="008000"/>
        </w:rPr>
      </w:pPr>
    </w:p>
    <w:p>
      <w:pPr>
        <w:ind w:left="40" w:right="2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Madrona Venture Fund VI-A, LP ("Madrona Fund VI-A"). Madrona Partners VI is the general partner of Madrona Fund VI-A, and Madrona VI LLC is the general partner of Madrona Partners VI. The reporting person, is a managing member of Madrona VI LLC. The reporting person disclaims beneficial ownership over such securities except to the extent of his pecuniary interest therein, and the inclusion of these shares in this report shall not be deemed an admission of benefical ownership of all of the reported shares for purposes of Section 16 or for any other purpose.</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Matthew McIlwain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11/17/2021</w:t>
            </w:r>
          </w:p>
        </w:tc>
      </w:tr>
      <w:tr>
        <w:trPr>
          <w:trHeight w:val="20"/>
        </w:trPr>
        <w:tc>
          <w:tcPr>
            <w:tcW w:w="1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9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75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2021-11-17T19:25:26Z</dcterms:created>
  <dcterms:modified xsi:type="dcterms:W3CDTF">2021-11-17T19:25:26Z</dcterms:modified>
</cp:coreProperties>
</file>