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Akinsanya Karen</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06/15/2023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NAUTILUS BIOTECHNOLOGY,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2701 EASTLAKE AVENUE EAST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SEATTLE</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98102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1"/>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920" w:type="dxa"/>
            <w:vAlign w:val="bottom"/>
            <w:tcBorders>
              <w:bottom w:val="single" w:sz="8" w:color="2C2C2C"/>
            </w:tcBorders>
            <w:gridSpan w:val="3"/>
          </w:tcPr>
          <w:p>
            <w:pPr>
              <w:spacing w:after="0"/>
              <w:rPr>
                <w:sz w:val="6"/>
                <w:szCs w:val="6"/>
                <w:color w:val="auto"/>
              </w:rPr>
            </w:pPr>
          </w:p>
        </w:tc>
        <w:tc>
          <w:tcPr>
            <w:tcW w:w="1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06/15/2023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45,000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06/15/2033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45,000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20" w:firstLine="4"/>
        <w:spacing w:after="0" w:line="31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6"/>
              </w:rPr>
              <w:t>/s/ Anna Mowry, as Attorney-</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5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5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97672" TargetMode="External"/><Relationship Id="rId9"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2023-06-16T18:55:21Z</dcterms:created>
  <dcterms:modified xsi:type="dcterms:W3CDTF">2023-06-16T18:55:21Z</dcterms:modified>
</cp:coreProperties>
</file>