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1125115.xml.htm"/>
      <w:bookmarkStart w:id="1" w:name="kswkform4_17411251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Suzuki Kentaro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the Option shall vest and become exercisable on the first anniversary of the Vesting Commencement Date, as defined below, and the balance of the shares subject to the Option shall vest and become exercisable on a ratable, monthly basis over the 36 months succeeding such first anniversary so long as the Reporting Person remains a Service Provider as provided in the Issuer's 2021 Equity Incentive Plan. Vesting Commencement Date shall mean January 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Mathew B. Murphy,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nautilusbiotechnology-se.htm"/>
      <w:bookmarkStart w:id="3" w:name="ksnautilusbiotechnologyse"/>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Sujal Patel, Matt Murphy, Anna Mowry, Priscilla Chen, Nick Brazell, Zachary Myers and Ben Capps,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 1. Prepare, execute and submit to the Securities and Exchange Commission (“SEC”), Nautilus Biotechnology,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Attorney-in-Fact. This Power of Attorney revokes all previous powers of attorney with respect to the subject matter of this Power of Attorney. IN WITNESS WHEREOF, the undersigned has caused this Power of Attorney to be executed on February 22, 2025. Signature: /s/ Ken Suzuki Print Name: Ken Suzuki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7191" TargetMode="External"/><Relationship Id="rId5" Type="http://schemas.openxmlformats.org/officeDocument/2006/relationships/hyperlink" Target="http://www.sec.gov/cgi-bin/browse-edgar?action=getcompany&amp;CIK=00018088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1282</Words>
  <Characters>6882</Characters>
  <CharactersWithSpaces>8104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nautilusbiotechnology-se</dc:title>
</cp:coreProperties>
</file>