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4300"/>
        <w:spacing w:after="0" w:line="272" w:lineRule="auto"/>
        <w:rPr>
          <w:sz w:val="20"/>
          <w:szCs w:val="20"/>
          <w:color w:val="auto"/>
        </w:rPr>
      </w:pPr>
      <w:r>
        <w:rPr>
          <w:rFonts w:ascii="Times New Roman" w:cs="Times New Roman" w:eastAsia="Times New Roman" w:hAnsi="Times New Roman"/>
          <w:sz w:val="34"/>
          <w:szCs w:val="34"/>
          <w:color w:val="auto"/>
        </w:rPr>
        <w:drawing>
          <wp:anchor simplePos="0" relativeHeight="251657728" behindDoc="1" locked="0" layoutInCell="0" allowOverlap="1">
            <wp:simplePos x="0" y="0"/>
            <wp:positionH relativeFrom="page">
              <wp:posOffset>180975</wp:posOffset>
            </wp:positionH>
            <wp:positionV relativeFrom="page">
              <wp:posOffset>130175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page">
              <wp:posOffset>180975</wp:posOffset>
            </wp:positionH>
            <wp:positionV relativeFrom="page">
              <wp:posOffset>372745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t>SECURITIES AND EXCHANGE COMMISSION Washington, D.C. 20549</w:t>
      </w:r>
    </w:p>
    <w:p>
      <w:pPr>
        <w:spacing w:after="0" w:line="3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5"/>
          <w:szCs w:val="25"/>
          <w:color w:val="auto"/>
        </w:rPr>
        <w:t>SCHEDULE 13D</w:t>
      </w:r>
    </w:p>
    <w:p>
      <w:pPr>
        <w:spacing w:after="0" w:line="19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19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 xml:space="preserve">(Amendment No. </w:t>
      </w:r>
      <w:r>
        <w:rPr>
          <w:rFonts w:ascii="Times New Roman" w:cs="Times New Roman" w:eastAsia="Times New Roman" w:hAnsi="Times New Roman"/>
          <w:sz w:val="17"/>
          <w:szCs w:val="17"/>
          <w:b w:val="1"/>
          <w:bCs w:val="1"/>
          <w:color w:val="0000FF"/>
        </w:rPr>
        <w:t>1</w:t>
      </w:r>
      <w:r>
        <w:rPr>
          <w:rFonts w:ascii="Times New Roman" w:cs="Times New Roman" w:eastAsia="Times New Roman" w:hAnsi="Times New Roman"/>
          <w:sz w:val="17"/>
          <w:szCs w:val="17"/>
          <w:b w:val="1"/>
          <w:bCs w:val="1"/>
          <w:color w:val="auto"/>
        </w:rPr>
        <w:t>)*</w:t>
      </w:r>
    </w:p>
    <w:p>
      <w:pPr>
        <w:spacing w:after="0" w:line="200" w:lineRule="exact"/>
        <w:rPr>
          <w:sz w:val="24"/>
          <w:szCs w:val="24"/>
          <w:color w:val="auto"/>
        </w:rPr>
      </w:pPr>
    </w:p>
    <w:p>
      <w:pPr>
        <w:spacing w:after="0" w:line="220"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478853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6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00" w:lineRule="exact"/>
        <w:rPr>
          <w:sz w:val="24"/>
          <w:szCs w:val="24"/>
          <w:color w:val="auto"/>
        </w:rPr>
      </w:pPr>
    </w:p>
    <w:p>
      <w:pPr>
        <w:spacing w:after="0" w:line="220"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478853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6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00" w:lineRule="exact"/>
        <w:rPr>
          <w:sz w:val="24"/>
          <w:szCs w:val="24"/>
          <w:color w:val="auto"/>
        </w:rPr>
      </w:pPr>
    </w:p>
    <w:p>
      <w:pPr>
        <w:spacing w:after="0" w:line="220"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63909J108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478853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66"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00" w:lineRule="exact"/>
        <w:rPr>
          <w:sz w:val="24"/>
          <w:szCs w:val="24"/>
          <w:color w:val="auto"/>
        </w:rPr>
      </w:pPr>
    </w:p>
    <w:p>
      <w:pPr>
        <w:spacing w:after="0" w:line="220"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0000FF"/>
        </w:rPr>
        <w:t>Parag Mallick</w:t>
      </w:r>
    </w:p>
    <w:p>
      <w:pPr>
        <w:spacing w:after="0" w:line="13"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0000FF"/>
        </w:rPr>
        <w:t>2701 Eastlake Avenue East,</w:t>
      </w:r>
    </w:p>
    <w:p>
      <w:pPr>
        <w:ind w:left="3100"/>
        <w:spacing w:after="0" w:line="234" w:lineRule="auto"/>
        <w:rPr>
          <w:sz w:val="20"/>
          <w:szCs w:val="20"/>
          <w:color w:val="auto"/>
        </w:rPr>
      </w:pPr>
      <w:r>
        <w:rPr>
          <w:rFonts w:ascii="Times New Roman" w:cs="Times New Roman" w:eastAsia="Times New Roman" w:hAnsi="Times New Roman"/>
          <w:sz w:val="17"/>
          <w:szCs w:val="17"/>
          <w:b w:val="1"/>
          <w:bCs w:val="1"/>
          <w:color w:val="0000FF"/>
        </w:rPr>
        <w:t>Seattle, WA, 98102</w:t>
      </w:r>
    </w:p>
    <w:p>
      <w:pPr>
        <w:ind w:left="3300"/>
        <w:spacing w:after="0"/>
        <w:rPr>
          <w:sz w:val="20"/>
          <w:szCs w:val="20"/>
          <w:color w:val="auto"/>
        </w:rPr>
      </w:pPr>
      <w:r>
        <w:rPr>
          <w:rFonts w:ascii="Times New Roman" w:cs="Times New Roman" w:eastAsia="Times New Roman" w:hAnsi="Times New Roman"/>
          <w:sz w:val="17"/>
          <w:szCs w:val="17"/>
          <w:b w:val="1"/>
          <w:bCs w:val="1"/>
          <w:color w:val="0000FF"/>
        </w:rPr>
        <w:t>206-333-2001</w:t>
      </w:r>
    </w:p>
    <w:p>
      <w:pPr>
        <w:spacing w:after="0" w:line="355"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Zachary B. Myers</w:t>
      </w:r>
    </w:p>
    <w:p>
      <w:pPr>
        <w:spacing w:after="0" w:line="13"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Wilson Sonsini Goodrich &amp; Rosati, P.C., 650 Page Mill Road</w:t>
      </w:r>
    </w:p>
    <w:p>
      <w:pPr>
        <w:jc w:val="center"/>
        <w:ind w:right="3720"/>
        <w:spacing w:after="0" w:line="234" w:lineRule="auto"/>
        <w:rPr>
          <w:sz w:val="20"/>
          <w:szCs w:val="20"/>
          <w:color w:val="auto"/>
        </w:rPr>
      </w:pPr>
      <w:r>
        <w:rPr>
          <w:rFonts w:ascii="Times New Roman" w:cs="Times New Roman" w:eastAsia="Times New Roman" w:hAnsi="Times New Roman"/>
          <w:sz w:val="17"/>
          <w:szCs w:val="17"/>
          <w:b w:val="1"/>
          <w:bCs w:val="1"/>
          <w:color w:val="0000FF"/>
        </w:rPr>
        <w:t>Palo Alto, CA, 94304</w:t>
      </w: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40005</wp:posOffset>
            </wp:positionV>
            <wp:extent cx="478853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44"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w:t>
      </w:r>
    </w:p>
    <w:p>
      <w:pPr>
        <w:spacing w:after="0" w:line="38"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03/03/2025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478853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6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00965" cy="1009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p>
    <w:p>
      <w:pPr>
        <w:spacing w:after="0" w:line="133"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92075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SCHEDULE 13D</w:t>
      </w: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CUSIP No. </w:t>
      </w:r>
      <w:r>
        <w:rPr>
          <w:rFonts w:ascii="Times New Roman" w:cs="Times New Roman" w:eastAsia="Times New Roman" w:hAnsi="Times New Roman"/>
          <w:sz w:val="15"/>
          <w:szCs w:val="15"/>
          <w:color w:val="auto"/>
        </w:rPr>
        <w:t>63909J108</w:t>
      </w:r>
    </w:p>
    <w:p>
      <w:pPr>
        <w:spacing w:after="0" w:line="200" w:lineRule="exact"/>
        <w:rPr>
          <w:sz w:val="24"/>
          <w:szCs w:val="24"/>
          <w:color w:val="auto"/>
        </w:rPr>
      </w:pPr>
    </w:p>
    <w:p>
      <w:pPr>
        <w:spacing w:after="0" w:line="24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Name of reporting person</w:t>
      </w:r>
    </w:p>
    <w:p>
      <w:pPr>
        <w:spacing w:after="0" w:line="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1</w:t>
      </w:r>
    </w:p>
    <w:p>
      <w:pPr>
        <w:ind w:left="960"/>
        <w:spacing w:after="0"/>
        <w:rPr>
          <w:sz w:val="20"/>
          <w:szCs w:val="20"/>
          <w:color w:val="auto"/>
        </w:rPr>
      </w:pPr>
      <w:r>
        <w:rPr>
          <w:rFonts w:ascii="Times New Roman" w:cs="Times New Roman" w:eastAsia="Times New Roman" w:hAnsi="Times New Roman"/>
          <w:sz w:val="17"/>
          <w:szCs w:val="17"/>
          <w:color w:val="auto"/>
        </w:rPr>
        <w:t>Parag Mallick</w:t>
      </w:r>
    </w:p>
    <w:p>
      <w:pPr>
        <w:spacing w:after="0" w:line="20"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25" w:lineRule="exact"/>
        <w:rPr>
          <w:sz w:val="24"/>
          <w:szCs w:val="24"/>
          <w:color w:val="auto"/>
        </w:rPr>
      </w:pPr>
    </w:p>
    <w:p>
      <w:pPr>
        <w:ind w:left="960" w:hanging="923"/>
        <w:spacing w:after="0"/>
        <w:tabs>
          <w:tab w:leader="none" w:pos="960" w:val="left"/>
        </w:tabs>
        <w:numPr>
          <w:ilvl w:val="0"/>
          <w:numId w:val="1"/>
        </w:numPr>
        <w:rPr>
          <w:rFonts w:ascii="Times New Roman" w:cs="Times New Roman" w:eastAsia="Times New Roman" w:hAnsi="Times New Roman"/>
          <w:sz w:val="34"/>
          <w:szCs w:val="34"/>
          <w:color w:val="auto"/>
          <w:vertAlign w:val="superscript"/>
        </w:rPr>
      </w:pPr>
      <w:r>
        <w:rPr>
          <w:sz w:val="1"/>
          <w:szCs w:val="1"/>
          <w:color w:val="auto"/>
        </w:rPr>
        <w:drawing>
          <wp:inline distT="0" distB="0" distL="0" distR="0">
            <wp:extent cx="100965" cy="1009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w:t>
      </w:r>
    </w:p>
    <w:p>
      <w:pPr>
        <w:ind w:left="960"/>
        <w:spacing w:after="0"/>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00965" cy="1009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(b)</w:t>
      </w:r>
    </w:p>
    <w:p>
      <w:pPr>
        <w:spacing w:after="0" w:line="27" w:lineRule="exact"/>
        <w:rPr>
          <w:sz w:val="24"/>
          <w:szCs w:val="24"/>
          <w:color w:val="auto"/>
        </w:rPr>
      </w:pPr>
    </w:p>
    <w:p>
      <w:pPr>
        <w:ind w:left="960" w:hanging="923"/>
        <w:spacing w:after="0"/>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38"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Source of funds (See Instructions)</w:t>
      </w:r>
    </w:p>
    <w:p>
      <w:pPr>
        <w:spacing w:after="0" w:line="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4</w:t>
      </w:r>
    </w:p>
    <w:p>
      <w:pPr>
        <w:ind w:left="960"/>
        <w:spacing w:after="0"/>
        <w:rPr>
          <w:sz w:val="20"/>
          <w:szCs w:val="20"/>
          <w:color w:val="auto"/>
        </w:rPr>
      </w:pPr>
      <w:r>
        <w:rPr>
          <w:rFonts w:ascii="Times New Roman" w:cs="Times New Roman" w:eastAsia="Times New Roman" w:hAnsi="Times New Roman"/>
          <w:sz w:val="17"/>
          <w:szCs w:val="17"/>
          <w:color w:val="auto"/>
        </w:rPr>
        <w:t>PF</w:t>
      </w:r>
    </w:p>
    <w:p>
      <w:pPr>
        <w:spacing w:after="0" w:line="12"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12065</wp:posOffset>
            </wp:positionV>
            <wp:extent cx="100965" cy="100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965" cy="100965"/>
                    </a:xfrm>
                    <a:prstGeom prst="rect">
                      <a:avLst/>
                    </a:prstGeom>
                    <a:noFill/>
                  </pic:spPr>
                </pic:pic>
              </a:graphicData>
            </a:graphic>
          </wp:anchor>
        </w:drawing>
      </w:r>
    </w:p>
    <w:p>
      <w:pPr>
        <w:spacing w:after="0" w:line="180"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Citizenship or place of organization</w:t>
      </w:r>
    </w:p>
    <w:p>
      <w:pPr>
        <w:spacing w:after="0" w:line="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6</w:t>
      </w:r>
    </w:p>
    <w:p>
      <w:pPr>
        <w:ind w:left="960"/>
        <w:spacing w:after="0"/>
        <w:rPr>
          <w:sz w:val="20"/>
          <w:szCs w:val="20"/>
          <w:color w:val="auto"/>
        </w:rPr>
      </w:pPr>
      <w:r>
        <w:rPr>
          <w:rFonts w:ascii="Times New Roman" w:cs="Times New Roman" w:eastAsia="Times New Roman" w:hAnsi="Times New Roman"/>
          <w:sz w:val="17"/>
          <w:szCs w:val="17"/>
          <w:color w:val="auto"/>
        </w:rPr>
        <w:t>UNITED STATES</w:t>
      </w:r>
    </w:p>
    <w:p>
      <w:pPr>
        <w:sectPr>
          <w:pgSz w:w="11900" w:h="16838" w:orient="portrait"/>
          <w:cols w:equalWidth="0" w:num="1">
            <w:col w:w="11280"/>
          </w:cols>
          <w:pgMar w:left="300" w:top="711" w:right="319"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Number of</w:t>
            </w:r>
          </w:p>
        </w:tc>
        <w:tc>
          <w:tcPr>
            <w:tcW w:w="5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  Sole Voting Power</w:t>
            </w:r>
          </w:p>
        </w:tc>
        <w:tc>
          <w:tcPr>
            <w:tcW w:w="0" w:type="dxa"/>
            <w:vAlign w:val="bottom"/>
          </w:tcPr>
          <w:p>
            <w:pPr>
              <w:spacing w:after="0"/>
              <w:rPr>
                <w:sz w:val="1"/>
                <w:szCs w:val="1"/>
                <w:color w:val="auto"/>
              </w:rPr>
            </w:pP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Shares</w:t>
            </w:r>
          </w:p>
        </w:tc>
        <w:tc>
          <w:tcPr>
            <w:tcW w:w="5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Beneficially</w:t>
            </w:r>
          </w:p>
        </w:tc>
        <w:tc>
          <w:tcPr>
            <w:tcW w:w="5840" w:type="dxa"/>
            <w:vAlign w:val="bottom"/>
          </w:tcPr>
          <w:p>
            <w:pPr>
              <w:ind w:left="280"/>
              <w:spacing w:after="0" w:line="191" w:lineRule="exact"/>
              <w:rPr>
                <w:sz w:val="20"/>
                <w:szCs w:val="20"/>
                <w:color w:val="auto"/>
              </w:rPr>
            </w:pPr>
            <w:r>
              <w:rPr>
                <w:rFonts w:ascii="Times New Roman" w:cs="Times New Roman" w:eastAsia="Times New Roman" w:hAnsi="Times New Roman"/>
                <w:sz w:val="17"/>
                <w:szCs w:val="17"/>
                <w:color w:val="auto"/>
              </w:rPr>
              <w:t>22,063,911.00</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Owned by</w:t>
            </w:r>
          </w:p>
        </w:tc>
        <w:tc>
          <w:tcPr>
            <w:tcW w:w="5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188"/>
        </w:trPr>
        <w:tc>
          <w:tcPr>
            <w:tcW w:w="8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Each</w:t>
            </w:r>
          </w:p>
        </w:tc>
        <w:tc>
          <w:tcPr>
            <w:tcW w:w="584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Reporting</w:t>
            </w:r>
          </w:p>
        </w:tc>
        <w:tc>
          <w:tcPr>
            <w:tcW w:w="584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200,000.00</w:t>
            </w:r>
          </w:p>
        </w:tc>
        <w:tc>
          <w:tcPr>
            <w:tcW w:w="0" w:type="dxa"/>
            <w:vAlign w:val="bottom"/>
          </w:tcPr>
          <w:p>
            <w:pPr>
              <w:spacing w:after="0"/>
              <w:rPr>
                <w:sz w:val="1"/>
                <w:szCs w:val="1"/>
                <w:color w:val="auto"/>
              </w:rPr>
            </w:pPr>
          </w:p>
        </w:tc>
      </w:tr>
      <w:tr>
        <w:trPr>
          <w:trHeight w:val="170"/>
        </w:trPr>
        <w:tc>
          <w:tcPr>
            <w:tcW w:w="88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Person</w:t>
            </w:r>
          </w:p>
        </w:tc>
        <w:tc>
          <w:tcPr>
            <w:tcW w:w="58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Sole Dispositive Power</w:t>
            </w:r>
          </w:p>
        </w:tc>
        <w:tc>
          <w:tcPr>
            <w:tcW w:w="0" w:type="dxa"/>
            <w:vAlign w:val="bottom"/>
          </w:tcPr>
          <w:p>
            <w:pPr>
              <w:spacing w:after="0"/>
              <w:rPr>
                <w:sz w:val="1"/>
                <w:szCs w:val="1"/>
                <w:color w:val="auto"/>
              </w:rPr>
            </w:pPr>
          </w:p>
        </w:tc>
      </w:tr>
      <w:tr>
        <w:trPr>
          <w:trHeight w:val="85"/>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With:</w:t>
            </w: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80" w:type="dxa"/>
            <w:vAlign w:val="bottom"/>
            <w:vMerge w:val="continue"/>
          </w:tcPr>
          <w:p>
            <w:pPr>
              <w:spacing w:after="0"/>
              <w:rPr>
                <w:sz w:val="11"/>
                <w:szCs w:val="11"/>
                <w:color w:val="auto"/>
              </w:rPr>
            </w:pPr>
          </w:p>
        </w:tc>
        <w:tc>
          <w:tcPr>
            <w:tcW w:w="5840" w:type="dxa"/>
            <w:vAlign w:val="bottom"/>
            <w:vMerge w:val="restart"/>
          </w:tcPr>
          <w:p>
            <w:pPr>
              <w:ind w:left="80"/>
              <w:spacing w:after="0" w:line="191"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57"/>
        </w:trPr>
        <w:tc>
          <w:tcPr>
            <w:tcW w:w="88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5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22,063,911.00</w:t>
            </w:r>
          </w:p>
        </w:tc>
        <w:tc>
          <w:tcPr>
            <w:tcW w:w="0" w:type="dxa"/>
            <w:vAlign w:val="bottom"/>
          </w:tcPr>
          <w:p>
            <w:pPr>
              <w:spacing w:after="0"/>
              <w:rPr>
                <w:sz w:val="1"/>
                <w:szCs w:val="1"/>
                <w:color w:val="auto"/>
              </w:rPr>
            </w:pPr>
          </w:p>
        </w:tc>
      </w:tr>
      <w:tr>
        <w:trPr>
          <w:trHeight w:val="205"/>
        </w:trPr>
        <w:tc>
          <w:tcPr>
            <w:tcW w:w="880" w:type="dxa"/>
            <w:vAlign w:val="bottom"/>
          </w:tcPr>
          <w:p>
            <w:pPr>
              <w:spacing w:after="0"/>
              <w:rPr>
                <w:sz w:val="17"/>
                <w:szCs w:val="17"/>
                <w:color w:val="auto"/>
              </w:rPr>
            </w:pPr>
          </w:p>
        </w:tc>
        <w:tc>
          <w:tcPr>
            <w:tcW w:w="5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Shared Dispositive Power</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5840" w:type="dxa"/>
            <w:vAlign w:val="bottom"/>
          </w:tcPr>
          <w:p>
            <w:pPr>
              <w:ind w:left="80"/>
              <w:spacing w:after="0" w:line="191" w:lineRule="exact"/>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5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200,000.00</w:t>
            </w:r>
          </w:p>
        </w:tc>
        <w:tc>
          <w:tcPr>
            <w:tcW w:w="0" w:type="dxa"/>
            <w:vAlign w:val="bottom"/>
          </w:tcPr>
          <w:p>
            <w:pPr>
              <w:spacing w:after="0"/>
              <w:rPr>
                <w:sz w:val="1"/>
                <w:szCs w:val="1"/>
                <w:color w:val="auto"/>
              </w:rPr>
            </w:pPr>
          </w:p>
        </w:tc>
      </w:tr>
      <w:tr>
        <w:trPr>
          <w:trHeight w:val="265"/>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11</w:t>
            </w:r>
          </w:p>
        </w:tc>
        <w:tc>
          <w:tcPr>
            <w:tcW w:w="58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tc>
        <w:tc>
          <w:tcPr>
            <w:tcW w:w="0" w:type="dxa"/>
            <w:vAlign w:val="bottom"/>
          </w:tcPr>
          <w:p>
            <w:pPr>
              <w:spacing w:after="0"/>
              <w:rPr>
                <w:sz w:val="1"/>
                <w:szCs w:val="1"/>
                <w:color w:val="auto"/>
              </w:rPr>
            </w:pPr>
          </w:p>
        </w:tc>
      </w:tr>
      <w:tr>
        <w:trPr>
          <w:trHeight w:val="191"/>
        </w:trPr>
        <w:tc>
          <w:tcPr>
            <w:tcW w:w="880" w:type="dxa"/>
            <w:vAlign w:val="bottom"/>
            <w:vMerge w:val="continue"/>
          </w:tcPr>
          <w:p>
            <w:pPr>
              <w:spacing w:after="0"/>
              <w:rPr>
                <w:sz w:val="16"/>
                <w:szCs w:val="16"/>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22,263,911.00</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12</w:t>
            </w:r>
          </w:p>
        </w:tc>
        <w:tc>
          <w:tcPr>
            <w:tcW w:w="58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Check if the aggregate amount in Row (11) excludes certain shares (See Instructions)</w:t>
            </w:r>
          </w:p>
        </w:tc>
        <w:tc>
          <w:tcPr>
            <w:tcW w:w="0" w:type="dxa"/>
            <w:vAlign w:val="bottom"/>
          </w:tcPr>
          <w:p>
            <w:pPr>
              <w:spacing w:after="0"/>
              <w:rPr>
                <w:sz w:val="1"/>
                <w:szCs w:val="1"/>
                <w:color w:val="auto"/>
              </w:rPr>
            </w:pPr>
          </w:p>
        </w:tc>
      </w:tr>
      <w:tr>
        <w:trPr>
          <w:trHeight w:val="170"/>
        </w:trPr>
        <w:tc>
          <w:tcPr>
            <w:tcW w:w="880" w:type="dxa"/>
            <w:vAlign w:val="bottom"/>
            <w:vMerge w:val="continue"/>
          </w:tcPr>
          <w:p>
            <w:pPr>
              <w:spacing w:after="0"/>
              <w:rPr>
                <w:sz w:val="14"/>
                <w:szCs w:val="14"/>
                <w:color w:val="auto"/>
              </w:rPr>
            </w:pP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13</w:t>
            </w:r>
          </w:p>
        </w:tc>
        <w:tc>
          <w:tcPr>
            <w:tcW w:w="58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Percent of class represented by amount in Row (11)</w:t>
            </w:r>
          </w:p>
        </w:tc>
        <w:tc>
          <w:tcPr>
            <w:tcW w:w="0" w:type="dxa"/>
            <w:vAlign w:val="bottom"/>
          </w:tcPr>
          <w:p>
            <w:pPr>
              <w:spacing w:after="0"/>
              <w:rPr>
                <w:sz w:val="1"/>
                <w:szCs w:val="1"/>
                <w:color w:val="auto"/>
              </w:rPr>
            </w:pPr>
          </w:p>
        </w:tc>
      </w:tr>
      <w:tr>
        <w:trPr>
          <w:trHeight w:val="191"/>
        </w:trPr>
        <w:tc>
          <w:tcPr>
            <w:tcW w:w="880" w:type="dxa"/>
            <w:vAlign w:val="bottom"/>
            <w:vMerge w:val="continue"/>
          </w:tcPr>
          <w:p>
            <w:pPr>
              <w:spacing w:after="0"/>
              <w:rPr>
                <w:sz w:val="16"/>
                <w:szCs w:val="16"/>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17.4 %</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14</w:t>
            </w:r>
          </w:p>
        </w:tc>
        <w:tc>
          <w:tcPr>
            <w:tcW w:w="58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Type of Reporting Person (See Instructions)</w:t>
            </w:r>
          </w:p>
        </w:tc>
        <w:tc>
          <w:tcPr>
            <w:tcW w:w="0" w:type="dxa"/>
            <w:vAlign w:val="bottom"/>
          </w:tcPr>
          <w:p>
            <w:pPr>
              <w:spacing w:after="0"/>
              <w:rPr>
                <w:sz w:val="1"/>
                <w:szCs w:val="1"/>
                <w:color w:val="auto"/>
              </w:rPr>
            </w:pPr>
          </w:p>
        </w:tc>
      </w:tr>
      <w:tr>
        <w:trPr>
          <w:trHeight w:val="191"/>
        </w:trPr>
        <w:tc>
          <w:tcPr>
            <w:tcW w:w="880" w:type="dxa"/>
            <w:vAlign w:val="bottom"/>
            <w:vMerge w:val="continue"/>
          </w:tcPr>
          <w:p>
            <w:pPr>
              <w:spacing w:after="0"/>
              <w:rPr>
                <w:sz w:val="16"/>
                <w:szCs w:val="16"/>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IN</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-886460</wp:posOffset>
            </wp:positionV>
            <wp:extent cx="100965" cy="100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965" cy="10096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Comment </w:t>
            </w:r>
            <w:r>
              <w:rPr>
                <w:rFonts w:ascii="Times New Roman" w:cs="Times New Roman" w:eastAsia="Times New Roman" w:hAnsi="Times New Roman"/>
                <w:sz w:val="16"/>
                <w:szCs w:val="16"/>
                <w:color w:val="auto"/>
              </w:rPr>
              <w:t>Items 7, 9, and 11 above consists of 20,479,892 shares of Common Stock directly owned by Parag Mallick and a total of 1,584,019 shares of Common</w:t>
            </w:r>
          </w:p>
        </w:tc>
      </w:tr>
      <w:tr>
        <w:trPr>
          <w:trHeight w:val="180"/>
        </w:trPr>
        <w:tc>
          <w:tcPr>
            <w:tcW w:w="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for Type</w:t>
            </w:r>
          </w:p>
        </w:tc>
        <w:tc>
          <w:tcPr>
            <w:tcW w:w="106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Stock issuable upon exercise of options. Of such options to purchase shares, 942,351 shares shall be vested and exercisable within 60 days of March 3,</w:t>
            </w:r>
          </w:p>
        </w:tc>
      </w:tr>
      <w:tr>
        <w:trPr>
          <w:trHeight w:val="200"/>
        </w:trPr>
        <w:tc>
          <w:tcPr>
            <w:tcW w:w="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of</w:t>
            </w:r>
          </w:p>
        </w:tc>
        <w:tc>
          <w:tcPr>
            <w:tcW w:w="10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2025. Items 8, 10, and 11 above consists of 200,000 shares of Common Stock directly owned by The Dream Finder Foundation (the "Foundation"). Dr.</w:t>
            </w:r>
          </w:p>
        </w:tc>
      </w:tr>
    </w:tbl>
    <w:p>
      <w:pPr>
        <w:jc w:val="both"/>
        <w:spacing w:after="0" w:line="208"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5"/>
          <w:szCs w:val="15"/>
          <w:color w:val="auto"/>
        </w:rPr>
        <w:t xml:space="preserve"> Mallick and his spouse share voting and dispositive power over the shares held by the Foundation and Dr. Mallick is the President of the Foundation. Item </w:t>
      </w:r>
      <w:r>
        <w:rPr>
          <w:rFonts w:ascii="Times New Roman" w:cs="Times New Roman" w:eastAsia="Times New Roman" w:hAnsi="Times New Roman"/>
          <w:sz w:val="26"/>
          <w:szCs w:val="26"/>
          <w:b w:val="1"/>
          <w:bCs w:val="1"/>
          <w:color w:val="auto"/>
          <w:vertAlign w:val="superscript"/>
        </w:rPr>
        <w:t>Person:</w:t>
      </w:r>
      <w:r>
        <w:rPr>
          <w:rFonts w:ascii="Times New Roman" w:cs="Times New Roman" w:eastAsia="Times New Roman" w:hAnsi="Times New Roman"/>
          <w:sz w:val="15"/>
          <w:szCs w:val="15"/>
          <w:color w:val="auto"/>
        </w:rPr>
        <w:t xml:space="preserve"> 13 above is based on the quotient obtained by dividing (a) the aggregate number of shares of Common Stock beneficially owned by Dr. Mallick by (b) the</w:t>
      </w:r>
    </w:p>
    <w:p>
      <w:pPr>
        <w:spacing w:after="0" w:line="1" w:lineRule="exact"/>
        <w:rPr>
          <w:sz w:val="20"/>
          <w:szCs w:val="20"/>
          <w:color w:val="auto"/>
        </w:rPr>
      </w:pPr>
    </w:p>
    <w:p>
      <w:pPr>
        <w:jc w:val="both"/>
        <w:ind w:left="720"/>
        <w:spacing w:after="0" w:line="237" w:lineRule="auto"/>
        <w:rPr>
          <w:sz w:val="20"/>
          <w:szCs w:val="20"/>
          <w:color w:val="auto"/>
        </w:rPr>
      </w:pPr>
      <w:r>
        <w:rPr>
          <w:rFonts w:ascii="Times New Roman" w:cs="Times New Roman" w:eastAsia="Times New Roman" w:hAnsi="Times New Roman"/>
          <w:sz w:val="17"/>
          <w:szCs w:val="17"/>
          <w:color w:val="auto"/>
        </w:rPr>
        <w:t>sum of (i) 126,148,469 shares of Common Stock outstanding as of February 21, 2025, as reported in the Issuer's Form 10-K filed with the Securities and Exchange Commission on February 27, 2025, and (ii) the 1,584,019 shares of Common Stock issuable upon exercise of options held by Dr. Mallick. The aggregate number of shares of Common Stock beneficially owned by Dr. Mallick as set forth in clauses "(a)" and "(b)" of this footnote are treated as outstanding shares of Common Stock only for the purpose of computing the percentage ownership of Dr. Mallick.</w:t>
      </w: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SCHEDULE 13D</w:t>
      </w:r>
    </w:p>
    <w:p>
      <w:pPr>
        <w:spacing w:after="0" w:line="23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7"/>
          <w:szCs w:val="17"/>
          <w:color w:val="auto"/>
        </w:rPr>
        <w:t>Item 1.</w:t>
      </w:r>
      <w:r>
        <w:rPr>
          <w:sz w:val="20"/>
          <w:szCs w:val="20"/>
          <w:color w:val="auto"/>
        </w:rPr>
        <w:tab/>
      </w:r>
      <w:r>
        <w:rPr>
          <w:rFonts w:ascii="Times New Roman" w:cs="Times New Roman" w:eastAsia="Times New Roman" w:hAnsi="Times New Roman"/>
          <w:sz w:val="16"/>
          <w:szCs w:val="16"/>
          <w:color w:val="auto"/>
        </w:rPr>
        <w:t>Security and Issuer</w:t>
      </w:r>
    </w:p>
    <w:p>
      <w:pPr>
        <w:spacing w:after="0" w:line="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w:t>
      </w:r>
    </w:p>
    <w:p>
      <w:pPr>
        <w:ind w:left="960"/>
        <w:spacing w:after="0"/>
        <w:rPr>
          <w:sz w:val="20"/>
          <w:szCs w:val="20"/>
          <w:color w:val="auto"/>
        </w:rPr>
      </w:pPr>
      <w:r>
        <w:rPr>
          <w:rFonts w:ascii="Times New Roman" w:cs="Times New Roman" w:eastAsia="Times New Roman" w:hAnsi="Times New Roman"/>
          <w:sz w:val="17"/>
          <w:szCs w:val="17"/>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Name of Issuer: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w:t>
      </w:r>
    </w:p>
    <w:p>
      <w:pPr>
        <w:ind w:left="960"/>
        <w:spacing w:after="0"/>
        <w:rPr>
          <w:sz w:val="20"/>
          <w:szCs w:val="20"/>
          <w:color w:val="auto"/>
        </w:rPr>
      </w:pPr>
      <w:r>
        <w:rPr>
          <w:rFonts w:ascii="Times New Roman" w:cs="Times New Roman" w:eastAsia="Times New Roman" w:hAnsi="Times New Roman"/>
          <w:sz w:val="17"/>
          <w:szCs w:val="17"/>
          <w:color w:val="auto"/>
        </w:rPr>
        <w:t>Nautilus Biotechnology,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Address of Issuer's Principal Executive Offices: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w:t>
      </w:r>
    </w:p>
    <w:p>
      <w:pPr>
        <w:ind w:left="960"/>
        <w:spacing w:after="0"/>
        <w:rPr>
          <w:sz w:val="20"/>
          <w:szCs w:val="20"/>
          <w:color w:val="auto"/>
        </w:rPr>
      </w:pPr>
      <w:r>
        <w:rPr>
          <w:rFonts w:ascii="Times New Roman" w:cs="Times New Roman" w:eastAsia="Times New Roman" w:hAnsi="Times New Roman"/>
          <w:sz w:val="17"/>
          <w:szCs w:val="17"/>
          <w:color w:val="auto"/>
        </w:rPr>
        <w:t>2701 Eastlake Avenue East, Seattle, WASHINGTON , 98102.</w:t>
      </w:r>
    </w:p>
    <w:p>
      <w:pPr>
        <w:sectPr>
          <w:pgSz w:w="11900" w:h="16838" w:orient="portrait"/>
          <w:cols w:equalWidth="0" w:num="1">
            <w:col w:w="11280"/>
          </w:cols>
          <w:pgMar w:left="300" w:top="114" w:right="319" w:bottom="0" w:gutter="0" w:footer="0" w:header="0"/>
        </w:sectPr>
      </w:pP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Item 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Item 7.</w:t>
      </w:r>
    </w:p>
    <w:p>
      <w:pPr>
        <w:spacing w:after="0" w:line="20" w:lineRule="exact"/>
        <w:rPr>
          <w:sz w:val="20"/>
          <w:szCs w:val="20"/>
          <w:color w:val="auto"/>
        </w:rPr>
      </w:pPr>
      <w:r>
        <w:rPr>
          <w:sz w:val="20"/>
          <w:szCs w:val="20"/>
          <w:color w:val="auto"/>
        </w:rPr>
        <w:br w:type="column"/>
      </w:r>
    </w:p>
    <w:p>
      <w:pPr>
        <w:jc w:val="both"/>
        <w:ind w:right="40"/>
        <w:spacing w:after="0" w:line="241" w:lineRule="auto"/>
        <w:rPr>
          <w:sz w:val="20"/>
          <w:szCs w:val="20"/>
          <w:color w:val="auto"/>
        </w:rPr>
      </w:pPr>
      <w:r>
        <w:rPr>
          <w:rFonts w:ascii="Times New Roman" w:cs="Times New Roman" w:eastAsia="Times New Roman" w:hAnsi="Times New Roman"/>
          <w:sz w:val="17"/>
          <w:szCs w:val="17"/>
          <w:color w:val="auto"/>
        </w:rPr>
        <w:t>This Amendment No. 1 (this "Amendment") amends and supplements the Schedule 13D filed on June 16, 2021 (the "Schedule 13D") by Parag Mallick (the "Reporting Person") relating to the Common Stock of Nautilus Biotechnology, Inc. (the "Issuer"). Information reported in the Schedule 13D remains in effect except to the extent that it is amended, restated or superseded by information contained in this Amendment. Capitalized terms used but not defined in this Amendment have the respective meanings set forth in the Schedule 13D. All references in the Schedule 13D and this Amendment shall be deemed to refer to the Schedule 13D as amended and supplemented by this Amendment.</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Interest in Securities of the Issuer</w:t>
      </w:r>
    </w:p>
    <w:p>
      <w:pPr>
        <w:spacing w:after="0" w:line="38" w:lineRule="exact"/>
        <w:rPr>
          <w:sz w:val="20"/>
          <w:szCs w:val="20"/>
          <w:color w:val="auto"/>
        </w:rPr>
      </w:pPr>
    </w:p>
    <w:p>
      <w:pPr>
        <w:ind w:left="180" w:right="60"/>
        <w:spacing w:after="0" w:line="238" w:lineRule="auto"/>
        <w:rPr>
          <w:sz w:val="20"/>
          <w:szCs w:val="20"/>
          <w:color w:val="auto"/>
        </w:rPr>
      </w:pPr>
      <w:r>
        <w:rPr>
          <w:rFonts w:ascii="Times New Roman" w:cs="Times New Roman" w:eastAsia="Times New Roman" w:hAnsi="Times New Roman"/>
          <w:sz w:val="17"/>
          <w:szCs w:val="17"/>
          <w:color w:val="auto"/>
        </w:rPr>
        <w:t>As of the date of this Schedule 13D, the Reporting Person beneficially owns an aggregate of 22,263,911 shares of Common Stock, or 17.4% of the Issuer's outstanding shares of Common Stock. The beneficial ownership percentages used in this Schedule are calculated based on a total of 126,148,469 shares of Common Stock outstanding as of February 21, 2025 plus 1,584,019 shares of Common Stock issuable upon exercise of options held by the Reporting Person. 942,351 of the Reporting Person's options to purchase shares of Common Stock are exercisable within 60 days of March 3, 2025. The unvested options to purchase shares of Common Stock vest over time subject to the Reporting Person's continued service through each vesting date. If, during the period beginning three months before a change in control through the one-year anniversary of a change in control, the Reporting Person's employment with the Issuer is terminated either (x) by the Issuer without cause, and excluding by reason of the Reporting Person's death or disability or (y) by the Reporting Person for good reason, then 100% of any unvested shares shall immediately vest.</w:t>
      </w:r>
    </w:p>
    <w:p>
      <w:pPr>
        <w:spacing w:after="0" w:line="19" w:lineRule="exact"/>
        <w:rPr>
          <w:sz w:val="20"/>
          <w:szCs w:val="20"/>
          <w:color w:val="auto"/>
        </w:rPr>
      </w:pPr>
    </w:p>
    <w:p>
      <w:pPr>
        <w:ind w:left="180" w:right="180"/>
        <w:spacing w:after="0" w:line="249" w:lineRule="auto"/>
        <w:rPr>
          <w:sz w:val="20"/>
          <w:szCs w:val="20"/>
          <w:color w:val="auto"/>
        </w:rPr>
      </w:pPr>
      <w:r>
        <w:rPr>
          <w:rFonts w:ascii="Times New Roman" w:cs="Times New Roman" w:eastAsia="Times New Roman" w:hAnsi="Times New Roman"/>
          <w:sz w:val="17"/>
          <w:szCs w:val="17"/>
          <w:color w:val="auto"/>
        </w:rPr>
        <w:t>The Reporting Person and the Reporting Person's spouse share voting and dispositive power with respect to 200,000 shares of Common Stock owned by the Foundation. The Reporting Person has sole voting and dispositive power with respect to 20,479,892 shares of Common Stock and options to purchase 1,584,019 shares of Common Stock.</w:t>
      </w:r>
    </w:p>
    <w:p>
      <w:pPr>
        <w:spacing w:after="0" w:line="7" w:lineRule="exact"/>
        <w:rPr>
          <w:sz w:val="20"/>
          <w:szCs w:val="20"/>
          <w:color w:val="auto"/>
        </w:rPr>
      </w:pPr>
    </w:p>
    <w:p>
      <w:pPr>
        <w:ind w:left="180" w:right="440"/>
        <w:spacing w:after="0" w:line="260" w:lineRule="auto"/>
        <w:rPr>
          <w:sz w:val="20"/>
          <w:szCs w:val="20"/>
          <w:color w:val="auto"/>
        </w:rPr>
      </w:pPr>
      <w:r>
        <w:rPr>
          <w:rFonts w:ascii="Times New Roman" w:cs="Times New Roman" w:eastAsia="Times New Roman" w:hAnsi="Times New Roman"/>
          <w:sz w:val="17"/>
          <w:szCs w:val="17"/>
          <w:color w:val="auto"/>
        </w:rPr>
        <w:t>On March 3, 2025, the Reporting Person was granted an option to purchase 280,000 shares of the Issuer's Common Stock. Except for such option grant, the Reporting Person has not effected any transactions in the Common Stock during the past 60 days.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Material to be Filed as Exhibits.</w:t>
      </w:r>
    </w:p>
    <w:p>
      <w:pPr>
        <w:spacing w:after="0" w:line="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Exhibit 1 Power of Attorney</w:t>
      </w:r>
    </w:p>
    <w:p>
      <w:pPr>
        <w:spacing w:after="0" w:line="200" w:lineRule="exact"/>
        <w:rPr>
          <w:sz w:val="20"/>
          <w:szCs w:val="20"/>
          <w:color w:val="auto"/>
        </w:rPr>
      </w:pPr>
    </w:p>
    <w:p>
      <w:pPr>
        <w:sectPr>
          <w:pgSz w:w="11900" w:h="16838" w:orient="portrait"/>
          <w:cols w:equalWidth="0" w:num="2">
            <w:col w:w="740" w:space="40"/>
            <w:col w:w="10500"/>
          </w:cols>
          <w:pgMar w:left="300" w:top="114" w:right="319" w:bottom="0" w:gutter="0" w:footer="0" w:header="0"/>
          <w:type w:val="continuous"/>
        </w:sectPr>
      </w:pP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SIGNATURE</w:t>
      </w:r>
    </w:p>
    <w:p>
      <w:pPr>
        <w:spacing w:after="0" w:line="38" w:lineRule="exact"/>
        <w:rPr>
          <w:sz w:val="20"/>
          <w:szCs w:val="20"/>
          <w:color w:val="auto"/>
        </w:rPr>
      </w:pPr>
    </w:p>
    <w:p>
      <w:pPr>
        <w:ind w:left="1200" w:right="20"/>
        <w:spacing w:after="0" w:line="263" w:lineRule="auto"/>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Parag Mallick</w:t>
      </w:r>
    </w:p>
    <w:p>
      <w:pPr>
        <w:spacing w:after="0" w:line="123"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17"/>
          <w:szCs w:val="17"/>
          <w:color w:val="auto"/>
        </w:rPr>
        <w:t>Signature:</w:t>
        <w:tab/>
        <w:t>/s/ Matthew Murphy</w:t>
      </w:r>
    </w:p>
    <w:p>
      <w:pPr>
        <w:spacing w:after="0" w:line="3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Name/Title: Matthew Murphy/Attorney-in-fact</w:t>
      </w:r>
    </w:p>
    <w:p>
      <w:pPr>
        <w:spacing w:after="0" w:line="38"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03/05/2025</w:t>
      </w:r>
    </w:p>
    <w:p>
      <w:pPr>
        <w:sectPr>
          <w:pgSz w:w="11900" w:h="16838" w:orient="portrait"/>
          <w:cols w:equalWidth="0" w:num="1">
            <w:col w:w="11280"/>
          </w:cols>
          <w:pgMar w:left="300" w:top="114" w:right="319" w:bottom="0" w:gutter="0" w:footer="0" w:header="0"/>
          <w:type w:val="continuous"/>
        </w:sectPr>
      </w:pPr>
    </w:p>
    <w:bookmarkStart w:id="2" w:name="page3"/>
    <w:bookmarkEnd w:id="2"/>
    <w:p>
      <w:pPr>
        <w:spacing w:after="0"/>
        <w:tabs>
          <w:tab w:leader="none" w:pos="4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4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3"/>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2025-03-05T16:13:07Z</dcterms:created>
  <dcterms:modified xsi:type="dcterms:W3CDTF">2025-03-05T16:13:07Z</dcterms:modified>
</cp:coreProperties>
</file>