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720" w:hanging="294"/>
        <w:spacing w:after="0"/>
        <w:tabs>
          <w:tab w:leader="none" w:pos="7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720" w:hanging="279"/>
        <w:spacing w:after="0"/>
        <w:tabs>
          <w:tab w:leader="none" w:pos="7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190"/>
        </w:trPr>
        <w:tc>
          <w:tcPr>
            <w:tcW w:w="370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69"/>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820" w:type="dxa"/>
        <w:tblCellMar>
          <w:top w:w="0" w:type="dxa"/>
          <w:left w:w="0" w:type="dxa"/>
          <w:bottom w:w="0" w:type="dxa"/>
          <w:right w:w="0" w:type="dxa"/>
        </w:tblCellMar>
      </w:tblPr>
      <w:tr>
        <w:trPr>
          <w:trHeight w:val="252"/>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86"/>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NAUT</w:t>
            </w:r>
          </w:p>
        </w:tc>
        <w:tc>
          <w:tcPr>
            <w:tcW w:w="38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120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July 25, 2025, the registrant had 126,305,122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0" w:type="dxa"/>
            <w:vAlign w:val="bottom"/>
            <w:gridSpan w:val="11"/>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0" w:type="dxa"/>
            <w:vAlign w:val="bottom"/>
            <w:gridSpan w:val="11"/>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25"/>
        </w:trPr>
        <w:tc>
          <w:tcPr>
            <w:tcW w:w="10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66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60" w:type="dxa"/>
            <w:vAlign w:val="bottom"/>
            <w:gridSpan w:val="10"/>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6"/>
                <w:szCs w:val="6"/>
                <w:color w:val="0000FF"/>
                <w:w w:val="78"/>
              </w:rPr>
              <w:t>iii</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 June 30, 2025 and 2024</w:t>
            </w:r>
          </w:p>
        </w:tc>
        <w:tc>
          <w:tcPr>
            <w:tcW w:w="560" w:type="dxa"/>
            <w:vAlign w:val="bottom"/>
          </w:tcPr>
          <w:p>
            <w:pPr>
              <w:spacing w:after="0"/>
              <w:rPr>
                <w:sz w:val="22"/>
                <w:szCs w:val="22"/>
                <w:color w:val="auto"/>
              </w:rPr>
            </w:pP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2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3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9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7940" w:type="dxa"/>
            <w:vAlign w:val="bottom"/>
            <w:tcBorders>
              <w:top w:val="single" w:sz="8" w:color="0000FF"/>
            </w:tcBorders>
            <w:gridSpan w:val="16"/>
          </w:tcPr>
          <w:p>
            <w:pPr>
              <w:spacing w:after="0"/>
              <w:rPr>
                <w:sz w:val="13"/>
                <w:szCs w:val="13"/>
                <w:color w:val="auto"/>
              </w:rPr>
            </w:pPr>
          </w:p>
        </w:tc>
        <w:tc>
          <w:tcPr>
            <w:tcW w:w="680" w:type="dxa"/>
            <w:vAlign w:val="bottom"/>
            <w:gridSpan w:val="2"/>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28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80" w:type="dxa"/>
            <w:vAlign w:val="bottom"/>
            <w:gridSpan w:val="4"/>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6"/>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18</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60" w:type="dxa"/>
            <w:vAlign w:val="bottom"/>
            <w:gridSpan w:val="8"/>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90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8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80" w:type="dxa"/>
            <w:vAlign w:val="bottom"/>
            <w:gridSpan w:val="9"/>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0" w:type="dxa"/>
            <w:vAlign w:val="bottom"/>
            <w:gridSpan w:val="11"/>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760" w:type="dxa"/>
            <w:vAlign w:val="bottom"/>
            <w:gridSpan w:val="13"/>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920" w:type="dxa"/>
            <w:vAlign w:val="bottom"/>
            <w:gridSpan w:val="20"/>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0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78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29" w:lineRule="exact"/>
        <w:rPr>
          <w:sz w:val="20"/>
          <w:szCs w:val="20"/>
          <w:color w:val="auto"/>
        </w:rPr>
      </w:pPr>
    </w:p>
    <w:p>
      <w:pPr>
        <w:ind w:right="48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availability of private and public research funding for proteomics research and development activities;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 (as defined in Part I, Item I, Note 1, “Description of Business and Basis of Presentation,” in our notes to condensed consolidated financial statements in this Quarterly Report on Form 10-Q);</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length of time that our existing cash resources will fund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support,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in compliance with the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right="440" w:firstLine="332"/>
        <w:spacing w:after="0" w:line="282"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volatility in the global financial markets and general economic downturns, on the foregoing; and</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June 30, 2025 and December 31,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June 30, 2025 and December 31, 2024;</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 shares issued and outstanding as of June 30, 2025 and December 31, 2024</w:t>
            </w: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June 30, 2025 and</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2024; 126,305,122 and 126,106,176 shares issued and outstanding as of June 30, 2025</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304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0"/>
                <w:szCs w:val="10"/>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126,204,632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125,317,650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126,174,603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125,226,552</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126,148,469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483,865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2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125,265,015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125,406,748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126,106,176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126,305,122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980" w:type="dxa"/>
            <w:vAlign w:val="bottom"/>
            <w:tcBorders>
              <w:top w:val="single" w:sz="8" w:color="auto"/>
            </w:tcBorders>
          </w:tcPr>
          <w:p>
            <w:pPr>
              <w:spacing w:after="0"/>
              <w:rPr>
                <w:sz w:val="6"/>
                <w:szCs w:val="6"/>
                <w:color w:val="auto"/>
              </w:rPr>
            </w:pPr>
          </w:p>
        </w:tc>
        <w:tc>
          <w:tcPr>
            <w:tcW w:w="2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125,068,601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214,252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125,406,748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Six Months Ended June 30,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(31,723)</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2024 on file with the SEC. The Company’s reporting currency is the U.S. dollar.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June 30, 2025, the Company had an accumulated deficit of $304.7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$147.9 million as of June 30, 2025.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loss contingency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7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and six months ended June 30, 2025 and 2024, net unrealized gains and losses on marketable debt securities were included as a component of comprehensive income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Accounting Standards Update (“ASU”) 2024-03, Income Statement— 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ending December 31, 2027 and for interim periods beginning after December 31, 2027. The Company is in the process of evaluating the impact of the adoption of this update on its consolidated financial statements and related disclosures.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and is not expected to have a material impact on its annual consolidated financial statements and related disclosures.</w:t>
      </w:r>
    </w:p>
    <w:p>
      <w:pPr>
        <w:spacing w:after="0" w:line="11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5"/>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41,815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41,815</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65,688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71,601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72,457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136,990</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76,411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continuous unrealized loss positions in excess of twelve months as of June 30, 2025.</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and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2025 and 2024, and had no allowance for credit losses as of June 30, 2025 and December 31, 2024.</w:t>
      </w:r>
    </w:p>
    <w:p>
      <w:pPr>
        <w:spacing w:after="0" w:line="167" w:lineRule="exact"/>
        <w:rPr>
          <w:sz w:val="20"/>
          <w:szCs w:val="20"/>
          <w:color w:val="auto"/>
        </w:rPr>
      </w:pPr>
    </w:p>
    <w:p>
      <w:pPr>
        <w:ind w:right="4660" w:firstLine="8"/>
        <w:spacing w:after="0" w:line="440"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of $0.4 million and $0.9 million for the three and six months ended June 30, 2025, and $0.5 million and $1.0 million for the three and six months ended June 30, 2024, respectively, which was primarily allocated to research and development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 consisted of $1.0 million of restricted cash and $0.2 million of deposits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126,305,122 shares issued and outstanding as of June 30, 2025.</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27,667,839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23,784,439</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18,996,250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16,634,775</w:t>
            </w: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5,630,908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4,508,360</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52,294,997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44,927,574</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2025 and 2024, no income tax expense or benefit was recognized, due to a full valuation allowance recorded against its deferred tax assets.</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H.R. 1, the “One Big Beautiful Bill Act,” into law. In accordance with U.S. GAAP, the Company will account for the tax effects of changes in tax law in the period of enactment, which is the third quarter of calendar year 2025. The Company is currently in the process of analyzing the tax impacts of the law change, but we do not expect a material impact on our financial statements.</w:t>
      </w:r>
    </w:p>
    <w:p>
      <w:pPr>
        <w:spacing w:after="0" w:line="11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June 8, 2021, the stockholders of the Company approved the 2021 Equity Incentive Plan (“2021 Plan”) and the 2021 Employee Stock Purchase Plan (“2021 ESPP”). As of June 30, 2025, 27,667,839 and 5,630,908 shares were available for grant under the 2021 Plan and 2021 ESPP,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2025, the number of shares available under the 2021 ESPP increased by 1,261,061 shares pursuant to this feature.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and consultants. Options generally expire ten years after the date of grant. The number of shares available for issuance under the 2021 Plan will be increased on the first day of each fiscal year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2025, the number of shares available under the 2021 Plan increased by 6,305,308 shares pursuant to this feature.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412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40" w:type="dxa"/>
            <w:vAlign w:val="bottom"/>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30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 - 103.0%</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- 101.1%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 - 103.0%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- 101.1%</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- 4.04%</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- 4.60%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- 4.04%</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- 4.60%</w:t>
            </w:r>
          </w:p>
        </w:tc>
      </w:tr>
    </w:tbl>
    <w:p>
      <w:pPr>
        <w:spacing w:after="0" w:line="19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85"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six months ended June 30,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16,634,775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3,493,350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(1,071,442)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18,996,250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June 30, 2025</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18,996,250</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11,777,364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there was $10.6 million of total unrecognized compensation expense expected to be recognized over a weighted average-period of 2.4 years. Aggregate intrinsic value represents the difference between the fair market value of the common stock and the exercise price of outstanding, in-the-money options.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total stock-based compensation expense included in the Company’s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June 30, 2025 as the Company had not yet received the related goods or services. As of June 30, 2025, the Company had open purchase commitments for goods and services of $1.5 million, of which $1.1 million are expected to be received through the next 12 months.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District Court Proceedings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June 30,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ending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cash paid for amounts included in the measurement of operating lease liabilities included in cash flows used in operating activities was $3.6 million and $3.5 million,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$1.0 million in cash-collateralized letters of credit with one financial institution in lieu of security deposits in connection with the San Carlos and San Diego lease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126,204,632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125,317,650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126,174,603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125,226,552</w:t>
            </w:r>
          </w:p>
        </w:tc>
        <w:tc>
          <w:tcPr>
            <w:tcW w:w="0" w:type="dxa"/>
            <w:vAlign w:val="bottom"/>
          </w:tcPr>
          <w:p>
            <w:pPr>
              <w:spacing w:after="0"/>
              <w:rPr>
                <w:sz w:val="1"/>
                <w:szCs w:val="1"/>
                <w:color w:val="auto"/>
              </w:rPr>
            </w:pPr>
          </w:p>
        </w:tc>
      </w:tr>
      <w:tr>
        <w:trPr>
          <w:trHeight w:val="156"/>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Three and Six Months Ended</w:t>
      </w:r>
    </w:p>
    <w:p>
      <w:pPr>
        <w:spacing w:after="0" w:line="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18,996,250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17,545,835</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122,653</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139,861</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19,118,903</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17,685,696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is its CODM. The Company’s CODM uses consolidated net loss in assessing operating decisions, allocating resources and evaluating financial performance. Consolidated net loss is used to monitor budget versus actual results. The Company identified the following significant segment expenses for its single reportable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Payroll-related 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 and laboratory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Facilities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Footnotes:</w:t>
      </w:r>
    </w:p>
    <w:p>
      <w:pPr>
        <w:spacing w:after="0" w:line="42" w:lineRule="exact"/>
        <w:rPr>
          <w:sz w:val="20"/>
          <w:szCs w:val="20"/>
          <w:color w:val="auto"/>
        </w:rPr>
      </w:pPr>
    </w:p>
    <w:p>
      <w:pPr>
        <w:ind w:left="480" w:right="260" w:hanging="326"/>
        <w:spacing w:after="0" w:line="24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the Company’s single reportable segment include travel and entertainment, insurance, tax, expensed computer hardware and software, depreciation,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2024 and the related notes included in the Company’s Annual Report on Form 10-K filed with the SEC on February 27, 2025.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1"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08"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research collaborations with biopharmaceutical companies and key academic opinion leaders exploring utility of pre-commercial versions of the platform, during which we do not expect to recognize significant revenue, if any. The second phase will include an early access limited release in which we expect to engage with customers using a service model to generate pilot data on the platform in our facilities, or through on-site installation and testing to evaluate the platform at the customers’ facilities. Finally, the third phase is anticipated to include a broader commercial launch. We are currently in the collaboration phase during which we have entered into collaborations with a small number of research customers, including with biopharmaceutical companies and key academic opinion leaders in proteomics whose assessment and validation of our products can significantly influence other researchers in their respective markets and/or fields. During the second phase, we plan to provide early access to our collaborators with broad-scale and targeted analysis and profiling of samples analyzed in our facility and shared via a cloud platform. We expect to work closely with early access collaborators to demonstrate the unique value proposition of our Nautilus platform. As part of the early access limited release during the second phase, we plan to leverage our publications to drive awareness and customer demand to pre-sell instruments and reagents to select customers performing large-scale proteomics research. We believe there is significant interest in our platform for targeted proteoform analysis.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June 30, 2025, we had cash, cash equivalents and short-term investments of $147.9 million. As of the filing of this Quarterly Report on Form 10-Q, we believe that our existing cash, cash equivalents, and short-term investments will enable us to fund our planned operating expenses and capital expenditures through at least the next 12 months.</w:t>
      </w:r>
    </w:p>
    <w:p>
      <w:pPr>
        <w:spacing w:after="0" w:line="13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have incurred significant losses since the commencement of our operations. Our net loss was $31.6 million during the six months ended June 30, 2025, and we expect to continue to incur significant losses for the foreseeable future as we continue our research and development activities and planned commercialization of our Nautilus platform. As of June 30, 2025, we had an accumulated deficit of $304.7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extreme weather conditions, economic uncertainty, increased tariffs, inflation, changing interest rates,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3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including closures at certain chip manufacturers, which led to extended lead times for certain chips; diversion of certain lab materials needed to support COVID-19 relief efforts;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w:t>
      </w:r>
    </w:p>
    <w:p>
      <w:pPr>
        <w:spacing w:after="0" w:line="1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While we anticipate certain cost savings associated with our workforce reductions,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loss contingency accruals, and marketing expenses. We expense general and administrative expenses in the periods in which they are incurred.</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anticipate certain cost savings associated with our workforce reductions,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Other income consists of interest income on our cash, cash equivalents and investments, including accretion and amortization of discounts and premiums on marketable debt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to the Three Months Ended June 30,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2014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440"/>
        <w:spacing w:after="0"/>
        <w:tabs>
          <w:tab w:leader="none" w:pos="70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1954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6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800" w:space="720"/>
            <w:col w:w="2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$10.4 million for the three months ended June 30, 2025, compared to $12.4 million for the three months ended June 30, 2024, a decrease of $2.0 million, or 16%. The decrease was due to a $0.8 million decrease in salaries and related benefits driven by savings from the reduction in force implemented in March 2025, a $0.8 million decrease in laboratory and professional services due to continued focus on cost optimization and normal variability in the timing of research and development project activities, and a $0.5 million decrease in stock-based compensation driven by stock options granted at the time of the Merger becoming fully expensed during the period. Additional stock options granted since the Merger have had lower valuations and resulted in lower incremental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$6.7 million for the three months ended June 30, 2025, compared to $8.4 million for the three months ended June 30, 2024, a decrease of $1.7 million, or 20%. The decrease was due to a $1.1 million decrease in stock-based compensation driven by stock options granted at the time of the Merger becoming fully expensed during the period. Additional stock options granted since the Merger have had lower valuations and resulted in lower incremental expense. Also contributing to the decrease was a $0.7 million decrease in professional services attributable to legal and consulting fees including the resolution of the Standard Biotools legal matter.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7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June 30, 2025 decreased compared to the three months ended June 30, 2024. The decrease is attributable to the decrease in interest income as our cash, cash equivalents, and investments balance decreased during the period.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to the Six Months Ended June 30,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80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$21.9 million for the six months ended June 30, 2025, compared to $25.4 million for the six months ended June 30, 2024, a decrease of $3.4 million, or 14%. The decrease was due to a $2.0 million decrease in laboratory supplies and equipment expense attributable to continued focus on cost optimization and normal variability in the timing of research and development project activities. Also contributing to the decrease was a $0.8 million decrease in stock-based compensation driven by stock options granted at the time of the Merger becoming fully expensed during the period. Additional stock options granted since the Merger have had lower valuations and resulted in lower incremental expense. Also contributing to the decrease was a $0.7 million decrease in salaries and related benefits driven by savings from the reduction in force implemented in March 2025.</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$14.0 million for the six months ended June 30, 2025, compared to $17.0 million for the six months ended June 30, 2024, a decrease of $3.0 million, or 18%. The decrease was due to a $1.7 million decrease in stock-based compensation driven by stock options granted at the time of the Merger becoming fully expensed during the period. Additional stock options granted since the Merger have had lower valuations and resulted in lower incremental expense. Also contributing to the decrease was a $1.4 million decrease in professional services attributable to legal and general consulting fees. This decrease is driven by professional services from fees related to the shelf registration statement filed in February 2024 and the resolution of the Standard Biotools legal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7" w:name="page28"/>
    <w:bookmarkEnd w:id="27"/>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for the six months ended June 30, 2025 decreased compared to the six months ended June 30, 2024. The decrease is attributable to the decrease in interest income as our cash, cash equivalents, and investments balance decreased during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Our net loss was $31.6 million for the six months ended June 30, 2025. As of June 30, 2025, we had an accumulated deficit of</w:t>
      </w:r>
    </w:p>
    <w:p>
      <w:pPr>
        <w:ind w:right="20"/>
        <w:spacing w:after="0" w:line="253" w:lineRule="auto"/>
        <w:rPr>
          <w:sz w:val="20"/>
          <w:szCs w:val="20"/>
          <w:color w:val="auto"/>
        </w:rPr>
      </w:pPr>
      <w:r>
        <w:rPr>
          <w:rFonts w:ascii="Times New Roman" w:cs="Times New Roman" w:eastAsia="Times New Roman" w:hAnsi="Times New Roman"/>
          <w:sz w:val="18"/>
          <w:szCs w:val="18"/>
          <w:color w:val="auto"/>
        </w:rPr>
        <w:t>$304.7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June 30, 2025, we had cash, cash equivalents and investments of $179.5 million.</w:t>
      </w:r>
    </w:p>
    <w:p>
      <w:pPr>
        <w:spacing w:after="0" w:line="13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six months ended June 30, 2025, we did not sell any shares of common stock pursuant to the Sales Agreement.</w:t>
      </w:r>
    </w:p>
    <w:p>
      <w:pPr>
        <w:spacing w:after="0" w:line="13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shares of our common stock to be offered and sold under the Sales Agreement will be issued and sold pursuant to our shelf registration statement on Form S-3 (File No. 333-277437) (the “Shelf Registration Statement”), which was filed with the SEC on February 28, 2024 and which became effective March 6, 2024. No securities have yet been sold under the Shelf Registration Statement.</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Shelf Registration Statement will remain in effect for up to three years and allows us to sell from time to time up to $300.0 million of common stock, preferred stock, debt securities, depositary shares, warrants, subscription rights, purchase contracts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1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on May 2, 2025, we received a deficiency letter (the “Nasdaq Letter”) from the Nasdaq Listing Qualifications Staff, notifying the Company that we are not in compliance with Nasdaq Listing Rule 5450(a)(1), which requires the Company to maintain a minimum bid price of at least $1 per share for continued listing on The Nasdaq Global Select Market (the “Minimum Bid Requirement”). The Company’s failure to comply with the Minimum Bid Requirement was based on its common stock per share price being below the $1 threshold for a period of 30 consecutive trading days. Pursuant to the Nasdaq Letter,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Company has 180 calendar days from the date of the Nasdaq Letter to regain compliance, and may be eligible for up to an additional 180 days in accordance with applicable Nasdaq rules. If the Company does not regain compliance with the Minimum Bid Price Requirement by the end of the compliance period (or the second compliance period, if applicable), its common stock will become subject to delisting. The Company intends to monitor the closing bid price of its common stock during the compliance period(s) and may, if appropriate, consider available options to regain compliance with the Minimum Bid Price Requirement. However, there can be no assurance that the Company will be able to regain compliance with the Minimum Bid Price Requirement or will otherwise be in compliance with other Nasdaq Listing Rules.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7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implemented a workforce reduction in the first quarter of 2025. The cost-saving initiatives resulted in reductions to personnel-related expenses during the period and are expected to continue throughout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we expect our expenses and capital requirements will continue to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As of the filing of this Quarterly Report on Form 10-Q,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or our Shelf Registration Statement,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 and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net cash used in operating activities was $27.3 million, resulting from our net loss of $31.6 million and decrease in net changes in assets and liabilities aggregating $1.8 million. Net cash used in operating activities was partially offset by non-cash charges aggregating $6.2 million, which included $3.9 million of stock-based compensation, $2.3 million of amortization of operating lease right-of-use assets, and $0.9 million of depreciation. These non-cash charges were partially offset by $1.0 million of net accretion of discounts on securities.</w:t>
      </w:r>
    </w:p>
    <w:p>
      <w:pPr>
        <w:spacing w:after="0" w:line="12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was $31.7 million, resulting from our net loss of $36.7 million and decrease in net changes in assets and liabilities aggregating $3.1 million. Net cash used in operating activities was partially offset by non-cash charges aggregating $8.1 million, which included $6.4 million of stock-based compensation, $2.2 million amortization of operating lease right-of-use assets, and $1.0 million of depreciation. These non-cash charges were partially offset by $1.5 million of net accretion of discounts on securities.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investing activities was $34.0 million, resulting from $45.9 million in proceeds from the maturities of securities, partially offset by $11.3 million in purchases of securities and $0.6 million in purchases of property and equipment.</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investing activities was $36.6 million, resulting from $53.5 million in proceeds from maturities of securities, partially offset by $15.7 million in purchases of securities and $1.2 million in purchases of property and equipment.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cash provided by financing activities was comprised of $0.1 million of proceeds from the exercise of stock options and issuance of common stock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cash provided by financing activities was comprised of $0.6 million of proceeds from the exercise of stock options and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those disclosed in our audited financial statements as of and for the years ended December 31,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$179.5 million as of June 30, 2025.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June 30, 2025, the effect of a hypothetical 1.00% (100 basis point) change in interest rates would have changed the fair value of our marketable debt securities by $0.9 million. Such change would only be realized if we sold the marketable debt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2025.</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June 30, 2025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4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8"/>
          <w:szCs w:val="18"/>
          <w:color w:val="auto"/>
        </w:rPr>
      </w:pPr>
    </w:p>
    <w:p>
      <w:pPr>
        <w:ind w:right="8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07" w:lineRule="exact"/>
        <w:rPr>
          <w:rFonts w:ascii="Times New Roman" w:cs="Times New Roman" w:eastAsia="Times New Roman" w:hAnsi="Times New Roman"/>
          <w:sz w:val="18"/>
          <w:szCs w:val="18"/>
          <w:color w:val="auto"/>
        </w:rPr>
      </w:pPr>
    </w:p>
    <w:p>
      <w:pPr>
        <w:ind w:left="-40" w:right="66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40" w:right="38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the Middle East, increased tariffs, trade disputes and general economic downturns.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8"/>
          <w:szCs w:val="18"/>
          <w:color w:val="auto"/>
        </w:rPr>
      </w:pPr>
    </w:p>
    <w:p>
      <w:pPr>
        <w:ind w:left="-40" w:right="14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left="-40" w:right="20" w:firstLine="332"/>
        <w:spacing w:after="0" w:line="282" w:lineRule="auto"/>
        <w:tabs>
          <w:tab w:leader="none" w:pos="6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6" w:name="page37"/>
    <w:bookmarkEnd w:id="36"/>
    <w:p>
      <w:pPr>
        <w:spacing w:after="0" w:line="140" w:lineRule="exact"/>
        <w:rPr>
          <w:sz w:val="20"/>
          <w:szCs w:val="20"/>
          <w:color w:val="auto"/>
        </w:rPr>
      </w:pPr>
    </w:p>
    <w:p>
      <w:pPr>
        <w:ind w:right="160" w:firstLine="332"/>
        <w:spacing w:after="0" w:line="282"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$15.0 million and $31.6 million during the three and six months ended June 30, 2025, respectively and $18.0 million and $36.7 million during the three and six months ended June 30, 2024, respectively. As of June 30, 2025, we had an accumulated deficit of $304.7 million. These losses and accumulated deficit were primarily due to the substantial investments we made in the scientific and technological development of our Nautilus platform. While we anticipate continued cost savings associated with our workforce reductions,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3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which remains in the development stage and subject to 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3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academic opinion leaders exploring utility of pre-commercial versions of the platform,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phase, we plan to provide early access to our collaborators with broad-scale and targeted analysis and profiling of samples analyzed in our facility and shared via a cloud platform. We expect to work closely with early access collaborators to demonstrate the unique value proposition of our Nautilus platform As part of the early access limited release during the second phase, we plan to leverage our publications to drive awareness and customer demand to pre-sell instruments and reagents to select customers performing large-scale proteomics research. We believe there is significant interest in our platform for targeted proteoform analysis.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3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right="52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71"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 instruments and consumables;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7"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71" w:lineRule="exact"/>
        <w:rPr>
          <w:sz w:val="20"/>
          <w:szCs w:val="20"/>
          <w:color w:val="auto"/>
        </w:rPr>
      </w:pPr>
    </w:p>
    <w:p>
      <w:pPr>
        <w:ind w:right="20" w:firstLine="332"/>
        <w:spacing w:after="0" w:line="266"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2"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rely on single source suppliers for certain components and materials used in our Nautilus platform.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and Standard Biotools (formerly known as Somalogic). We also compete with a number of emerging companies that are developing proteomic products and solutions.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36"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2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volatility in the global financial markets, including with respect to any future financial institution failures;</w:t>
      </w:r>
    </w:p>
    <w:p>
      <w:pPr>
        <w:spacing w:after="0" w:line="107"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that may indirectly impact research institutions’ ability to allocate funds to different areas of research;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69" w:lineRule="exact"/>
        <w:rPr>
          <w:rFonts w:ascii="Times New Roman" w:cs="Times New Roman" w:eastAsia="Times New Roman" w:hAnsi="Times New Roman"/>
          <w:sz w:val="18"/>
          <w:szCs w:val="18"/>
          <w:color w:val="auto"/>
        </w:rPr>
      </w:pPr>
    </w:p>
    <w:p>
      <w:pPr>
        <w:ind w:right="220" w:firstLine="332"/>
        <w:spacing w:after="0" w:line="284"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availability of AI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based research and development approaches, such as in drug discovery, that could impact funding allocations for R&amp;D in the pharmaceutical and biotechnology industry;</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08" w:lineRule="exact"/>
        <w:rPr>
          <w:sz w:val="20"/>
          <w:szCs w:val="20"/>
          <w:color w:val="auto"/>
        </w:rPr>
      </w:pPr>
    </w:p>
    <w:p>
      <w:pPr>
        <w:ind w:right="160" w:firstLine="332"/>
        <w:spacing w:after="0" w:line="282"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and/or unpredictable tariffs on our products, and/or on parts or materials that we source from foreign suppliers;</w:t>
      </w:r>
    </w:p>
    <w:p>
      <w:pPr>
        <w:spacing w:after="0" w:line="171" w:lineRule="exact"/>
        <w:rPr>
          <w:rFonts w:ascii="Times New Roman" w:cs="Times New Roman" w:eastAsia="Times New Roman" w:hAnsi="Times New Roman"/>
          <w:sz w:val="18"/>
          <w:szCs w:val="18"/>
          <w:color w:val="auto"/>
        </w:rPr>
      </w:pPr>
    </w:p>
    <w:p>
      <w:pPr>
        <w:ind w:right="140" w:firstLine="332"/>
        <w:spacing w:after="0" w:line="266"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Eastern Europe and the Middle East,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1"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capital to fund our development and commercialization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71" w:lineRule="exact"/>
        <w:rPr>
          <w:rFonts w:ascii="Times New Roman" w:cs="Times New Roman" w:eastAsia="Times New Roman" w:hAnsi="Times New Roman"/>
          <w:sz w:val="18"/>
          <w:szCs w:val="18"/>
          <w:color w:val="auto"/>
        </w:rPr>
      </w:pPr>
    </w:p>
    <w:p>
      <w:pPr>
        <w:ind w:right="560" w:firstLine="332"/>
        <w:spacing w:after="0" w:line="282" w:lineRule="auto"/>
        <w:tabs>
          <w:tab w:leader="none" w:pos="6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Eastern Europe and the Middle East, changing interest rates, volatility in the global financial markets and general economic downturns;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We filed (i) on February 28, 2024, a shelf registration statement on Form S-3 with the SEC that became effective on March 6, 2024 and allows us to undertake various equity and debt offerings up to $300.0 million; and (ii) on March 6, 2024, a prospectus supplement to the shelf registration statement that covers the offering, issuance and sale of up to $125.0 million of our common stock from time to time through an “at-the-market” program under the Securities Act. Our ability to raise additional funds may be adversely impacted by potential worsening global economic conditions and disruptions to, and volatility in, the credit and financial markets in the United States and worldwide,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4"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volatility in the global financial markets.</w:t>
      </w:r>
    </w:p>
    <w:p>
      <w:pPr>
        <w:spacing w:after="0" w:line="12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attention from other aspects of our business. Any of the foregoing events could have a material adverse effect on our business, financial condition and results of operations.</w:t>
      </w:r>
    </w:p>
    <w:p>
      <w:pPr>
        <w:spacing w:after="0" w:line="104"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3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spacing w:after="0" w:line="129" w:lineRule="exact"/>
        <w:rPr>
          <w:sz w:val="20"/>
          <w:szCs w:val="20"/>
          <w:color w:val="auto"/>
        </w:rPr>
      </w:pPr>
    </w:p>
    <w:p>
      <w:pPr>
        <w:jc w:val="both"/>
        <w:ind w:right="60" w:firstLine="324"/>
        <w:spacing w:after="0" w:line="272"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defense of these matters can be time consuming, costly to defend in litigation, divert management’s attention and resources, damage our reputation and brand and cause us to incur significant expenses or make substantial payments.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9"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16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08" w:lineRule="exact"/>
        <w:rPr>
          <w:sz w:val="20"/>
          <w:szCs w:val="20"/>
          <w:color w:val="auto"/>
        </w:rPr>
      </w:pPr>
    </w:p>
    <w:p>
      <w:pPr>
        <w:ind w:left="340" w:right="700"/>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Litigation</w:t>
      </w:r>
    </w:p>
    <w:p>
      <w:pPr>
        <w:spacing w:after="0" w:line="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30"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340" w:right="120" w:hanging="8"/>
        <w:spacing w:after="0" w:line="435" w:lineRule="auto"/>
        <w:tabs>
          <w:tab w:leader="none" w:pos="6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(“IVDs”) are devices under the Federal Food, Drug, and Cosmetic Act, including when the manufacturer of the IVD is a laboratory, and phases out its enforcement discretion for LDTs. On March 31, 2025, the U.S. District Court for the Eastern District of Texas vacated and set aside the FDA LDT Final Rule in its entirety. Further,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which can lead to uncertainties in the industry.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spacing w:after="0" w:line="129"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have taken or will take effect in 2025; and Indiana, Rhode Island and Kentucky have enacted similar laws that will take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or otherwise processed as a result of a data breach. State laws are changing rapidly and there is discussion in the U.S. Congress of comprehensive federal data privacy legislation. It is possible that these or other laws, regulations, or other actual or asserted obligations relating to privacy or security matters may be interpreted and applied in a manner that is inconsistent with our practices. If so, this could result in government-imposed fines or orders requiring that we change our practices, which could adversely affect our business..</w:t>
      </w:r>
    </w:p>
    <w:p>
      <w:pPr>
        <w:spacing w:after="0" w:line="13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3"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We are in the process of evaluating compliance needs but do not currently have in place formal policies and procedures related to the storage, collection and processing of information, and have not conducted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7"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commercialize our Nautilus platform 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spacing w:after="0" w:line="12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71" w:lineRule="exact"/>
        <w:rPr>
          <w:rFonts w:ascii="Times New Roman" w:cs="Times New Roman" w:eastAsia="Times New Roman" w:hAnsi="Times New Roman"/>
          <w:sz w:val="18"/>
          <w:szCs w:val="18"/>
          <w:color w:val="auto"/>
        </w:rPr>
      </w:pPr>
    </w:p>
    <w:p>
      <w:pPr>
        <w:ind w:right="44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volatility;</w:t>
      </w:r>
    </w:p>
    <w:p>
      <w:pPr>
        <w:spacing w:after="0" w:line="171" w:lineRule="exact"/>
        <w:rPr>
          <w:rFonts w:ascii="Times New Roman" w:cs="Times New Roman" w:eastAsia="Times New Roman" w:hAnsi="Times New Roman"/>
          <w:sz w:val="18"/>
          <w:szCs w:val="18"/>
          <w:color w:val="auto"/>
        </w:rPr>
      </w:pPr>
    </w:p>
    <w:p>
      <w:pPr>
        <w:ind w:right="20" w:firstLine="332"/>
        <w:spacing w:after="0" w:line="266"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example, on January 15, 2025, the United States Department of Commerce Bureau of Industry and Security (“BIS”) issued an Interim Final Rule (“IFR”) implementing targeted export controls on certain laboratory instruments.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 and certain liquid chromatography mass spectrometers (LC/MS)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1"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6"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36"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9"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or changes in national laws or policies to protect or promote domestic interests and/or address foreign competition could have an adverse effect on our business and financial condition.</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spacing w:after="0" w:line="13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spacing w:after="0" w:line="14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3"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 Furthermore, defending a suit, regardless of its merit, could be costly, divert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2025, we had 128 employees. While in the first quarter of 2025 we implemented our workforce reductions,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spacing w:after="0" w:line="13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Workforce reductions, such as the workforce reduction implemented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0"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 changes in U.S. government spending resulting from new political administrations 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June 30, 2025, we had cash, cash equivalents and investments of $179.5 million, consisting of U.S. treasury securities, mutual funds, commercial paper, and agency securities. Any default by the U.S. government or credit downgrade of the securities we hold could impact the liquidity or valuation of our investments.</w:t>
      </w:r>
    </w:p>
    <w:p>
      <w:pPr>
        <w:spacing w:after="0" w:line="13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0"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facilities in Seattle, San Carlos and San Diego are vulnerable to natural disasters, public health crises,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5"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right="6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4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natural disasters or major catastrophic events.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36"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Common Stock is listed on Nasdaq. Nasdaq rules impose certain continued listing requirements, including a minimum $1.00 bid price (the “Minimum Bid Price Requirement”), corporate governance standards and number of public stockholders. On May 1, 2025, we received a letter from the Listing Qualifications Staff (“Staff”) of Nasdaq indicating that, based upon the closing bid price of shares of our Common Stock for the 30 consecutive business day period between March 19, 2025, through April 30, 2025, we did not meet the Minimum Bid Price Requirement for continued listing on the Nasdaq Global Select Market pursuant to Nasdaq Listing Rule 5450(a)(1). In accordance with Nasdaq’s listing rules, we have been afforded 180 calendar days, or until October 28, 2025 (the “Compliance Period”) to regain compliance with the Minimum Bid Price Requirement. In order to regain compliance, the bid price of our Common Stock must close at a price of at least $1.00 per share for a minimum of 10 consecutive trading days during the Compliance Period. In the event we do not regain compliance by the end of the Compliance Period, we may be eligible for an additional 180 calendar days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our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There can be no assurance that we will be eligible for the Second Compliance Period, if applicable, or that the Staff would grant our request for continued listing subsequent to any delisting notification and there can be no assurance that we will be able to regain or maintain compliance with the Minimum Bid Price Requirement or any other Nasdaq listing standards, if applicable.</w:t>
      </w:r>
    </w:p>
    <w:p>
      <w:pPr>
        <w:spacing w:after="0" w:line="14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7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are actively monitoring the closing bid price of our shares of Common Stock during the Compliance Period and may, if appropriate, evaluate available options to resolve the deficiency and regain compliance with the Minimum Bid Price Requirement. While we are exercising diligent efforts to maintain the listing of our Common Stock on the Nasdaq, there can be no assurance that we will be able to regain or maintain compliance with the Minimum Bid Price Requirement or any other Nasdaq listing standard.</w:t>
      </w:r>
    </w:p>
    <w:p>
      <w:pPr>
        <w:spacing w:after="0" w:line="122"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our directors, executive officers, holders of more than 5% of our outstanding shares of Common Stock and their respective affiliates beneficially owned a substantial portion of the outstanding shares of our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and may prevent attempts by our stockholders to replace or remove the board of directors or management.</w:t>
      </w:r>
    </w:p>
    <w:p>
      <w:pPr>
        <w:spacing w:after="0" w:line="167"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9" w:lineRule="exact"/>
        <w:rPr>
          <w:sz w:val="20"/>
          <w:szCs w:val="20"/>
          <w:color w:val="auto"/>
        </w:rPr>
      </w:pPr>
    </w:p>
    <w:p>
      <w:pPr>
        <w:ind w:right="240" w:firstLine="332"/>
        <w:spacing w:after="0" w:line="282"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left="340" w:right="6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2024, we had U.S. federal NOLs of $105.6 million, of which $105.1 million do not expire, and state NOLs of $150.4 million that will begin to expire in 2037.</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tax laws, regulations, and policies of U.S. federal, state and local taxing jurisdictions and may in the future be subject to the tax laws, regulations, and policies of other taxing jurisdictions. Changes in tax laws, including recently enacted U.S. federal tax legislation commonly referred to as the One Big Beautiful Bill Act (the “OBBB Act”), as well as other factors, could cause us to experience fluctuations in our tax obligations and effective tax rates and otherwise adversely affect our tax positions and/or our tax liabilities. We are currently evaluating the full impact of the OBBB Act on us. In addition,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implemented by several countries and is being considered for implementation by others.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Any new or changes to tax laws could adversely affect our future effective tax rate, operating results, tax credits or incentives or tax payments, which could have a material adverse effect on our future business, cash flows, results of operations or financial condition, including if we expand internationally.</w:t>
      </w:r>
    </w:p>
    <w:p>
      <w:pPr>
        <w:spacing w:after="0" w:line="134"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Investor advocacy groups, proxy advisory services, investment funds, institutional investors, stockholders, and customers are increasingly focused on environmental, social, and governance (“ESG”) practices of companies.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80" w:name="page81"/>
    <w:bookmarkEnd w:id="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60"/>
          </w:cols>
          <w:pgMar w:left="320" w:top="1440" w:right="419" w:bottom="1440" w:gutter="0" w:footer="0" w:header="0"/>
        </w:sectPr>
      </w:pP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000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15">
        <w:r>
          <w:rPr>
            <w:rFonts w:ascii="Times New Roman" w:cs="Times New Roman" w:eastAsia="Times New Roman" w:hAnsi="Times New Roman"/>
            <w:sz w:val="16"/>
            <w:szCs w:val="16"/>
            <w:u w:val="single" w:color="auto"/>
            <w:color w:val="0000FF"/>
          </w:rPr>
          <w:t>3.1</w:t>
        </w:r>
      </w:hyperlink>
    </w:p>
    <w:p>
      <w:pPr>
        <w:spacing w:after="0" w:line="221"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16">
        <w:r>
          <w:rPr>
            <w:rFonts w:ascii="Times New Roman" w:cs="Times New Roman" w:eastAsia="Times New Roman" w:hAnsi="Times New Roman"/>
            <w:sz w:val="16"/>
            <w:szCs w:val="16"/>
            <w:u w:val="single" w:color="auto"/>
            <w:color w:val="0000FF"/>
          </w:rPr>
          <w:t>3.2</w:t>
        </w:r>
      </w:hyperlink>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31.1*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Certificate of Incorporation of Nautilus Biotechnology, Inc. (incorporated by reference to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Form 8-K filed with the SEC on June 10, 2021)</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Amended and Restated Bylaws of Nautilus Biotechnology, Inc. (incorporated by reference to Exhibit 3.2 to the Company’s Quarterly</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Report on Form 10-Q filed with the SEC on August 2, 2023)</w:t>
        </w:r>
      </w:hyperlink>
    </w:p>
    <w:p>
      <w:pPr>
        <w:spacing w:after="0" w:line="1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740" w:space="480"/>
            <w:col w:w="9940"/>
          </w:cols>
          <w:pgMar w:left="320" w:top="1440" w:right="41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3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40" w:type="dxa"/>
            <w:vAlign w:val="bottom"/>
            <w:gridSpan w:val="6"/>
          </w:tcPr>
          <w:p>
            <w:pPr>
              <w:spacing w:after="0" w:line="170"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62"/>
        </w:trPr>
        <w:tc>
          <w:tcPr>
            <w:tcW w:w="3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560" w:type="dxa"/>
            <w:vAlign w:val="bottom"/>
            <w:tcBorders>
              <w:top w:val="single" w:sz="8" w:color="0000FF"/>
            </w:tcBorders>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
        </w:trPr>
        <w:tc>
          <w:tcPr>
            <w:tcW w:w="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7"/>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4"/>
                <w:szCs w:val="14"/>
                <w:color w:val="0000FF"/>
              </w:rPr>
              <w:t>†</w:t>
            </w:r>
          </w:p>
        </w:tc>
        <w:tc>
          <w:tcPr>
            <w:tcW w:w="9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62"/>
        </w:trPr>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60" w:type="dxa"/>
            <w:vAlign w:val="bottom"/>
            <w:tcBorders>
              <w:top w:val="single" w:sz="8" w:color="0000FF"/>
            </w:tcBorders>
            <w:gridSpan w:val="4"/>
          </w:tcPr>
          <w:p>
            <w:pPr>
              <w:spacing w:after="0"/>
              <w:rPr>
                <w:sz w:val="14"/>
                <w:szCs w:val="14"/>
                <w:color w:val="auto"/>
              </w:rPr>
            </w:pPr>
          </w:p>
        </w:tc>
        <w:tc>
          <w:tcPr>
            <w:tcW w:w="240" w:type="dxa"/>
            <w:vAlign w:val="bottom"/>
          </w:tcPr>
          <w:p>
            <w:pPr>
              <w:spacing w:after="0"/>
              <w:rPr>
                <w:sz w:val="14"/>
                <w:szCs w:val="14"/>
                <w:color w:val="auto"/>
              </w:rPr>
            </w:pPr>
          </w:p>
        </w:tc>
      </w:tr>
      <w:tr>
        <w:trPr>
          <w:trHeight w:val="217"/>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4"/>
                <w:szCs w:val="14"/>
                <w:color w:val="0000FF"/>
              </w:rPr>
              <w:t>†</w:t>
            </w:r>
          </w:p>
        </w:tc>
        <w:tc>
          <w:tcPr>
            <w:tcW w:w="9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62"/>
        </w:trPr>
        <w:tc>
          <w:tcPr>
            <w:tcW w:w="3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00" w:type="dxa"/>
            <w:vAlign w:val="bottom"/>
            <w:tcBorders>
              <w:top w:val="single" w:sz="8" w:color="0000FF"/>
            </w:tcBorders>
            <w:gridSpan w:val="2"/>
          </w:tcPr>
          <w:p>
            <w:pPr>
              <w:spacing w:after="0"/>
              <w:rPr>
                <w:sz w:val="14"/>
                <w:szCs w:val="14"/>
                <w:color w:val="auto"/>
              </w:rPr>
            </w:pPr>
          </w:p>
        </w:tc>
        <w:tc>
          <w:tcPr>
            <w:tcW w:w="300" w:type="dxa"/>
            <w:vAlign w:val="bottom"/>
            <w:gridSpan w:val="3"/>
          </w:tcPr>
          <w:p>
            <w:pPr>
              <w:spacing w:after="0"/>
              <w:rPr>
                <w:sz w:val="14"/>
                <w:szCs w:val="14"/>
                <w:color w:val="auto"/>
              </w:rPr>
            </w:pPr>
          </w:p>
        </w:tc>
      </w:tr>
      <w:tr>
        <w:trPr>
          <w:trHeight w:val="210"/>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9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20" w:hanging="1194"/>
        <w:spacing w:after="0"/>
        <w:tabs>
          <w:tab w:leader="none" w:pos="1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ind w:left="340" w:right="20" w:hanging="332"/>
        <w:spacing w:after="0" w:line="272" w:lineRule="auto"/>
        <w:tabs>
          <w:tab w:leader="none" w:pos="1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81" w:name="page82"/>
    <w:bookmarkEnd w:id="8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84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49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8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2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2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8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2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2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60"/>
          </w:cols>
          <w:pgMar w:left="320" w:top="1440" w:right="4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June 30, 2025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June 30, 2025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0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5" Type="http://schemas.openxmlformats.org/officeDocument/2006/relationships/hyperlink" Target="https://www.sec.gov/Archives/edgar/data/1808805/000162828021011892/exhibit31-form8xkclosing.htm" TargetMode="External"/><Relationship Id="rId116" Type="http://schemas.openxmlformats.org/officeDocument/2006/relationships/hyperlink" Target="https://www.sec.gov/Archives/edgar/data/1808805/000180880523000069/exhibit32-nautilusbiotech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2025-07-31T15:43:33Z</dcterms:created>
  <dcterms:modified xsi:type="dcterms:W3CDTF">2025-07-31T15:43:33Z</dcterms:modified>
</cp:coreProperties>
</file>