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24, 2025</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February 27, 2025, Nautilus Biotechnology, Inc. (the “Company”) issued a press release reporting its financial results for the quarter and fiscal year ended December 31, 2024. A copy of the press release is furnished herewith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9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Reclassification</w:t>
      </w:r>
    </w:p>
    <w:p>
      <w:pPr>
        <w:spacing w:after="0" w:line="24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previously reported, on January 27 and 28, 2025, each of Vijay Pande and Michael Altman, respectively, informed the Company that he will not stand for re-election to the Company’s board of directors (the “Board”) at the Company’s 2025 annual meeting of stockholders (the “Annual Meeting”).</w:t>
      </w:r>
    </w:p>
    <w:p>
      <w:pPr>
        <w:spacing w:after="0" w:line="17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In connection with each of Dr. Pande’s and Mr. Altman’s decision not to stand for re-election at the Annual Meeting, in order to maintain all classes of the Board as nearly equal in number as is practicable, on February 24, 2025, Matthew McIlwain agreed to resign as a Class II director, effective as of the opening of the polls for the election of Class I directors at the Annual Meeting, and to stand for election to the Board as a Class I director at the Annual Meeting. In connection therewith, the Board has nominated Matthew McIlwain for election as a Class I director at the Annual Meeting, as well as current Class I director Sujal Patel. Mr. McIlwain’s agreement to resign is solely to maintain the size of each class of directors as nearly equal in number as is practicable and to stand for election as a Class I director at the Annual Meeting and, subject to his election to the Board as a Class I director at the Annual Meeting, his service on the Board will continue uninterrupted without any break in service.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Also in connection with the decisions by Dr. Pande and Mr. Altman not to stand for re-election to the Board at the Annual Meeting, the Board has approved decreasing the authorized number of directors to seven (7) directorships, effective upon the opening of the polls for the election of Class I directors at the Annual Meeting, consisting of two Class I directorships, two Class II directorships and three Class III directorships.</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dated February 27, 2025.</w:t>
      </w:r>
    </w:p>
    <w:p>
      <w:pPr>
        <w:spacing w:after="0" w:line="27" w:lineRule="exact"/>
        <w:rPr>
          <w:sz w:val="20"/>
          <w:szCs w:val="20"/>
          <w:color w:val="auto"/>
        </w:rPr>
      </w:pPr>
    </w:p>
    <w:p>
      <w:pPr>
        <w:ind w:left="980" w:hanging="95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2025</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Reports Fourth Quarter and Fiscal Year 2024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SEATTLE, WA, </w:t>
      </w:r>
      <w:r>
        <w:rPr>
          <w:rFonts w:ascii="Times New Roman" w:cs="Times New Roman" w:eastAsia="Times New Roman" w:hAnsi="Times New Roman"/>
          <w:sz w:val="18"/>
          <w:szCs w:val="18"/>
          <w:color w:val="auto"/>
        </w:rPr>
        <w:t>February 27, 2025 – Nautilus Biotechnology, Inc. (NASDAQ: NAUT; or “Nautilus”), a company pioneering a single-molecule proteome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platform, today reported financial results for the fourth quarter and fiscal year ended December 31, 2024.</w:t>
      </w:r>
    </w:p>
    <w:p>
      <w:pPr>
        <w:spacing w:after="0" w:line="186"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total operating expenses for the fourth quarter of 2024 were $20.0 million, roughly equal to the fourth quarter of 2023, and $0.9 million above last quarter reflecting an ongoing focus on expense management;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an expectation that the launch of Nautilus’ proteome analysis platform - instruments and reagents - will occur in late 2026;</w:t>
      </w:r>
    </w:p>
    <w:p>
      <w:pPr>
        <w:spacing w:after="0" w:line="9" w:lineRule="exact"/>
        <w:rPr>
          <w:rFonts w:ascii="Times New Roman" w:cs="Times New Roman" w:eastAsia="Times New Roman" w:hAnsi="Times New Roman"/>
          <w:sz w:val="18"/>
          <w:szCs w:val="18"/>
          <w:color w:val="auto"/>
        </w:rPr>
      </w:pPr>
    </w:p>
    <w:p>
      <w:pPr>
        <w:ind w:left="660" w:right="12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reduction in headcount of approximately 16% in order to appropriately align the resources needed to pursue key development goals with the desire to extend the company’s cash runway.</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“2024 was a year of innovation and meaningful accomplishment for Nautilus,” said Sujal Patel, CEO of Nautilus Biotechnology. “From unveiling the world’s first quantitative measurement of biological variation in tau proteoforms potentially associated with Alzheimer’s Disease, to fundamental platform development advancements, I’m pleased with the progress of last year. Our revised timeline expectations for commercial launch are based on efforts required to implement modifications to our platform’s assay configuration and surface chemistry that we believe will significantly reduce technical risk and yield the greatest possible platform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and Fiscal Year 2024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were $20.0 million for the three months ended December 31, 2024, flat compared to $20.0 million for the three months ended December 31, 2023. Operating expenses were $81.5 million for the year ended December 31, 2024, a $5.3 million or 7% increase from $76.2 million for the year ended December 31, 2023. The increase in operating expense is attributable to continued headcount growth throughout the year to support product development.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was $17.6 million for the fourth quarter of 2024, as compared to the net loss of $17.0 million for the corresponding prior year period. Net loss was $70.8 million for the year ended December 31, 2024, as compared to the net loss of $63.7 million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$206.3 million as of December 31,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Outlook</w:t>
      </w:r>
    </w:p>
    <w:p>
      <w:pPr>
        <w:spacing w:after="0" w:line="3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expect operating expenses to be at or below 2024 levels.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cash, cash equivalents and investments of $206.3 million as of December 31, 2024 will provide a runway through 2027.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Nautilus will host a conference call to discuss the fourth quarter and fiscal year 2024 financial results, business developments and outlook before market open on Thursday, February 27, 2025, at 5:30 AM Pacific Time / 8:30 AM Eastern Time. Live audio of the webcast will be available on the “Investors” section of the company website at: </w:t>
      </w:r>
      <w:r>
        <w:rPr>
          <w:rFonts w:ascii="Times New Roman" w:cs="Times New Roman" w:eastAsia="Times New Roman" w:hAnsi="Times New Roman"/>
          <w:sz w:val="18"/>
          <w:szCs w:val="18"/>
          <w:u w:val="single" w:color="auto"/>
          <w:color w:val="0563C1"/>
        </w:rPr>
        <w:t>www.nautilus.bio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regarding operating expenses and cash runway; expectations with respect to any revenue timing or projections, expectations with respect to the development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required for and the timing of the launch of Nautilus’ product platform and full commercial availability, the functionality and performance of Nautilus’ product platform, its potential impact on providing proteome or proteoform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to be filed for the year ended December 31, 2024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December 31, 2024 and December 31, 2023 (Unaudited)</w:t>
      </w:r>
    </w:p>
    <w:p>
      <w:pPr>
        <w:spacing w:after="0" w:line="200" w:lineRule="exact"/>
        <w:rPr>
          <w:sz w:val="20"/>
          <w:szCs w:val="20"/>
          <w:color w:val="auto"/>
        </w:rPr>
      </w:pPr>
    </w:p>
    <w:p>
      <w:pPr>
        <w:spacing w:after="0" w:line="349"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74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20" w:type="dxa"/>
            <w:vAlign w:val="bottom"/>
            <w:vMerge w:val="continue"/>
          </w:tcPr>
          <w:p>
            <w:pPr>
              <w:spacing w:after="0"/>
              <w:rPr>
                <w:sz w:val="18"/>
                <w:szCs w:val="18"/>
                <w:color w:val="auto"/>
              </w:rPr>
            </w:pPr>
          </w:p>
        </w:tc>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8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176,837</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74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0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8"/>
        </w:trPr>
        <w:tc>
          <w:tcPr>
            <w:tcW w:w="45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40" w:top="14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Months and Year Ended December 31, 2024 and 2023 (Unaudited)</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6"/>
                <w:szCs w:val="16"/>
                <w:color w:val="auto"/>
              </w:rPr>
            </w:pPr>
          </w:p>
        </w:tc>
        <w:tc>
          <w:tcPr>
            <w:tcW w:w="26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0" w:type="dxa"/>
            <w:vAlign w:val="bottom"/>
          </w:tcPr>
          <w:p>
            <w:pPr>
              <w:spacing w:after="0"/>
              <w:rPr>
                <w:sz w:val="1"/>
                <w:szCs w:val="1"/>
                <w:color w:val="auto"/>
              </w:rPr>
            </w:pP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20" w:type="dxa"/>
            <w:vAlign w:val="bottom"/>
            <w:vMerge w:val="continue"/>
          </w:tcPr>
          <w:p>
            <w:pPr>
              <w:spacing w:after="0"/>
              <w:rPr>
                <w:sz w:val="10"/>
                <w:szCs w:val="10"/>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2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125,796,018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124,984,918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125,426,509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124,919,144</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40" w:top="14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 Ended December 31, 2024 and 2023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4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(accretion) of premium (discount) on securities,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in connection with asset acquisition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(95,078)</w:t>
            </w: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00"/>
      </w:cols>
      <w:pgMar w:left="340" w:top="1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2025-02-27T05:08:40Z</dcterms:created>
  <dcterms:modified xsi:type="dcterms:W3CDTF">2025-02-27T05:08:40Z</dcterms:modified>
</cp:coreProperties>
</file>