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166370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286385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SECURITIES AND EXCHANGE COMMISSION</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9" w:lineRule="exact"/>
        <w:rPr>
          <w:sz w:val="24"/>
          <w:szCs w:val="24"/>
          <w:color w:val="auto"/>
        </w:rPr>
      </w:pPr>
    </w:p>
    <w:p>
      <w:pPr>
        <w:ind w:left="4660"/>
        <w:spacing w:after="0"/>
        <w:rPr>
          <w:sz w:val="20"/>
          <w:szCs w:val="20"/>
          <w:color w:val="auto"/>
        </w:rPr>
      </w:pPr>
      <w:r>
        <w:rPr>
          <w:rFonts w:ascii="Arial" w:cs="Arial" w:eastAsia="Arial" w:hAnsi="Arial"/>
          <w:sz w:val="22"/>
          <w:szCs w:val="22"/>
          <w:b w:val="1"/>
          <w:bCs w:val="1"/>
          <w:color w:val="auto"/>
        </w:rPr>
        <w:t>__________________</w:t>
      </w:r>
    </w:p>
    <w:p>
      <w:pPr>
        <w:spacing w:after="0" w:line="21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8-A</w:t>
      </w:r>
    </w:p>
    <w:p>
      <w:pPr>
        <w:spacing w:after="0" w:line="34" w:lineRule="exact"/>
        <w:rPr>
          <w:sz w:val="24"/>
          <w:szCs w:val="24"/>
          <w:color w:val="auto"/>
        </w:rPr>
      </w:pPr>
    </w:p>
    <w:p>
      <w:pPr>
        <w:ind w:left="4660"/>
        <w:spacing w:after="0"/>
        <w:rPr>
          <w:sz w:val="20"/>
          <w:szCs w:val="20"/>
          <w:color w:val="auto"/>
        </w:rPr>
      </w:pPr>
      <w:r>
        <w:rPr>
          <w:rFonts w:ascii="Arial" w:cs="Arial" w:eastAsia="Arial" w:hAnsi="Arial"/>
          <w:sz w:val="22"/>
          <w:szCs w:val="22"/>
          <w:b w:val="1"/>
          <w:bCs w:val="1"/>
          <w:color w:val="auto"/>
        </w:rPr>
        <w:t>__________________</w:t>
      </w:r>
    </w:p>
    <w:p>
      <w:pPr>
        <w:spacing w:after="0" w:line="215" w:lineRule="exact"/>
        <w:rPr>
          <w:sz w:val="24"/>
          <w:szCs w:val="24"/>
          <w:color w:val="auto"/>
        </w:rPr>
      </w:pPr>
    </w:p>
    <w:p>
      <w:pPr>
        <w:jc w:val="center"/>
        <w:ind w:left="340" w:right="2660"/>
        <w:spacing w:after="0"/>
        <w:rPr>
          <w:sz w:val="20"/>
          <w:szCs w:val="20"/>
          <w:color w:val="auto"/>
        </w:rPr>
      </w:pPr>
      <w:r>
        <w:rPr>
          <w:rFonts w:ascii="Arial" w:cs="Arial" w:eastAsia="Arial" w:hAnsi="Arial"/>
          <w:sz w:val="22"/>
          <w:szCs w:val="22"/>
          <w:color w:val="auto"/>
        </w:rPr>
        <w:t>FOR REGISTRATION OF CERTAIN CLASSES OF SECURITIES PURSUANT TO SECTION 12(b) OR 12(g) OF THE SECURITIES EXCHANGE ACT OF 1934</w:t>
      </w:r>
    </w:p>
    <w:p>
      <w:pPr>
        <w:spacing w:after="0" w:line="19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ARYA SCIENCES ACQUISITION CORP III</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(Exact name of registrant as specified in its charter)</w:t>
      </w:r>
    </w:p>
    <w:p>
      <w:pPr>
        <w:ind w:left="4660"/>
        <w:spacing w:after="0"/>
        <w:rPr>
          <w:sz w:val="20"/>
          <w:szCs w:val="20"/>
          <w:color w:val="auto"/>
        </w:rPr>
      </w:pPr>
      <w:r>
        <w:rPr>
          <w:rFonts w:ascii="Arial" w:cs="Arial" w:eastAsia="Arial" w:hAnsi="Arial"/>
          <w:sz w:val="22"/>
          <w:szCs w:val="22"/>
          <w:b w:val="1"/>
          <w:bCs w:val="1"/>
          <w:color w:val="auto"/>
        </w:rPr>
        <w:t>__________________</w:t>
      </w:r>
    </w:p>
    <w:p>
      <w:pPr>
        <w:spacing w:after="0" w:line="218" w:lineRule="exact"/>
        <w:rPr>
          <w:sz w:val="24"/>
          <w:szCs w:val="24"/>
          <w:color w:val="auto"/>
        </w:rPr>
      </w:pPr>
    </w:p>
    <w:tbl>
      <w:tblPr>
        <w:tblLayout w:type="fixed"/>
        <w:tblInd w:w="0" w:type="dxa"/>
        <w:tblCellMar>
          <w:top w:w="0" w:type="dxa"/>
          <w:left w:w="0" w:type="dxa"/>
          <w:bottom w:w="0" w:type="dxa"/>
          <w:right w:w="0" w:type="dxa"/>
        </w:tblCellMar>
      </w:tblPr>
      <w:tr>
        <w:trPr>
          <w:trHeight w:val="220"/>
        </w:trPr>
        <w:tc>
          <w:tcPr>
            <w:tcW w:w="5820" w:type="dxa"/>
            <w:vAlign w:val="bottom"/>
          </w:tcPr>
          <w:p>
            <w:pPr>
              <w:jc w:val="center"/>
              <w:ind w:right="2028"/>
              <w:spacing w:after="0"/>
              <w:rPr>
                <w:sz w:val="20"/>
                <w:szCs w:val="20"/>
                <w:color w:val="auto"/>
              </w:rPr>
            </w:pPr>
            <w:r>
              <w:rPr>
                <w:rFonts w:ascii="Arial" w:cs="Arial" w:eastAsia="Arial" w:hAnsi="Arial"/>
                <w:sz w:val="18"/>
                <w:szCs w:val="18"/>
                <w:b w:val="1"/>
                <w:bCs w:val="1"/>
                <w:color w:val="auto"/>
                <w:w w:val="91"/>
              </w:rPr>
              <w:t>Cayman Islands</w:t>
            </w:r>
          </w:p>
        </w:tc>
        <w:tc>
          <w:tcPr>
            <w:tcW w:w="5420" w:type="dxa"/>
            <w:vAlign w:val="bottom"/>
            <w:vMerge w:val="restart"/>
          </w:tcPr>
          <w:p>
            <w:pPr>
              <w:jc w:val="right"/>
              <w:ind w:right="1330"/>
              <w:spacing w:after="0"/>
              <w:rPr>
                <w:sz w:val="20"/>
                <w:szCs w:val="20"/>
                <w:color w:val="auto"/>
              </w:rPr>
            </w:pPr>
            <w:r>
              <w:rPr>
                <w:rFonts w:ascii="Arial" w:cs="Arial" w:eastAsia="Arial" w:hAnsi="Arial"/>
                <w:sz w:val="18"/>
                <w:szCs w:val="18"/>
                <w:b w:val="1"/>
                <w:bCs w:val="1"/>
                <w:color w:val="auto"/>
              </w:rPr>
              <w:t>98-1541723</w:t>
            </w:r>
          </w:p>
        </w:tc>
        <w:tc>
          <w:tcPr>
            <w:tcW w:w="0" w:type="dxa"/>
            <w:vAlign w:val="bottom"/>
          </w:tcPr>
          <w:p>
            <w:pPr>
              <w:spacing w:after="0"/>
              <w:rPr>
                <w:sz w:val="1"/>
                <w:szCs w:val="1"/>
                <w:color w:val="auto"/>
              </w:rPr>
            </w:pPr>
          </w:p>
        </w:tc>
      </w:tr>
      <w:tr>
        <w:trPr>
          <w:trHeight w:val="216"/>
        </w:trPr>
        <w:tc>
          <w:tcPr>
            <w:tcW w:w="5820" w:type="dxa"/>
            <w:vAlign w:val="bottom"/>
          </w:tcPr>
          <w:p>
            <w:pPr>
              <w:jc w:val="center"/>
              <w:ind w:right="2028"/>
              <w:spacing w:after="0"/>
              <w:rPr>
                <w:sz w:val="20"/>
                <w:szCs w:val="20"/>
                <w:color w:val="auto"/>
              </w:rPr>
            </w:pPr>
            <w:r>
              <w:rPr>
                <w:rFonts w:ascii="Arial" w:cs="Arial" w:eastAsia="Arial" w:hAnsi="Arial"/>
                <w:sz w:val="18"/>
                <w:szCs w:val="18"/>
                <w:color w:val="auto"/>
                <w:w w:val="92"/>
              </w:rPr>
              <w:t>(State or other jurisdiction of incorporation</w:t>
            </w:r>
          </w:p>
        </w:tc>
        <w:tc>
          <w:tcPr>
            <w:tcW w:w="54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820" w:type="dxa"/>
            <w:vAlign w:val="bottom"/>
          </w:tcPr>
          <w:p>
            <w:pPr>
              <w:jc w:val="center"/>
              <w:ind w:right="2028"/>
              <w:spacing w:after="0"/>
              <w:rPr>
                <w:sz w:val="20"/>
                <w:szCs w:val="20"/>
                <w:color w:val="auto"/>
              </w:rPr>
            </w:pPr>
            <w:r>
              <w:rPr>
                <w:rFonts w:ascii="Arial" w:cs="Arial" w:eastAsia="Arial" w:hAnsi="Arial"/>
                <w:sz w:val="18"/>
                <w:szCs w:val="18"/>
                <w:color w:val="auto"/>
                <w:w w:val="91"/>
              </w:rPr>
              <w:t>or organization)</w:t>
            </w:r>
          </w:p>
        </w:tc>
        <w:tc>
          <w:tcPr>
            <w:tcW w:w="5420" w:type="dxa"/>
            <w:vAlign w:val="bottom"/>
          </w:tcPr>
          <w:p>
            <w:pPr>
              <w:jc w:val="center"/>
              <w:ind w:left="1610"/>
              <w:spacing w:after="0"/>
              <w:rPr>
                <w:sz w:val="20"/>
                <w:szCs w:val="20"/>
                <w:color w:val="auto"/>
              </w:rPr>
            </w:pPr>
            <w:r>
              <w:rPr>
                <w:rFonts w:ascii="Arial" w:cs="Arial" w:eastAsia="Arial" w:hAnsi="Arial"/>
                <w:sz w:val="18"/>
                <w:szCs w:val="18"/>
                <w:color w:val="auto"/>
                <w:w w:val="93"/>
              </w:rPr>
              <w:t>(I.R.S. Employer Identification No.)</w:t>
            </w:r>
          </w:p>
        </w:tc>
        <w:tc>
          <w:tcPr>
            <w:tcW w:w="0" w:type="dxa"/>
            <w:vAlign w:val="bottom"/>
          </w:tcPr>
          <w:p>
            <w:pPr>
              <w:spacing w:after="0"/>
              <w:rPr>
                <w:sz w:val="1"/>
                <w:szCs w:val="1"/>
                <w:color w:val="auto"/>
              </w:rPr>
            </w:pPr>
          </w:p>
        </w:tc>
      </w:tr>
      <w:tr>
        <w:trPr>
          <w:trHeight w:val="216"/>
        </w:trPr>
        <w:tc>
          <w:tcPr>
            <w:tcW w:w="5820" w:type="dxa"/>
            <w:vAlign w:val="bottom"/>
          </w:tcPr>
          <w:p>
            <w:pPr>
              <w:jc w:val="center"/>
              <w:ind w:right="2028"/>
              <w:spacing w:after="0"/>
              <w:rPr>
                <w:sz w:val="20"/>
                <w:szCs w:val="20"/>
                <w:color w:val="auto"/>
              </w:rPr>
            </w:pPr>
            <w:r>
              <w:rPr>
                <w:rFonts w:ascii="Arial" w:cs="Arial" w:eastAsia="Arial" w:hAnsi="Arial"/>
                <w:sz w:val="18"/>
                <w:szCs w:val="18"/>
                <w:b w:val="1"/>
                <w:bCs w:val="1"/>
                <w:color w:val="auto"/>
                <w:w w:val="91"/>
              </w:rPr>
              <w:t>51 Astor Place, 10th Floor</w:t>
            </w:r>
          </w:p>
        </w:tc>
        <w:tc>
          <w:tcPr>
            <w:tcW w:w="5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jc w:val="center"/>
              <w:ind w:right="2028"/>
              <w:spacing w:after="0"/>
              <w:rPr>
                <w:sz w:val="20"/>
                <w:szCs w:val="20"/>
                <w:color w:val="auto"/>
              </w:rPr>
            </w:pPr>
            <w:r>
              <w:rPr>
                <w:rFonts w:ascii="Arial" w:cs="Arial" w:eastAsia="Arial" w:hAnsi="Arial"/>
                <w:sz w:val="18"/>
                <w:szCs w:val="18"/>
                <w:b w:val="1"/>
                <w:bCs w:val="1"/>
                <w:color w:val="auto"/>
                <w:w w:val="93"/>
              </w:rPr>
              <w:t>New York, New York</w:t>
            </w:r>
          </w:p>
        </w:tc>
        <w:tc>
          <w:tcPr>
            <w:tcW w:w="5420" w:type="dxa"/>
            <w:vAlign w:val="bottom"/>
          </w:tcPr>
          <w:p>
            <w:pPr>
              <w:jc w:val="right"/>
              <w:ind w:right="1550"/>
              <w:spacing w:after="0"/>
              <w:rPr>
                <w:sz w:val="20"/>
                <w:szCs w:val="20"/>
                <w:color w:val="auto"/>
              </w:rPr>
            </w:pPr>
            <w:r>
              <w:rPr>
                <w:rFonts w:ascii="Arial" w:cs="Arial" w:eastAsia="Arial" w:hAnsi="Arial"/>
                <w:sz w:val="18"/>
                <w:szCs w:val="18"/>
                <w:b w:val="1"/>
                <w:bCs w:val="1"/>
                <w:color w:val="auto"/>
              </w:rPr>
              <w:t>10003</w:t>
            </w:r>
          </w:p>
        </w:tc>
        <w:tc>
          <w:tcPr>
            <w:tcW w:w="0" w:type="dxa"/>
            <w:vAlign w:val="bottom"/>
          </w:tcPr>
          <w:p>
            <w:pPr>
              <w:spacing w:after="0"/>
              <w:rPr>
                <w:sz w:val="1"/>
                <w:szCs w:val="1"/>
                <w:color w:val="auto"/>
              </w:rPr>
            </w:pPr>
          </w:p>
        </w:tc>
      </w:tr>
      <w:tr>
        <w:trPr>
          <w:trHeight w:val="234"/>
        </w:trPr>
        <w:tc>
          <w:tcPr>
            <w:tcW w:w="5820" w:type="dxa"/>
            <w:vAlign w:val="bottom"/>
          </w:tcPr>
          <w:p>
            <w:pPr>
              <w:jc w:val="center"/>
              <w:ind w:right="2028"/>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5420" w:type="dxa"/>
            <w:vAlign w:val="bottom"/>
          </w:tcPr>
          <w:p>
            <w:pPr>
              <w:jc w:val="center"/>
              <w:ind w:left="1610"/>
              <w:spacing w:after="0"/>
              <w:rPr>
                <w:sz w:val="20"/>
                <w:szCs w:val="20"/>
                <w:color w:val="auto"/>
              </w:rPr>
            </w:pPr>
            <w:r>
              <w:rPr>
                <w:rFonts w:ascii="Arial" w:cs="Arial" w:eastAsia="Arial" w:hAnsi="Arial"/>
                <w:sz w:val="18"/>
                <w:szCs w:val="18"/>
                <w:b w:val="1"/>
                <w:bCs w:val="1"/>
                <w:color w:val="auto"/>
                <w:w w:val="94"/>
              </w:rPr>
              <w:t>(Zip Code)</w:t>
            </w:r>
          </w:p>
        </w:tc>
        <w:tc>
          <w:tcPr>
            <w:tcW w:w="0" w:type="dxa"/>
            <w:vAlign w:val="bottom"/>
          </w:tcPr>
          <w:p>
            <w:pPr>
              <w:spacing w:after="0"/>
              <w:rPr>
                <w:sz w:val="1"/>
                <w:szCs w:val="1"/>
                <w:color w:val="auto"/>
              </w:rPr>
            </w:pPr>
          </w:p>
        </w:tc>
      </w:tr>
      <w:tr>
        <w:trPr>
          <w:trHeight w:val="496"/>
        </w:trPr>
        <w:tc>
          <w:tcPr>
            <w:tcW w:w="11240" w:type="dxa"/>
            <w:vAlign w:val="bottom"/>
            <w:gridSpan w:val="2"/>
          </w:tcPr>
          <w:p>
            <w:pPr>
              <w:ind w:left="2740"/>
              <w:spacing w:after="0"/>
              <w:rPr>
                <w:sz w:val="20"/>
                <w:szCs w:val="20"/>
                <w:color w:val="auto"/>
              </w:rPr>
            </w:pPr>
            <w:r>
              <w:rPr>
                <w:rFonts w:ascii="Arial" w:cs="Arial" w:eastAsia="Arial" w:hAnsi="Arial"/>
                <w:sz w:val="22"/>
                <w:szCs w:val="22"/>
                <w:b w:val="1"/>
                <w:bCs w:val="1"/>
                <w:color w:val="auto"/>
              </w:rPr>
              <w:t>Securities to be registered pursuant to Section 12(b) of the Act:</w:t>
            </w:r>
          </w:p>
        </w:tc>
        <w:tc>
          <w:tcPr>
            <w:tcW w:w="0" w:type="dxa"/>
            <w:vAlign w:val="bottom"/>
          </w:tcPr>
          <w:p>
            <w:pPr>
              <w:spacing w:after="0"/>
              <w:rPr>
                <w:sz w:val="1"/>
                <w:szCs w:val="1"/>
                <w:color w:val="auto"/>
              </w:rPr>
            </w:pPr>
          </w:p>
        </w:tc>
      </w:tr>
      <w:tr>
        <w:trPr>
          <w:trHeight w:val="431"/>
        </w:trPr>
        <w:tc>
          <w:tcPr>
            <w:tcW w:w="5820" w:type="dxa"/>
            <w:vAlign w:val="bottom"/>
          </w:tcPr>
          <w:p>
            <w:pPr>
              <w:jc w:val="center"/>
              <w:ind w:right="88"/>
              <w:spacing w:after="0"/>
              <w:rPr>
                <w:sz w:val="20"/>
                <w:szCs w:val="20"/>
                <w:color w:val="auto"/>
              </w:rPr>
            </w:pPr>
            <w:r>
              <w:rPr>
                <w:rFonts w:ascii="Arial" w:cs="Arial" w:eastAsia="Arial" w:hAnsi="Arial"/>
                <w:sz w:val="18"/>
                <w:szCs w:val="18"/>
                <w:b w:val="1"/>
                <w:bCs w:val="1"/>
                <w:color w:val="auto"/>
                <w:w w:val="87"/>
              </w:rPr>
              <w:t>Title of each class</w:t>
            </w:r>
          </w:p>
        </w:tc>
        <w:tc>
          <w:tcPr>
            <w:tcW w:w="5420" w:type="dxa"/>
            <w:vAlign w:val="bottom"/>
          </w:tcPr>
          <w:p>
            <w:pPr>
              <w:jc w:val="center"/>
              <w:ind w:right="110"/>
              <w:spacing w:after="0"/>
              <w:rPr>
                <w:sz w:val="20"/>
                <w:szCs w:val="20"/>
                <w:color w:val="auto"/>
              </w:rPr>
            </w:pPr>
            <w:r>
              <w:rPr>
                <w:rFonts w:ascii="Arial" w:cs="Arial" w:eastAsia="Arial" w:hAnsi="Arial"/>
                <w:sz w:val="18"/>
                <w:szCs w:val="18"/>
                <w:b w:val="1"/>
                <w:bCs w:val="1"/>
                <w:color w:val="auto"/>
                <w:w w:val="88"/>
              </w:rPr>
              <w:t>Name of each exchange on which</w:t>
            </w:r>
          </w:p>
        </w:tc>
        <w:tc>
          <w:tcPr>
            <w:tcW w:w="0" w:type="dxa"/>
            <w:vAlign w:val="bottom"/>
          </w:tcPr>
          <w:p>
            <w:pPr>
              <w:spacing w:after="0"/>
              <w:rPr>
                <w:sz w:val="1"/>
                <w:szCs w:val="1"/>
                <w:color w:val="auto"/>
              </w:rPr>
            </w:pPr>
          </w:p>
        </w:tc>
      </w:tr>
      <w:tr>
        <w:trPr>
          <w:trHeight w:val="241"/>
        </w:trPr>
        <w:tc>
          <w:tcPr>
            <w:tcW w:w="5820" w:type="dxa"/>
            <w:vAlign w:val="bottom"/>
            <w:tcBorders>
              <w:bottom w:val="single" w:sz="8" w:color="auto"/>
            </w:tcBorders>
          </w:tcPr>
          <w:p>
            <w:pPr>
              <w:jc w:val="center"/>
              <w:ind w:right="108"/>
              <w:spacing w:after="0"/>
              <w:rPr>
                <w:sz w:val="20"/>
                <w:szCs w:val="20"/>
                <w:color w:val="auto"/>
              </w:rPr>
            </w:pPr>
            <w:r>
              <w:rPr>
                <w:rFonts w:ascii="Arial" w:cs="Arial" w:eastAsia="Arial" w:hAnsi="Arial"/>
                <w:sz w:val="18"/>
                <w:szCs w:val="18"/>
                <w:b w:val="1"/>
                <w:bCs w:val="1"/>
                <w:color w:val="auto"/>
                <w:w w:val="85"/>
              </w:rPr>
              <w:t>to be so registered</w:t>
            </w:r>
          </w:p>
        </w:tc>
        <w:tc>
          <w:tcPr>
            <w:tcW w:w="542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5"/>
              </w:rPr>
              <w:t>each class is to be registered</w:t>
            </w:r>
          </w:p>
        </w:tc>
        <w:tc>
          <w:tcPr>
            <w:tcW w:w="0" w:type="dxa"/>
            <w:vAlign w:val="bottom"/>
          </w:tcPr>
          <w:p>
            <w:pPr>
              <w:spacing w:after="0"/>
              <w:rPr>
                <w:sz w:val="1"/>
                <w:szCs w:val="1"/>
                <w:color w:val="auto"/>
              </w:rPr>
            </w:pPr>
          </w:p>
        </w:tc>
      </w:tr>
      <w:tr>
        <w:trPr>
          <w:trHeight w:val="234"/>
        </w:trPr>
        <w:tc>
          <w:tcPr>
            <w:tcW w:w="5820" w:type="dxa"/>
            <w:vAlign w:val="bottom"/>
          </w:tcPr>
          <w:p>
            <w:pPr>
              <w:jc w:val="center"/>
              <w:ind w:right="88"/>
              <w:spacing w:after="0"/>
              <w:rPr>
                <w:sz w:val="20"/>
                <w:szCs w:val="20"/>
                <w:color w:val="auto"/>
              </w:rPr>
            </w:pPr>
            <w:r>
              <w:rPr>
                <w:rFonts w:ascii="Arial" w:cs="Arial" w:eastAsia="Arial" w:hAnsi="Arial"/>
                <w:sz w:val="18"/>
                <w:szCs w:val="18"/>
                <w:b w:val="1"/>
                <w:bCs w:val="1"/>
                <w:color w:val="auto"/>
                <w:w w:val="89"/>
              </w:rPr>
              <w:t>Class A ordinary shares, $0.0001 par value</w:t>
            </w:r>
          </w:p>
        </w:tc>
        <w:tc>
          <w:tcPr>
            <w:tcW w:w="5420" w:type="dxa"/>
            <w:vAlign w:val="bottom"/>
          </w:tcPr>
          <w:p>
            <w:pPr>
              <w:jc w:val="center"/>
              <w:ind w:right="110"/>
              <w:spacing w:after="0"/>
              <w:rPr>
                <w:sz w:val="20"/>
                <w:szCs w:val="20"/>
                <w:color w:val="auto"/>
              </w:rPr>
            </w:pPr>
            <w:r>
              <w:rPr>
                <w:rFonts w:ascii="Arial" w:cs="Arial" w:eastAsia="Arial" w:hAnsi="Arial"/>
                <w:sz w:val="18"/>
                <w:szCs w:val="18"/>
                <w:b w:val="1"/>
                <w:bCs w:val="1"/>
                <w:color w:val="auto"/>
                <w:w w:val="94"/>
              </w:rPr>
              <w:t>The Nasdaq Capital Market</w:t>
            </w:r>
          </w:p>
        </w:tc>
        <w:tc>
          <w:tcPr>
            <w:tcW w:w="0" w:type="dxa"/>
            <w:vAlign w:val="bottom"/>
          </w:tcPr>
          <w:p>
            <w:pPr>
              <w:spacing w:after="0"/>
              <w:rPr>
                <w:sz w:val="1"/>
                <w:szCs w:val="1"/>
                <w:color w:val="auto"/>
              </w:rPr>
            </w:pPr>
          </w:p>
        </w:tc>
      </w:tr>
    </w:tbl>
    <w:p>
      <w:pPr>
        <w:spacing w:after="0" w:line="203" w:lineRule="exact"/>
        <w:rPr>
          <w:sz w:val="24"/>
          <w:szCs w:val="24"/>
          <w:color w:val="auto"/>
        </w:rPr>
      </w:pPr>
    </w:p>
    <w:p>
      <w:pPr>
        <w:ind w:right="340" w:firstLine="324"/>
        <w:spacing w:after="0" w:line="278" w:lineRule="exact"/>
        <w:rPr>
          <w:sz w:val="20"/>
          <w:szCs w:val="20"/>
          <w:color w:val="auto"/>
        </w:rPr>
      </w:pPr>
      <w:r>
        <w:rPr>
          <w:rFonts w:ascii="Arial" w:cs="Arial" w:eastAsia="Arial" w:hAnsi="Arial"/>
          <w:sz w:val="22"/>
          <w:szCs w:val="22"/>
          <w:color w:val="auto"/>
        </w:rPr>
        <w:t xml:space="preserve">If this form relates to the registration of a class of securities pursuant to Section 12(b) of the Exchange Act and is effective pursuant to General Instruction A.(c) or (e), check the following box. </w:t>
      </w:r>
      <w:r>
        <w:rPr>
          <w:rFonts w:ascii="MS PGothic" w:cs="MS PGothic" w:eastAsia="MS PGothic" w:hAnsi="MS PGothic"/>
          <w:sz w:val="22"/>
          <w:szCs w:val="22"/>
          <w:color w:val="auto"/>
        </w:rPr>
        <w:t>☒</w:t>
      </w:r>
    </w:p>
    <w:p>
      <w:pPr>
        <w:spacing w:after="0" w:line="188" w:lineRule="exact"/>
        <w:rPr>
          <w:sz w:val="24"/>
          <w:szCs w:val="24"/>
          <w:color w:val="auto"/>
        </w:rPr>
      </w:pPr>
    </w:p>
    <w:p>
      <w:pPr>
        <w:ind w:right="340" w:firstLine="324"/>
        <w:spacing w:after="0" w:line="278" w:lineRule="exact"/>
        <w:rPr>
          <w:sz w:val="20"/>
          <w:szCs w:val="20"/>
          <w:color w:val="auto"/>
        </w:rPr>
      </w:pPr>
      <w:r>
        <w:rPr>
          <w:rFonts w:ascii="Arial" w:cs="Arial" w:eastAsia="Arial" w:hAnsi="Arial"/>
          <w:sz w:val="22"/>
          <w:szCs w:val="22"/>
          <w:color w:val="auto"/>
        </w:rPr>
        <w:t xml:space="preserve">If this form relates to the registration of a class of securities pursuant to Section 12(g) of the Exchange Act and is effective pursuant to General Instruction A.(d) or (e), check the following box. </w:t>
      </w:r>
      <w:r>
        <w:rPr>
          <w:rFonts w:ascii="MS PGothic" w:cs="MS PGothic" w:eastAsia="MS PGothic" w:hAnsi="MS PGothic"/>
          <w:sz w:val="22"/>
          <w:szCs w:val="22"/>
          <w:color w:val="auto"/>
        </w:rPr>
        <w:t>☐</w:t>
      </w:r>
    </w:p>
    <w:p>
      <w:pPr>
        <w:spacing w:after="0" w:line="188" w:lineRule="exact"/>
        <w:rPr>
          <w:sz w:val="24"/>
          <w:szCs w:val="24"/>
          <w:color w:val="auto"/>
        </w:rPr>
      </w:pPr>
    </w:p>
    <w:p>
      <w:pPr>
        <w:ind w:right="260" w:firstLine="324"/>
        <w:spacing w:after="0" w:line="278" w:lineRule="exact"/>
        <w:rPr>
          <w:sz w:val="20"/>
          <w:szCs w:val="20"/>
          <w:color w:val="auto"/>
        </w:rPr>
      </w:pPr>
      <w:r>
        <w:rPr>
          <w:rFonts w:ascii="Arial" w:cs="Arial" w:eastAsia="Arial" w:hAnsi="Arial"/>
          <w:sz w:val="22"/>
          <w:szCs w:val="22"/>
          <w:color w:val="auto"/>
        </w:rPr>
        <w:t xml:space="preserve">If this form relates to the registration of a class of securities concurrently with a Regulation A offering, check the following box. </w:t>
      </w:r>
      <w:r>
        <w:rPr>
          <w:rFonts w:ascii="MS PGothic" w:cs="MS PGothic" w:eastAsia="MS PGothic" w:hAnsi="MS PGothic"/>
          <w:sz w:val="22"/>
          <w:szCs w:val="22"/>
          <w:color w:val="auto"/>
        </w:rPr>
        <w:t>☐</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Act registration statement file number to which this form relates:</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333-239986</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to be registered pursuant to Section 12(g) of the Act:</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304165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 w:name="page2"/>
    <w:bookmarkEnd w:id="1"/>
    <w:p>
      <w:pPr>
        <w:spacing w:after="0"/>
        <w:rPr>
          <w:sz w:val="20"/>
          <w:szCs w:val="20"/>
          <w:color w:val="auto"/>
        </w:rPr>
      </w:pPr>
      <w:r>
        <w:rPr>
          <w:rFonts w:ascii="Arial" w:cs="Arial" w:eastAsia="Arial" w:hAnsi="Arial"/>
          <w:sz w:val="22"/>
          <w:szCs w:val="22"/>
          <w:b w:val="1"/>
          <w:bCs w:val="1"/>
          <w:color w:val="auto"/>
        </w:rPr>
        <w:t>Item 1. Description of Registrant’s Securities to be Registered</w:t>
      </w:r>
    </w:p>
    <w:p>
      <w:pPr>
        <w:spacing w:after="0" w:line="240" w:lineRule="exact"/>
        <w:rPr>
          <w:sz w:val="20"/>
          <w:szCs w:val="20"/>
          <w:color w:val="auto"/>
        </w:rPr>
      </w:pPr>
    </w:p>
    <w:p>
      <w:pPr>
        <w:ind w:left="120" w:firstLine="647"/>
        <w:spacing w:after="0" w:line="277" w:lineRule="auto"/>
        <w:rPr>
          <w:sz w:val="20"/>
          <w:szCs w:val="20"/>
          <w:color w:val="auto"/>
        </w:rPr>
      </w:pPr>
      <w:r>
        <w:rPr>
          <w:rFonts w:ascii="Arial" w:cs="Arial" w:eastAsia="Arial" w:hAnsi="Arial"/>
          <w:sz w:val="19"/>
          <w:szCs w:val="19"/>
          <w:color w:val="auto"/>
        </w:rPr>
        <w:t>The description of the Class A ordinary shares, $0.0001 par value, of ARYA Sciences Acquisition Corp III, a Cayman Islands exempted company, as set forth under the caption “Description of Securities” in the prospectus forming a part of the Registration Statement on Form S-1, as originally filed with the Securities and Exchange Commission (the “Commission”) on July 21, 2020 (Registration No. 333-239986), including exhibits, and as subsequently amended from time to time (the “Registration Statement”), is hereby incorporated by reference. In addition, the above-referenced description included in any prospectus relating to the Registration Statement filed with the Commission pursuant to Rule 424(b) under the Securities Act of 1933, as amended, shall be deemed to be incorporated by reference herein.</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Exhibits</w:t>
      </w:r>
    </w:p>
    <w:p>
      <w:pPr>
        <w:spacing w:after="0" w:line="239" w:lineRule="exact"/>
        <w:rPr>
          <w:sz w:val="20"/>
          <w:szCs w:val="20"/>
          <w:color w:val="auto"/>
        </w:rPr>
      </w:pPr>
    </w:p>
    <w:p>
      <w:pPr>
        <w:ind w:left="120" w:right="60" w:firstLine="647"/>
        <w:spacing w:after="0"/>
        <w:rPr>
          <w:sz w:val="20"/>
          <w:szCs w:val="20"/>
          <w:color w:val="auto"/>
        </w:rPr>
      </w:pPr>
      <w:r>
        <w:rPr>
          <w:rFonts w:ascii="Arial" w:cs="Arial" w:eastAsia="Arial" w:hAnsi="Arial"/>
          <w:sz w:val="22"/>
          <w:szCs w:val="22"/>
          <w:color w:val="auto"/>
        </w:rPr>
        <w:t>Pursuant to the Instructions as to Exhibits for Form 8-A, no exhibits are required to be filed, because no other securities of the Registrant are registered on The Nasdaq Capital Market, and the securities registered hereby are not being registered pursuant to Section 12(g)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11" w:right="419" w:bottom="1440" w:gutter="0" w:footer="0" w:header="0"/>
        </w:sectPr>
      </w:pPr>
    </w:p>
    <w:bookmarkStart w:id="2" w:name="page3"/>
    <w:bookmarkEnd w:id="2"/>
    <w:p>
      <w:pPr>
        <w:jc w:val="center"/>
        <w:spacing w:after="0"/>
        <w:rPr>
          <w:sz w:val="20"/>
          <w:szCs w:val="20"/>
          <w:color w:val="auto"/>
        </w:rPr>
      </w:pPr>
      <w:r>
        <w:rPr>
          <w:rFonts w:ascii="Arial" w:cs="Arial" w:eastAsia="Arial" w:hAnsi="Arial"/>
          <w:sz w:val="22"/>
          <w:szCs w:val="22"/>
          <w:b w:val="1"/>
          <w:bCs w:val="1"/>
          <w:color w:val="auto"/>
        </w:rPr>
        <w:t>SIGNATURE</w:t>
      </w:r>
    </w:p>
    <w:p>
      <w:pPr>
        <w:spacing w:after="0" w:line="240" w:lineRule="exact"/>
        <w:rPr>
          <w:sz w:val="20"/>
          <w:szCs w:val="20"/>
          <w:color w:val="auto"/>
        </w:rPr>
      </w:pPr>
    </w:p>
    <w:p>
      <w:pPr>
        <w:ind w:left="120" w:right="320" w:firstLine="647"/>
        <w:spacing w:after="0" w:line="250" w:lineRule="auto"/>
        <w:rPr>
          <w:sz w:val="20"/>
          <w:szCs w:val="20"/>
          <w:color w:val="auto"/>
        </w:rPr>
      </w:pPr>
      <w:r>
        <w:rPr>
          <w:rFonts w:ascii="Arial" w:cs="Arial" w:eastAsia="Arial" w:hAnsi="Arial"/>
          <w:sz w:val="22"/>
          <w:szCs w:val="22"/>
          <w:color w:val="auto"/>
        </w:rPr>
        <w:t>Pursuant to the requirements of Section 12 of the Securities Exchange Act of 1934, the registrant has duly caused this registration statement to be signed on its behalf by the undersigned, thereto duly authorized.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00" w:type="dxa"/>
            <w:vAlign w:val="bottom"/>
          </w:tcPr>
          <w:p>
            <w:pPr>
              <w:spacing w:after="0"/>
              <w:rPr>
                <w:sz w:val="20"/>
                <w:szCs w:val="20"/>
                <w:color w:val="auto"/>
              </w:rPr>
            </w:pPr>
            <w:r>
              <w:rPr>
                <w:rFonts w:ascii="Arial" w:cs="Arial" w:eastAsia="Arial" w:hAnsi="Arial"/>
                <w:sz w:val="18"/>
                <w:szCs w:val="18"/>
                <w:color w:val="auto"/>
              </w:rPr>
              <w:t>Date: August 6, 2020</w:t>
            </w:r>
          </w:p>
        </w:tc>
        <w:tc>
          <w:tcPr>
            <w:tcW w:w="7640" w:type="dxa"/>
            <w:vAlign w:val="bottom"/>
            <w:gridSpan w:val="2"/>
          </w:tcPr>
          <w:p>
            <w:pPr>
              <w:ind w:left="2040"/>
              <w:spacing w:after="0"/>
              <w:rPr>
                <w:sz w:val="20"/>
                <w:szCs w:val="20"/>
                <w:color w:val="auto"/>
              </w:rPr>
            </w:pPr>
            <w:r>
              <w:rPr>
                <w:rFonts w:ascii="Arial" w:cs="Arial" w:eastAsia="Arial" w:hAnsi="Arial"/>
                <w:sz w:val="18"/>
                <w:szCs w:val="18"/>
                <w:color w:val="auto"/>
              </w:rPr>
              <w:t>ARYA SCIENCES ACQUISITION CORP III</w:t>
            </w:r>
          </w:p>
        </w:tc>
      </w:tr>
      <w:tr>
        <w:trPr>
          <w:trHeight w:val="439"/>
        </w:trPr>
        <w:tc>
          <w:tcPr>
            <w:tcW w:w="3600" w:type="dxa"/>
            <w:vAlign w:val="bottom"/>
          </w:tcPr>
          <w:p>
            <w:pPr>
              <w:spacing w:after="0"/>
              <w:rPr>
                <w:sz w:val="24"/>
                <w:szCs w:val="24"/>
                <w:color w:val="auto"/>
              </w:rPr>
            </w:pPr>
          </w:p>
        </w:tc>
        <w:tc>
          <w:tcPr>
            <w:tcW w:w="2700" w:type="dxa"/>
            <w:vAlign w:val="bottom"/>
          </w:tcPr>
          <w:p>
            <w:pPr>
              <w:ind w:left="2040"/>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Adam Stone</w:t>
            </w:r>
          </w:p>
        </w:tc>
      </w:tr>
      <w:tr>
        <w:trPr>
          <w:trHeight w:val="188"/>
        </w:trPr>
        <w:tc>
          <w:tcPr>
            <w:tcW w:w="3600" w:type="dxa"/>
            <w:vAlign w:val="bottom"/>
          </w:tcPr>
          <w:p>
            <w:pPr>
              <w:spacing w:after="0"/>
              <w:rPr>
                <w:sz w:val="16"/>
                <w:szCs w:val="16"/>
                <w:color w:val="auto"/>
              </w:rPr>
            </w:pPr>
          </w:p>
        </w:tc>
        <w:tc>
          <w:tcPr>
            <w:tcW w:w="7640" w:type="dxa"/>
            <w:vAlign w:val="bottom"/>
            <w:gridSpan w:val="2"/>
          </w:tcPr>
          <w:p>
            <w:pPr>
              <w:ind w:left="2040"/>
              <w:spacing w:after="0" w:line="189" w:lineRule="exact"/>
              <w:rPr>
                <w:sz w:val="20"/>
                <w:szCs w:val="20"/>
                <w:color w:val="auto"/>
              </w:rPr>
            </w:pPr>
            <w:r>
              <w:rPr>
                <w:rFonts w:ascii="Arial" w:cs="Arial" w:eastAsia="Arial" w:hAnsi="Arial"/>
                <w:sz w:val="18"/>
                <w:szCs w:val="18"/>
                <w:color w:val="auto"/>
              </w:rPr>
              <w:t>Name: Adam Stone</w:t>
            </w:r>
          </w:p>
        </w:tc>
      </w:tr>
      <w:tr>
        <w:trPr>
          <w:trHeight w:val="230"/>
        </w:trPr>
        <w:tc>
          <w:tcPr>
            <w:tcW w:w="3600" w:type="dxa"/>
            <w:vAlign w:val="bottom"/>
          </w:tcPr>
          <w:p>
            <w:pPr>
              <w:spacing w:after="0"/>
              <w:rPr>
                <w:sz w:val="20"/>
                <w:szCs w:val="20"/>
                <w:color w:val="auto"/>
              </w:rPr>
            </w:pPr>
          </w:p>
        </w:tc>
        <w:tc>
          <w:tcPr>
            <w:tcW w:w="7640" w:type="dxa"/>
            <w:vAlign w:val="bottom"/>
            <w:gridSpan w:val="2"/>
          </w:tcPr>
          <w:p>
            <w:pPr>
              <w:ind w:left="2040"/>
              <w:spacing w:after="0"/>
              <w:rPr>
                <w:sz w:val="20"/>
                <w:szCs w:val="20"/>
                <w:color w:val="auto"/>
              </w:rPr>
            </w:pPr>
            <w:r>
              <w:rPr>
                <w:rFonts w:ascii="Arial" w:cs="Arial" w:eastAsia="Arial" w:hAnsi="Arial"/>
                <w:sz w:val="18"/>
                <w:szCs w:val="18"/>
                <w:color w:val="auto"/>
              </w:rPr>
              <w:t>Title: Chief Executive Officer</w:t>
            </w:r>
          </w:p>
        </w:tc>
      </w:tr>
      <w:tr>
        <w:trPr>
          <w:trHeight w:val="358"/>
        </w:trPr>
        <w:tc>
          <w:tcPr>
            <w:tcW w:w="360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2020-08-06T11:52:29Z</dcterms:created>
  <dcterms:modified xsi:type="dcterms:W3CDTF">2020-08-06T11:52:29Z</dcterms:modified>
</cp:coreProperties>
</file>