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Date of Report (Date of earliest event reported): May 2, 2023</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NAUTILUS BIOTECHNOLOGY,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50"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Arial" w:cs="Arial" w:eastAsia="Arial" w:hAnsi="Arial"/>
          <w:sz w:val="15"/>
          <w:szCs w:val="15"/>
          <w:color w:val="auto"/>
        </w:rPr>
        <w:t>(State or other jurisdiction</w:t>
      </w:r>
    </w:p>
    <w:p>
      <w:pPr>
        <w:spacing w:after="0" w:line="24"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24"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11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2701 Eastlake Avenue East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13" w:lineRule="exact"/>
        <w:rPr>
          <w:sz w:val="24"/>
          <w:szCs w:val="24"/>
          <w:color w:val="auto"/>
        </w:rPr>
      </w:pPr>
    </w:p>
    <w:p>
      <w:pPr>
        <w:jc w:val="center"/>
        <w:ind w:right="2540"/>
        <w:spacing w:after="0"/>
        <w:rPr>
          <w:sz w:val="20"/>
          <w:szCs w:val="20"/>
          <w:color w:val="auto"/>
        </w:rPr>
      </w:pPr>
      <w:r>
        <w:rPr>
          <w:rFonts w:ascii="Arial" w:cs="Arial" w:eastAsia="Arial" w:hAnsi="Arial"/>
          <w:sz w:val="18"/>
          <w:szCs w:val="18"/>
          <w:b w:val="1"/>
          <w:bCs w:val="1"/>
          <w:color w:val="auto"/>
        </w:rPr>
        <w:t>98102</w:t>
      </w:r>
    </w:p>
    <w:p>
      <w:pPr>
        <w:spacing w:after="0" w:line="27" w:lineRule="exact"/>
        <w:rPr>
          <w:sz w:val="24"/>
          <w:szCs w:val="24"/>
          <w:color w:val="auto"/>
        </w:rPr>
      </w:pPr>
    </w:p>
    <w:p>
      <w:pPr>
        <w:jc w:val="center"/>
        <w:ind w:right="25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4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NAUT</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3"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5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May 2, 2023, Nautilus Biotechnology, Inc. issued a press release reporting its financial results for the quarter ended March 31, 2023. A copy of the press release is furnished herewith as Exhibit 99.1 to this Current Report on Form 8-K.</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25"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53"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8"/>
          <w:szCs w:val="18"/>
          <w:u w:val="single" w:color="auto"/>
          <w:color w:val="0000FF"/>
        </w:rPr>
        <w:t>99.1</w:t>
      </w:r>
      <w:r>
        <w:rPr>
          <w:sz w:val="20"/>
          <w:szCs w:val="20"/>
          <w:color w:val="auto"/>
        </w:rPr>
        <w:tab/>
      </w:r>
      <w:r>
        <w:rPr>
          <w:rFonts w:ascii="Arial" w:cs="Arial" w:eastAsia="Arial" w:hAnsi="Arial"/>
          <w:sz w:val="15"/>
          <w:szCs w:val="15"/>
          <w:u w:val="single" w:color="auto"/>
          <w:color w:val="0000FF"/>
        </w:rPr>
        <w:t>Press Release dated May 2, 2023.</w:t>
      </w:r>
    </w:p>
    <w:p>
      <w:pPr>
        <w:spacing w:after="0" w:line="23" w:lineRule="exact"/>
        <w:rPr>
          <w:sz w:val="20"/>
          <w:szCs w:val="20"/>
          <w:color w:val="auto"/>
        </w:rPr>
      </w:pPr>
    </w:p>
    <w:p>
      <w:pPr>
        <w:ind w:left="980" w:hanging="95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 2023</w:t>
      </w:r>
    </w:p>
    <w:p>
      <w:pPr>
        <w:spacing w:after="0" w:line="26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Reports First Quarter 2023 Financial Results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SEATTLE, WA, May 2, 2023 </w:t>
      </w:r>
      <w:r>
        <w:rPr>
          <w:rFonts w:ascii="Arial" w:cs="Arial" w:eastAsia="Arial" w:hAnsi="Arial"/>
          <w:sz w:val="18"/>
          <w:szCs w:val="18"/>
          <w:color w:val="auto"/>
        </w:rPr>
        <w:t>– Nautilus Biotechnology, Inc. (NASDAQ: NAUT; or “Nautilus”), a company pioneering a single molecule proteome</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platform, today reported financial results for the first quarter ended March 31, 2023.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56" w:lineRule="exact"/>
        <w:rPr>
          <w:sz w:val="20"/>
          <w:szCs w:val="20"/>
          <w:color w:val="auto"/>
        </w:rPr>
      </w:pPr>
    </w:p>
    <w:p>
      <w:pPr>
        <w:ind w:left="660" w:right="20" w:hanging="328"/>
        <w:spacing w:after="0" w:line="29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Announced the three winners of Nautilus’ First Access Challenge, representing a diverse set of investigators and spanning a wide range of areas of study across aging, inflammatory disorders, and cancer. The winners’ samples will be run as part of Nautilus’ Early Access Program.</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was granted 4 new US Patents in the first quarter of 2023, raising Nautilus’ total to 12 granted US Patents.</w:t>
      </w:r>
    </w:p>
    <w:p>
      <w:pPr>
        <w:spacing w:after="0" w:line="9" w:lineRule="exact"/>
        <w:rPr>
          <w:rFonts w:ascii="Arial" w:cs="Arial" w:eastAsia="Arial" w:hAnsi="Arial"/>
          <w:sz w:val="18"/>
          <w:szCs w:val="18"/>
          <w:color w:val="auto"/>
        </w:rPr>
      </w:pPr>
    </w:p>
    <w:p>
      <w:pPr>
        <w:ind w:left="660" w:right="2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operating expenses for the first quarter of 2023 were $18.1 million, up $2.1 million compared to the first quarter of 2022 and $1.8 million above last quarter.</w:t>
      </w:r>
    </w:p>
    <w:p>
      <w:pPr>
        <w:spacing w:after="0" w:line="199" w:lineRule="exact"/>
        <w:rPr>
          <w:sz w:val="20"/>
          <w:szCs w:val="20"/>
          <w:color w:val="auto"/>
        </w:rPr>
      </w:pPr>
    </w:p>
    <w:p>
      <w:pPr>
        <w:ind w:right="300"/>
        <w:spacing w:after="0" w:line="241" w:lineRule="auto"/>
        <w:rPr>
          <w:sz w:val="20"/>
          <w:szCs w:val="20"/>
          <w:color w:val="auto"/>
        </w:rPr>
      </w:pPr>
      <w:r>
        <w:rPr>
          <w:rFonts w:ascii="Arial" w:cs="Arial" w:eastAsia="Arial" w:hAnsi="Arial"/>
          <w:sz w:val="18"/>
          <w:szCs w:val="18"/>
          <w:color w:val="auto"/>
        </w:rPr>
        <w:t>“In Q1 we continued to make steady progress in addressing key scientific and business milestones leading to the planned launch of our platform – instruments, reagents, and software – in mid-2024”, said Sujal Patel, CEO of Nautilus. “A critically important part of that effort is the disciplined and efficient way in which we have – and will continue to – manage our resources to maximize Nautilus’ cash runway through the planned launch, and well into 2025. We are very excited to get our platform into the hands of researchers and to see the impact their work can have on biological research and healthcare.”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Financial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expenses were $18.1 million for the first quarter of 2023, a 13% increase from $16.0 million for the three months ended March 31, 2022. The increase in operating expenses was driven primarily by an increase in headcount to support ongoing development of our products.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Net loss was $15.0 million for the first quarter of 2023, as compared to a net loss of $15.8 million for the corresponding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$302.0 million as of March 31, 2023.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Nautilus will host a conference call to discuss the first quarter 2023 financial results, business developments and outlook before market open on Tuesday, May 2, 2023 at 5:30 AM Pacific Time / 8:30 AM Eastern Time. Live audio of the webcast will be available on the “Investors” section of the company website at: </w:t>
      </w:r>
      <w:r>
        <w:rPr>
          <w:rFonts w:ascii="Arial" w:cs="Arial" w:eastAsia="Arial" w:hAnsi="Arial"/>
          <w:sz w:val="18"/>
          <w:szCs w:val="18"/>
          <w:u w:val="single" w:color="auto"/>
          <w:color w:val="0563C1"/>
        </w:rPr>
        <w:t>www.nautilus.bio</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Nautilus Biotechnology,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its corporate headquarters in Seattle and its research and development headquarters in the San Francisco Bay Area, Nautilus is a development stage life sciences company working to create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any revenue timing or projections, expectations with respect to the timing of the launch of Nautilus’ product platform and full commercial availability, the functionality and performance of Nautilus’ product platform, its potential impact on providing proteome access, pharmaceutical development and drug discovery, expanding research horizons, and enabling scientific explorations and discovery,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69" w:lineRule="auto"/>
        <w:rPr>
          <w:sz w:val="20"/>
          <w:szCs w:val="20"/>
          <w:color w:val="auto"/>
        </w:rPr>
      </w:pPr>
      <w:r>
        <w:rPr>
          <w:rFonts w:ascii="Arial" w:cs="Arial" w:eastAsia="Arial" w:hAnsi="Arial"/>
          <w:sz w:val="17"/>
          <w:szCs w:val="17"/>
          <w:color w:val="auto"/>
        </w:rPr>
        <w:t>that could materially affect the accuracy of Nautilus’ assumptions and its ability to achieve the forward-looking statements set forth in this press release 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 March 31, 2023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Information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press@nautilus.bio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investorrelations@nautilus.bio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1"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March 31, 2023 and December 31, 2022 (Unaudited)</w:t>
      </w:r>
    </w:p>
    <w:p>
      <w:pPr>
        <w:spacing w:after="0" w:line="31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60" w:type="dxa"/>
            <w:vAlign w:val="bottom"/>
          </w:tcPr>
          <w:p>
            <w:pPr>
              <w:jc w:val="right"/>
              <w:ind w:right="23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6"/>
        </w:trPr>
        <w:tc>
          <w:tcPr>
            <w:tcW w:w="728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88,505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114,523</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Short-term investments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69,948</w:t>
            </w:r>
          </w:p>
        </w:tc>
        <w:tc>
          <w:tcPr>
            <w:tcW w:w="0" w:type="dxa"/>
            <w:vAlign w:val="bottom"/>
          </w:tcPr>
          <w:p>
            <w:pPr>
              <w:spacing w:after="0"/>
              <w:rPr>
                <w:sz w:val="1"/>
                <w:szCs w:val="1"/>
                <w:color w:val="auto"/>
              </w:rPr>
            </w:pPr>
          </w:p>
        </w:tc>
      </w:tr>
      <w:tr>
        <w:trPr>
          <w:trHeight w:val="229"/>
        </w:trPr>
        <w:tc>
          <w:tcPr>
            <w:tcW w:w="72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170,484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187,209</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3,700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28,866</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134,641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129,169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345,884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350,052</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3,528</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operating lease liability</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7,929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liability, net of current portion</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34,240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28,337</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42,169</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35,128</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458,191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455,330</w:t>
            </w:r>
          </w:p>
        </w:tc>
        <w:tc>
          <w:tcPr>
            <w:tcW w:w="0" w:type="dxa"/>
            <w:vAlign w:val="bottom"/>
          </w:tcPr>
          <w:p>
            <w:pPr>
              <w:spacing w:after="0"/>
              <w:rPr>
                <w:sz w:val="1"/>
                <w:szCs w:val="1"/>
                <w:color w:val="auto"/>
              </w:rPr>
            </w:pPr>
          </w:p>
        </w:tc>
      </w:tr>
      <w:tr>
        <w:trPr>
          <w:trHeight w:val="229"/>
        </w:trPr>
        <w:tc>
          <w:tcPr>
            <w:tcW w:w="7280" w:type="dxa"/>
            <w:vAlign w:val="bottom"/>
          </w:tcPr>
          <w:p>
            <w:pPr>
              <w:ind w:left="12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(959)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(1,854)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(153,529)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(138,564)</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303,715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314,924</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345,884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350,052</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340" w:top="140" w:right="81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Months Ended March 31, 2023 and 2022 (Unaudited)</w:t>
      </w:r>
    </w:p>
    <w:p>
      <w:pPr>
        <w:spacing w:after="0" w:line="335"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80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8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9,658</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6,364</w:t>
            </w:r>
          </w:p>
        </w:tc>
        <w:tc>
          <w:tcPr>
            <w:tcW w:w="0" w:type="dxa"/>
            <w:vAlign w:val="bottom"/>
          </w:tcPr>
          <w:p>
            <w:pPr>
              <w:spacing w:after="0"/>
              <w:rPr>
                <w:sz w:val="1"/>
                <w:szCs w:val="1"/>
                <w:color w:val="auto"/>
              </w:rPr>
            </w:pPr>
          </w:p>
        </w:tc>
      </w:tr>
      <w:tr>
        <w:trPr>
          <w:trHeight w:val="223"/>
        </w:trPr>
        <w:tc>
          <w:tcPr>
            <w:tcW w:w="808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16,022</w:t>
            </w:r>
          </w:p>
        </w:tc>
        <w:tc>
          <w:tcPr>
            <w:tcW w:w="0" w:type="dxa"/>
            <w:vAlign w:val="bottom"/>
          </w:tcPr>
          <w:p>
            <w:pPr>
              <w:spacing w:after="0"/>
              <w:rPr>
                <w:sz w:val="1"/>
                <w:szCs w:val="1"/>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(15,763)</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0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124,590,351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124,418,580</w:t>
            </w:r>
          </w:p>
        </w:tc>
        <w:tc>
          <w:tcPr>
            <w:tcW w:w="0" w:type="dxa"/>
            <w:vAlign w:val="bottom"/>
          </w:tcPr>
          <w:p>
            <w:pPr>
              <w:spacing w:after="0"/>
              <w:rPr>
                <w:sz w:val="1"/>
                <w:szCs w:val="1"/>
                <w:color w:val="auto"/>
              </w:rPr>
            </w:pPr>
          </w:p>
        </w:tc>
      </w:tr>
      <w:tr>
        <w:trPr>
          <w:trHeight w:val="216"/>
        </w:trPr>
        <w:tc>
          <w:tcPr>
            <w:tcW w:w="80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40" w:top="140" w:right="47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Nautilus Biotechnology, Inc.</w:t>
      </w:r>
    </w:p>
    <w:p>
      <w:pPr>
        <w:spacing w:after="0" w:line="204" w:lineRule="auto"/>
        <w:rPr>
          <w:sz w:val="20"/>
          <w:szCs w:val="20"/>
          <w:color w:val="auto"/>
        </w:rPr>
      </w:pPr>
      <w:r>
        <w:rPr>
          <w:rFonts w:ascii="Arial" w:cs="Arial" w:eastAsia="Arial" w:hAnsi="Arial"/>
          <w:sz w:val="22"/>
          <w:szCs w:val="22"/>
          <w:b w:val="1"/>
          <w:bCs w:val="1"/>
          <w:color w:val="auto"/>
        </w:rPr>
        <w:t>Condensed Consolidated Statements of Cash Flows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Three Months Ended March 31, 2023 and 2022 (Unaudited)</w:t>
      </w:r>
    </w:p>
    <w:p>
      <w:pPr>
        <w:spacing w:after="0" w:line="200" w:lineRule="exact"/>
        <w:rPr>
          <w:sz w:val="20"/>
          <w:szCs w:val="20"/>
          <w:color w:val="auto"/>
        </w:rPr>
      </w:pPr>
    </w:p>
    <w:p>
      <w:pPr>
        <w:spacing w:after="0" w:line="378" w:lineRule="exact"/>
        <w:rPr>
          <w:sz w:val="20"/>
          <w:szCs w:val="20"/>
          <w:color w:val="auto"/>
        </w:rPr>
      </w:pPr>
    </w:p>
    <w:tbl>
      <w:tblPr>
        <w:tblLayout w:type="fixed"/>
        <w:tblInd w:w="48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
        </w:trPr>
        <w:tc>
          <w:tcPr>
            <w:tcW w:w="7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728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(15,763)</w:t>
            </w: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2,860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Amortization (accretion) of premium (discount) on securities,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7280" w:type="dxa"/>
            <w:vAlign w:val="bottom"/>
          </w:tcPr>
          <w:p>
            <w:pPr>
              <w:ind w:left="120"/>
              <w:spacing w:after="0"/>
              <w:rPr>
                <w:sz w:val="20"/>
                <w:szCs w:val="20"/>
                <w:color w:val="auto"/>
              </w:rPr>
            </w:pPr>
            <w:r>
              <w:rPr>
                <w:rFonts w:ascii="Arial" w:cs="Arial" w:eastAsia="Arial" w:hAnsi="Arial"/>
                <w:sz w:val="18"/>
                <w:szCs w:val="18"/>
                <w:color w:val="auto"/>
              </w:rPr>
              <w:t>Amortization of operating lease right-of-use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used in operating activities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(12,335)</w:t>
            </w:r>
          </w:p>
        </w:tc>
        <w:tc>
          <w:tcPr>
            <w:tcW w:w="0" w:type="dxa"/>
            <w:vAlign w:val="bottom"/>
          </w:tcPr>
          <w:p>
            <w:pPr>
              <w:spacing w:after="0"/>
              <w:rPr>
                <w:sz w:val="1"/>
                <w:szCs w:val="1"/>
                <w:color w:val="auto"/>
              </w:rPr>
            </w:pP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maturities of securities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14,249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38,575</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(22,912)</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(used in) provided by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15,182</w:t>
            </w:r>
          </w:p>
        </w:tc>
        <w:tc>
          <w:tcPr>
            <w:tcW w:w="0" w:type="dxa"/>
            <w:vAlign w:val="bottom"/>
          </w:tcPr>
          <w:p>
            <w:pPr>
              <w:spacing w:after="0"/>
              <w:rPr>
                <w:sz w:val="1"/>
                <w:szCs w:val="1"/>
                <w:color w:val="auto"/>
              </w:rPr>
            </w:pPr>
          </w:p>
        </w:tc>
      </w:tr>
      <w:tr>
        <w:trPr>
          <w:trHeight w:val="210"/>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(decrease) increase in cash, cash equivalents and restricted cash</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w:t>
            </w:r>
          </w:p>
        </w:tc>
        <w:tc>
          <w:tcPr>
            <w:tcW w:w="0" w:type="dxa"/>
            <w:vAlign w:val="bottom"/>
          </w:tcPr>
          <w:p>
            <w:pPr>
              <w:spacing w:after="0"/>
              <w:rPr>
                <w:sz w:val="1"/>
                <w:szCs w:val="1"/>
                <w:color w:val="auto"/>
              </w:rPr>
            </w:pPr>
          </w:p>
        </w:tc>
      </w:tr>
      <w:tr>
        <w:trPr>
          <w:trHeight w:val="257"/>
        </w:trPr>
        <w:tc>
          <w:tcPr>
            <w:tcW w:w="7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115,477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186,461</w:t>
            </w:r>
          </w:p>
        </w:tc>
        <w:tc>
          <w:tcPr>
            <w:tcW w:w="0" w:type="dxa"/>
            <w:vAlign w:val="bottom"/>
          </w:tcPr>
          <w:p>
            <w:pPr>
              <w:spacing w:after="0"/>
              <w:rPr>
                <w:sz w:val="1"/>
                <w:szCs w:val="1"/>
                <w:color w:val="auto"/>
              </w:rPr>
            </w:pPr>
          </w:p>
        </w:tc>
      </w:tr>
      <w:tr>
        <w:trPr>
          <w:trHeight w:val="223"/>
        </w:trPr>
        <w:tc>
          <w:tcPr>
            <w:tcW w:w="728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89,459</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189,464</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sectPr>
      <w:pgSz w:w="11900" w:h="16838" w:orient="portrait"/>
      <w:cols w:equalWidth="0" w:num="1">
        <w:col w:w="10740"/>
      </w:cols>
      <w:pgMar w:left="340" w:top="140" w:right="8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decimal"/>
      <w:start w:val="10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2023-05-02T05:25:02Z</dcterms:created>
  <dcterms:modified xsi:type="dcterms:W3CDTF">2023-05-02T05:25:02Z</dcterms:modified>
</cp:coreProperties>
</file>