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194945</wp:posOffset>
            </wp:positionH>
            <wp:positionV relativeFrom="page">
              <wp:posOffset>734695</wp:posOffset>
            </wp:positionV>
            <wp:extent cx="715962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1397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7"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FORM 8-K</w:t>
      </w:r>
    </w:p>
    <w:p>
      <w:pPr>
        <w:spacing w:after="0" w:line="131"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131"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Date of Report (Date of earliest event reported): June 9, 2021</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NAUTILUS BIOTECHNOLOGY,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1280"/>
          </w:cols>
          <w:pgMar w:left="300" w:top="1358" w:right="319" w:bottom="1440" w:gutter="0" w:footer="0" w:header="0"/>
        </w:sectPr>
      </w:pPr>
    </w:p>
    <w:p>
      <w:pPr>
        <w:spacing w:after="0" w:line="167" w:lineRule="exact"/>
        <w:rPr>
          <w:sz w:val="24"/>
          <w:szCs w:val="24"/>
          <w:color w:val="auto"/>
        </w:rPr>
      </w:pPr>
    </w:p>
    <w:p>
      <w:pPr>
        <w:ind w:left="15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480"/>
        <w:spacing w:after="0"/>
        <w:rPr>
          <w:sz w:val="20"/>
          <w:szCs w:val="20"/>
          <w:color w:val="auto"/>
        </w:rPr>
      </w:pPr>
      <w:r>
        <w:rPr>
          <w:rFonts w:ascii="Arial" w:cs="Arial" w:eastAsia="Arial" w:hAnsi="Arial"/>
          <w:sz w:val="12"/>
          <w:szCs w:val="12"/>
          <w:b w:val="1"/>
          <w:bCs w:val="1"/>
          <w:color w:val="auto"/>
        </w:rPr>
        <w:t>001-39434</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98-1541723</w:t>
      </w:r>
    </w:p>
    <w:p>
      <w:pPr>
        <w:spacing w:after="0" w:line="48" w:lineRule="exact"/>
        <w:rPr>
          <w:sz w:val="24"/>
          <w:szCs w:val="24"/>
          <w:color w:val="auto"/>
        </w:rPr>
      </w:pPr>
    </w:p>
    <w:p>
      <w:pPr>
        <w:sectPr>
          <w:pgSz w:w="11900" w:h="16838" w:orient="portrait"/>
          <w:cols w:equalWidth="0" w:num="3">
            <w:col w:w="4600" w:space="720"/>
            <w:col w:w="3100" w:space="720"/>
            <w:col w:w="2140"/>
          </w:cols>
          <w:pgMar w:left="300" w:top="1358" w:right="319" w:bottom="1440" w:gutter="0" w:footer="0" w:header="0"/>
          <w:type w:val="continuous"/>
        </w:sectPr>
      </w:pPr>
    </w:p>
    <w:p>
      <w:pPr>
        <w:jc w:val="center"/>
        <w:ind w:right="600"/>
        <w:spacing w:after="0"/>
        <w:rPr>
          <w:sz w:val="20"/>
          <w:szCs w:val="20"/>
          <w:color w:val="auto"/>
        </w:rPr>
      </w:pPr>
      <w:r>
        <w:rPr>
          <w:rFonts w:ascii="Arial" w:cs="Arial" w:eastAsia="Arial" w:hAnsi="Arial"/>
          <w:sz w:val="11"/>
          <w:szCs w:val="11"/>
          <w:color w:val="auto"/>
        </w:rPr>
        <w:t>(State or other jurisdiction</w:t>
      </w:r>
    </w:p>
    <w:p>
      <w:pPr>
        <w:spacing w:after="0" w:line="30" w:lineRule="exact"/>
        <w:rPr>
          <w:sz w:val="24"/>
          <w:szCs w:val="24"/>
          <w:color w:val="auto"/>
        </w:rPr>
      </w:pPr>
    </w:p>
    <w:p>
      <w:pPr>
        <w:jc w:val="center"/>
        <w:ind w:right="600"/>
        <w:spacing w:after="0"/>
        <w:rPr>
          <w:sz w:val="20"/>
          <w:szCs w:val="20"/>
          <w:color w:val="auto"/>
        </w:rPr>
      </w:pPr>
      <w:r>
        <w:rPr>
          <w:rFonts w:ascii="Arial" w:cs="Arial" w:eastAsia="Arial" w:hAnsi="Arial"/>
          <w:sz w:val="13"/>
          <w:szCs w:val="13"/>
          <w:color w:val="auto"/>
        </w:rPr>
        <w:t>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200" w:space="720"/>
            <w:col w:w="3340" w:space="720"/>
            <w:col w:w="2300"/>
          </w:cols>
          <w:pgMar w:left="300" w:top="1358" w:right="319" w:bottom="1440" w:gutter="0" w:footer="0" w:header="0"/>
          <w:type w:val="continuous"/>
        </w:sectPr>
      </w:pPr>
    </w:p>
    <w:p>
      <w:pPr>
        <w:spacing w:after="0" w:line="11" w:lineRule="exact"/>
        <w:rPr>
          <w:sz w:val="24"/>
          <w:szCs w:val="24"/>
          <w:color w:val="auto"/>
        </w:rPr>
      </w:pPr>
    </w:p>
    <w:p>
      <w:pPr>
        <w:jc w:val="center"/>
        <w:ind w:right="3300"/>
        <w:spacing w:after="0"/>
        <w:rPr>
          <w:sz w:val="20"/>
          <w:szCs w:val="20"/>
          <w:color w:val="auto"/>
        </w:rPr>
      </w:pPr>
      <w:r>
        <w:rPr>
          <w:rFonts w:ascii="Arial" w:cs="Arial" w:eastAsia="Arial" w:hAnsi="Arial"/>
          <w:sz w:val="12"/>
          <w:szCs w:val="12"/>
          <w:b w:val="1"/>
          <w:bCs w:val="1"/>
          <w:color w:val="auto"/>
        </w:rPr>
        <w:t>425 Pontius Ave N, Ste 202</w:t>
      </w:r>
    </w:p>
    <w:p>
      <w:pPr>
        <w:spacing w:after="0" w:line="49" w:lineRule="exact"/>
        <w:rPr>
          <w:sz w:val="24"/>
          <w:szCs w:val="24"/>
          <w:color w:val="auto"/>
        </w:rPr>
      </w:pPr>
    </w:p>
    <w:p>
      <w:pPr>
        <w:jc w:val="center"/>
        <w:ind w:right="3300"/>
        <w:spacing w:after="0"/>
        <w:rPr>
          <w:sz w:val="20"/>
          <w:szCs w:val="20"/>
          <w:color w:val="auto"/>
        </w:rPr>
      </w:pPr>
      <w:r>
        <w:rPr>
          <w:rFonts w:ascii="Arial" w:cs="Arial" w:eastAsia="Arial" w:hAnsi="Arial"/>
          <w:sz w:val="14"/>
          <w:szCs w:val="14"/>
          <w:b w:val="1"/>
          <w:bCs w:val="1"/>
          <w:color w:val="auto"/>
        </w:rPr>
        <w:t>Seattle, Washington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98109</w:t>
      </w:r>
    </w:p>
    <w:p>
      <w:pPr>
        <w:spacing w:after="0" w:line="48" w:lineRule="exact"/>
        <w:rPr>
          <w:sz w:val="24"/>
          <w:szCs w:val="24"/>
          <w:color w:val="auto"/>
        </w:rPr>
      </w:pPr>
    </w:p>
    <w:p>
      <w:pPr>
        <w:sectPr>
          <w:pgSz w:w="11900" w:h="16838" w:orient="portrait"/>
          <w:cols w:equalWidth="0" w:num="2">
            <w:col w:w="8020" w:space="720"/>
            <w:col w:w="2540"/>
          </w:cols>
          <w:pgMar w:left="300" w:top="1358" w:right="319" w:bottom="1440" w:gutter="0" w:footer="0" w:header="0"/>
          <w:type w:val="continuous"/>
        </w:sectPr>
      </w:pPr>
    </w:p>
    <w:p>
      <w:pPr>
        <w:ind w:left="13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211" w:lineRule="exact"/>
        <w:rPr>
          <w:sz w:val="24"/>
          <w:szCs w:val="24"/>
          <w:color w:val="auto"/>
        </w:rPr>
      </w:pPr>
    </w:p>
    <w:p>
      <w:pPr>
        <w:sectPr>
          <w:pgSz w:w="11900" w:h="16838" w:orient="portrait"/>
          <w:cols w:equalWidth="0" w:num="2">
            <w:col w:w="7940" w:space="720"/>
            <w:col w:w="2620"/>
          </w:cols>
          <w:pgMar w:left="300" w:top="1358" w:right="31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(206) 333-2001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ARYA Sciences Acquisition Corp III</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51 Astor Place, 10</w:t>
      </w:r>
      <w:r>
        <w:rPr>
          <w:rFonts w:ascii="Arial" w:cs="Arial" w:eastAsia="Arial" w:hAnsi="Arial"/>
          <w:sz w:val="9"/>
          <w:szCs w:val="9"/>
          <w:b w:val="1"/>
          <w:bCs w:val="1"/>
          <w:color w:val="auto"/>
        </w:rPr>
        <w:t>th</w:t>
      </w:r>
      <w:r>
        <w:rPr>
          <w:rFonts w:ascii="Arial" w:cs="Arial" w:eastAsia="Arial" w:hAnsi="Arial"/>
          <w:sz w:val="14"/>
          <w:szCs w:val="14"/>
          <w:b w:val="1"/>
          <w:bCs w:val="1"/>
          <w:color w:val="auto"/>
        </w:rPr>
        <w:t xml:space="preserve"> Floor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NY 10003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ectPr>
          <w:pgSz w:w="11900" w:h="16838" w:orient="portrait"/>
          <w:cols w:equalWidth="0" w:num="1">
            <w:col w:w="11280"/>
          </w:cols>
          <w:pgMar w:left="300" w:top="1358" w:right="319" w:bottom="1440" w:gutter="0" w:footer="0" w:header="0"/>
          <w:type w:val="continuous"/>
        </w:sectPr>
      </w:pP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280" w:hanging="273"/>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55" w:lineRule="exact"/>
        <w:rPr>
          <w:rFonts w:ascii="MS PGothic" w:cs="MS PGothic" w:eastAsia="MS PGothic" w:hAnsi="MS PGothic"/>
          <w:sz w:val="14"/>
          <w:szCs w:val="14"/>
          <w:color w:val="auto"/>
        </w:rPr>
      </w:pPr>
    </w:p>
    <w:p>
      <w:pPr>
        <w:ind w:left="300" w:hanging="293"/>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55" w:lineRule="exact"/>
        <w:rPr>
          <w:rFonts w:ascii="MS PGothic" w:cs="MS PGothic" w:eastAsia="MS PGothic" w:hAnsi="MS PGothic"/>
          <w:sz w:val="14"/>
          <w:szCs w:val="14"/>
          <w:color w:val="auto"/>
        </w:rPr>
      </w:pPr>
    </w:p>
    <w:p>
      <w:pPr>
        <w:ind w:left="280" w:hanging="273"/>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55" w:lineRule="exact"/>
        <w:rPr>
          <w:rFonts w:ascii="MS PGothic" w:cs="MS PGothic" w:eastAsia="MS PGothic" w:hAnsi="MS PGothic"/>
          <w:sz w:val="14"/>
          <w:szCs w:val="14"/>
          <w:color w:val="auto"/>
        </w:rPr>
      </w:pPr>
    </w:p>
    <w:p>
      <w:pPr>
        <w:ind w:left="280" w:hanging="273"/>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86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271"/>
        </w:trPr>
        <w:tc>
          <w:tcPr>
            <w:tcW w:w="48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Title of each class</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Trading Symbol(s)</w:t>
            </w:r>
          </w:p>
        </w:tc>
        <w:tc>
          <w:tcPr>
            <w:tcW w:w="444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3"/>
        </w:trPr>
        <w:tc>
          <w:tcPr>
            <w:tcW w:w="4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217"/>
        </w:trPr>
        <w:tc>
          <w:tcPr>
            <w:tcW w:w="4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Common Stock, par value $0.0001 per share</w:t>
            </w: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NAUT</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218" w:lineRule="exact"/>
        <w:rPr>
          <w:sz w:val="24"/>
          <w:szCs w:val="24"/>
          <w:color w:val="auto"/>
        </w:rPr>
      </w:pPr>
    </w:p>
    <w:p>
      <w:pPr>
        <w:jc w:val="both"/>
        <w:spacing w:after="0" w:line="29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6"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80"/>
          </w:cols>
          <w:pgMar w:left="300" w:top="1358"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Introductory Note</w:t>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On June 9, 2021 (the “Closing Date”), ARYA Sciences Acquisition Corp III, a Cayman Islands exempted company and our predecessor company (“ARYA”), consummated the previously announced business combination (the “Business Combination”) pursuant to the terms of the Business Combination Agreement, dated as of February 7, 2021 (the “Business Combination Agreement”), by and among ARYA, Mako Merger Sub, Inc., a Delaware corporation (“Mako Merger Sub”) and Nautilus Biotechnology, Inc., a Delaware corporation (“Old Nautilus”).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Pursuant to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Old Nautilus (the “Merger”), with Old Nautilus as the surviving company in the Merger and, after giving effect to such Merger, Old Nautilus becoming a wholly-owned subsidiary of New Nautilus.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accordance with the terms and subject to the conditions of the Business Combination Agreement, at the effective time of the Merger (the “Effective Time”), (i) each share of Old Nautilus outstanding as of immediately prior to the Effective Time was exchanged for shares of common stock of New Nautilus, par value $0.0001 per share (“Common Stock”), and (ii) all vested and unvested options to purchase shares of Old Nautilus were exchanged for comparable options to purchase shares of Common Stock, in each case, based on an implied Old Nautilus equity value of $900,000,000.</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Unless the context otherwise requires, “we,” “us,” “our,” and the “Company” refer to New Nautilus. All references herein to the “Board” refer to the board of directors of New Nautilus. All references herein to the “Closing” refer to the closing of the transactions contemplated by the Business Combination Agreement (the “Transactions” or the “Business Combination”), including the Domestication, the Merger and the transactions contemplated by subscription agreements entered into by ARYA and certain investors (the “PIPE Investors”) pursuant to which the PIPE Investors have collectively committed to subscribe for an aggregate of 20,000,000 shares of Common Stock at a price of $10.00 per share for an aggregate purchase price of $200,000,000 (the “PIPE Financing”).</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Effective as of the Closing Date, New Nautilus entered into indemnification agreements with each of its directors and executive officers. Each indemnification agreement provides for indemnification and advancements by New Nautilus of certain expenses, including attorneys’ fees, judgments, fines and settlement amounts incurred by a director or executive officer in any action or proceeding arising out of their services as one of New Nautilus’ directors or executive officers or as a director or executive officer of any other company or enterprise to which the person provides services at New Nautilus’s request.</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foregoing description of the indemnification agreements does not purport to be complete and is qualified in its entirety by the terms and conditions thereof, a form of which is filed herewith as Exhibit 10.22 and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2.01. Completion of Acquisition or Disposition of Assets.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previously reported, on June 8, 2021, ARYA held an extraordinary general meeting (the “Extraordinary General Meeting”) at which the ARYA stockholders considered and adopted, among other matters, the Business Combination Agreement. On June 9, 2021, the parties to the Business Combination Agreement consummated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64" w:right="31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4"/>
          <w:szCs w:val="14"/>
          <w:color w:val="auto"/>
        </w:rPr>
        <w:t>Prior to the Extraordinary General Meeting, holders of 465,363 shares of ARYA’s Class A ordinary shares exercised their right to redeem such shares for cash at a price of approximately $10.00 per share for aggregate payments of approximately $4,655,698. At the Closing, (i) an aggregate of 18,721,137 shares of Class A and Class B ordinary shares of ARYA were exchanged for an equivalent number of shares of Common Stock pursuant to the Domestication, (ii) an aggregate of 85,324,118 shares of Common Stock were issued in exchange for the shares of Old Nautilus outstanding as of immediately prior to the Effective Time and (iii) an aggregate of 20,000,000 shares of Common Stock were issued to the PIPE Investors in the PIPE Financing. Moreover, at the Closing, all options to purchase shares of Old Nautilus were exchanged for comparable options to purchase shares of Common Stock based on an implied Old Nautilus equity value of $900,000,000. Immediately after giving effect to the Transactions, there were 124,045,255 shares of Common Stock outstanding and 7,106,767 shares of Common Stock subject to outstanding options under the 2017 Plan (as defined below). After the Closing Date, ARYA’s Class A ordinary shares ceased trading on the Nasdaq Stock Market LLC (the “Nasdaq”) and New Nautilus’ Common Stock began trading on the Nasdaq.</w:t>
      </w:r>
    </w:p>
    <w:p>
      <w:pPr>
        <w:spacing w:after="0" w:line="152" w:lineRule="exact"/>
        <w:rPr>
          <w:sz w:val="20"/>
          <w:szCs w:val="20"/>
          <w:color w:val="auto"/>
        </w:rPr>
      </w:pPr>
    </w:p>
    <w:p>
      <w:pPr>
        <w:jc w:val="both"/>
        <w:spacing w:after="0" w:line="304" w:lineRule="auto"/>
        <w:rPr>
          <w:rFonts w:ascii="Arial" w:cs="Arial" w:eastAsia="Arial" w:hAnsi="Arial"/>
          <w:sz w:val="13"/>
          <w:szCs w:val="13"/>
          <w:i w:val="1"/>
          <w:iCs w:val="1"/>
          <w:color w:val="auto"/>
        </w:rPr>
      </w:pPr>
      <w:r>
        <w:rPr>
          <w:rFonts w:ascii="Arial" w:cs="Arial" w:eastAsia="Arial" w:hAnsi="Arial"/>
          <w:sz w:val="13"/>
          <w:szCs w:val="13"/>
          <w:color w:val="auto"/>
        </w:rPr>
        <w:t>The material terms and conditions of the Business Combination Agreement are described in the definitive proxy statement/prospectus (the “Proxy Statement/Prospectus”) included in ARYA’s Registration Statement on Form S-4 (File No. 333-254796), filed with the Securities and Exchange Commission (the “SEC”) on May 13, 2021, in the subsection entitled “</w:t>
      </w:r>
      <w:r>
        <w:rPr>
          <w:rFonts w:ascii="Arial" w:cs="Arial" w:eastAsia="Arial" w:hAnsi="Arial"/>
          <w:sz w:val="13"/>
          <w:szCs w:val="13"/>
          <w:i w:val="1"/>
          <w:iCs w:val="1"/>
          <w:color w:val="auto"/>
        </w:rPr>
        <w:t>The Business</w:t>
      </w:r>
      <w:r>
        <w:rPr>
          <w:rFonts w:ascii="Arial" w:cs="Arial" w:eastAsia="Arial" w:hAnsi="Arial"/>
          <w:sz w:val="13"/>
          <w:szCs w:val="13"/>
          <w:color w:val="auto"/>
        </w:rPr>
        <w:t xml:space="preserve"> </w:t>
      </w:r>
      <w:r>
        <w:rPr>
          <w:rFonts w:ascii="Arial" w:cs="Arial" w:eastAsia="Arial" w:hAnsi="Arial"/>
          <w:sz w:val="13"/>
          <w:szCs w:val="13"/>
          <w:i w:val="1"/>
          <w:iCs w:val="1"/>
          <w:color w:val="auto"/>
        </w:rPr>
        <w:t>Combination Agreement</w:t>
      </w:r>
      <w:r>
        <w:rPr>
          <w:rFonts w:ascii="Arial" w:cs="Arial" w:eastAsia="Arial" w:hAnsi="Arial"/>
          <w:sz w:val="13"/>
          <w:szCs w:val="13"/>
          <w:color w:val="auto"/>
        </w:rPr>
        <w:t>” of the section titled “</w:t>
      </w:r>
      <w:hyperlink r:id="rId9">
        <w:r>
          <w:rPr>
            <w:rFonts w:ascii="Arial" w:cs="Arial" w:eastAsia="Arial" w:hAnsi="Arial"/>
            <w:sz w:val="13"/>
            <w:szCs w:val="13"/>
            <w:i w:val="1"/>
            <w:iCs w:val="1"/>
            <w:u w:val="single" w:color="auto"/>
            <w:color w:val="0000FF"/>
          </w:rPr>
          <w:t>Business Combination Proposal</w:t>
        </w:r>
      </w:hyperlink>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on page 88 of the Proxy Statement/Prospectus, which is incorporated herein by 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Certain statements in this Current Report on Form 8-K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Transactions and their expected benefits; New Nautilus’ performance following the Transactions; the success, cost, timing and progress of development of the Nautilus Platform; the potential attributes and benefits of the Nautilus Platform; New Nautilus’ ability to successfully implement its three phase commercial launch plan; and New Nautilus’ ability to obtain funding for its operations. Forward-looking statements include statements relating to our management team’s expectations, hopes, beliefs, intentions or strategies regarding the future, including those relating to the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47" w:lineRule="exact"/>
        <w:rPr>
          <w:sz w:val="20"/>
          <w:szCs w:val="20"/>
          <w:color w:val="auto"/>
        </w:rPr>
      </w:pPr>
    </w:p>
    <w:p>
      <w:pPr>
        <w:ind w:left="780" w:hanging="254"/>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dependence on the success of our Nautilus Platform (as defined herein), which remains in the development stage and subject to scientific and technical validation;</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expectations regarding the timing and progress of the development of the Nautilus Platform;</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expectations regarding the rate and degree of market acceptance of the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68" w:right="319" w:bottom="1440" w:gutter="0" w:footer="0" w:header="0"/>
        </w:sectPr>
      </w:pPr>
    </w:p>
    <w:bookmarkStart w:id="3" w:name="page4"/>
    <w:bookmarkEnd w:id="3"/>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the Nautilus Platform on the field of proteomics and the size and growth of the addressable proteomics market;</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manage and grow our business and commercialize our Nautilus Platform;</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implement our three phase commercial launch plan;</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implementation of our business model and strategic plans for the Nautilus Platform;</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establish and maintain intellectual property protection for our products or avoid or defend claims of infringement;</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costs related to the Business Combination;</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recognize the anticipated benefits of the Business Combination;</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performance of third-party manufacturers and suppliers;</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about market trends;</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 of COVID-19 on the foregoing; and</w:t>
      </w:r>
    </w:p>
    <w:p>
      <w:pPr>
        <w:spacing w:after="0" w:line="185" w:lineRule="exact"/>
        <w:rPr>
          <w:rFonts w:ascii="Arial" w:cs="Arial" w:eastAsia="Arial" w:hAnsi="Arial"/>
          <w:sz w:val="14"/>
          <w:szCs w:val="14"/>
          <w:color w:val="auto"/>
        </w:rPr>
      </w:pPr>
    </w:p>
    <w:p>
      <w:pPr>
        <w:ind w:left="780" w:hanging="254"/>
        <w:spacing w:after="0"/>
        <w:tabs>
          <w:tab w:leader="none" w:pos="7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risks and uncertainties described under the heading “</w:t>
      </w:r>
      <w:hyperlink r:id="rId10">
        <w:r>
          <w:rPr>
            <w:rFonts w:ascii="Arial" w:cs="Arial" w:eastAsia="Arial" w:hAnsi="Arial"/>
            <w:sz w:val="13"/>
            <w:szCs w:val="13"/>
            <w:i w:val="1"/>
            <w:iCs w:val="1"/>
            <w:u w:val="single" w:color="auto"/>
            <w:color w:val="0000FF"/>
          </w:rPr>
          <w:t>Risk Factors</w:t>
        </w:r>
      </w:hyperlink>
      <w:r>
        <w:rPr>
          <w:rFonts w:ascii="Arial" w:cs="Arial" w:eastAsia="Arial" w:hAnsi="Arial"/>
          <w:sz w:val="13"/>
          <w:szCs w:val="13"/>
          <w:color w:val="auto"/>
        </w:rPr>
        <w:t>” beginning on page 28 of the Proxy Statement/Prospectus, which is incorporated herein by reference.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68" w:right="31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4"/>
          <w:szCs w:val="14"/>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152" w:lineRule="exact"/>
        <w:rPr>
          <w:sz w:val="20"/>
          <w:szCs w:val="20"/>
          <w:color w:val="auto"/>
        </w:rPr>
      </w:pPr>
    </w:p>
    <w:p>
      <w:pPr>
        <w:ind w:left="520" w:hanging="254"/>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Down to the very low frequencies of expressed proteins, how are healthy tissue cells different from diseased cells?</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What will a comprehensive map of nearly all proteins by organ tissue type tell us about our biology?</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Which versions and patterns of modified proteins are present in disease, and why?</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What happens to our proteome when we get sick, and how does it change with treatment?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68" w:right="319" w:bottom="1440" w:gutter="0" w:footer="0" w:header="0"/>
        </w:sectPr>
      </w:pPr>
    </w:p>
    <w:bookmarkStart w:id="5" w:name="page6"/>
    <w:bookmarkEnd w:id="5"/>
    <w:p>
      <w:pPr>
        <w:jc w:val="both"/>
        <w:spacing w:after="0" w:line="288" w:lineRule="auto"/>
        <w:rPr>
          <w:sz w:val="20"/>
          <w:szCs w:val="20"/>
          <w:color w:val="auto"/>
        </w:rPr>
      </w:pPr>
      <w:r>
        <w:rPr>
          <w:rFonts w:ascii="Arial" w:cs="Arial" w:eastAsia="Arial" w:hAnsi="Arial"/>
          <w:sz w:val="13"/>
          <w:szCs w:val="13"/>
          <w:color w:val="auto"/>
        </w:rPr>
        <w:t>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May 31, 2021, we are comprised of approximately 82 employees, with 33 of such employees holding a Ph.D. Our organization is driven by the pursuit of deep, hard science, and our Scientific Advisory Board is comprised of world-renowned scientific leaders that support our vision.</w:t>
      </w:r>
    </w:p>
    <w:p>
      <w:pPr>
        <w:spacing w:after="0" w:line="131"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Our business is further described in the Proxy Statement/Prospectus in the section titled “</w:t>
      </w:r>
      <w:hyperlink r:id="rId11">
        <w:r>
          <w:rPr>
            <w:rFonts w:ascii="Arial" w:cs="Arial" w:eastAsia="Arial" w:hAnsi="Arial"/>
            <w:sz w:val="14"/>
            <w:szCs w:val="14"/>
            <w:i w:val="1"/>
            <w:iCs w:val="1"/>
            <w:u w:val="single" w:color="auto"/>
            <w:color w:val="0000FF"/>
          </w:rPr>
          <w:t>Information about Nautilus</w:t>
        </w:r>
      </w:hyperlink>
      <w:r>
        <w:rPr>
          <w:rFonts w:ascii="Arial" w:cs="Arial" w:eastAsia="Arial" w:hAnsi="Arial"/>
          <w:sz w:val="14"/>
          <w:szCs w:val="14"/>
          <w:color w:val="auto"/>
        </w:rPr>
        <w:t>” beginning on page 196 of the Proxy Statement/Prospectus and that information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 Factors</w:t>
      </w:r>
    </w:p>
    <w:p>
      <w:pPr>
        <w:spacing w:after="0" w:line="185"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The risk factors related to Nautilus’ business and operations and the Transactions are set forth in the Proxy Statement/Prospectus in the section titled “</w:t>
      </w:r>
      <w:hyperlink r:id="rId10">
        <w:r>
          <w:rPr>
            <w:rFonts w:ascii="Arial" w:cs="Arial" w:eastAsia="Arial" w:hAnsi="Arial"/>
            <w:sz w:val="14"/>
            <w:szCs w:val="14"/>
            <w:i w:val="1"/>
            <w:iCs w:val="1"/>
            <w:u w:val="single" w:color="auto"/>
            <w:color w:val="0000FF"/>
          </w:rPr>
          <w:t>Risk Factors</w:t>
        </w:r>
      </w:hyperlink>
      <w:r>
        <w:rPr>
          <w:rFonts w:ascii="Arial" w:cs="Arial" w:eastAsia="Arial" w:hAnsi="Arial"/>
          <w:sz w:val="14"/>
          <w:szCs w:val="14"/>
          <w:color w:val="auto"/>
        </w:rPr>
        <w:t>” beginning on page 28 of the Proxy Statement/Prospectus and that information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Selected Historical Financial Information</w:t>
      </w:r>
    </w:p>
    <w:p>
      <w:pPr>
        <w:spacing w:after="0" w:line="185" w:lineRule="exact"/>
        <w:rPr>
          <w:sz w:val="20"/>
          <w:szCs w:val="20"/>
          <w:color w:val="auto"/>
        </w:rPr>
      </w:pPr>
    </w:p>
    <w:p>
      <w:pPr>
        <w:jc w:val="both"/>
        <w:spacing w:after="0" w:line="274" w:lineRule="auto"/>
        <w:rPr>
          <w:rFonts w:ascii="Arial" w:cs="Arial" w:eastAsia="Arial" w:hAnsi="Arial"/>
          <w:sz w:val="14"/>
          <w:szCs w:val="14"/>
          <w:i w:val="1"/>
          <w:iCs w:val="1"/>
          <w:color w:val="0000FF"/>
        </w:rPr>
      </w:pPr>
      <w:r>
        <w:rPr>
          <w:rFonts w:ascii="Arial" w:cs="Arial" w:eastAsia="Arial" w:hAnsi="Arial"/>
          <w:sz w:val="14"/>
          <w:szCs w:val="14"/>
          <w:color w:val="auto"/>
        </w:rPr>
        <w:t xml:space="preserve">The selected historical financial information and other data for the years ended December 31, 2020 and 2019, and the selected balance sheet and other data as of December 31, 2020 and 2019 for </w:t>
      </w:r>
      <w:hyperlink r:id="rId12">
        <w:r>
          <w:rPr>
            <w:rFonts w:ascii="Arial" w:cs="Arial" w:eastAsia="Arial" w:hAnsi="Arial"/>
            <w:sz w:val="14"/>
            <w:szCs w:val="14"/>
            <w:color w:val="auto"/>
          </w:rPr>
          <w:t>Old Nautilus are included in the Proxy Statement/Prospectus in the subsection entitled “</w:t>
        </w:r>
        <w:r>
          <w:rPr>
            <w:rFonts w:ascii="Arial" w:cs="Arial" w:eastAsia="Arial" w:hAnsi="Arial"/>
            <w:sz w:val="14"/>
            <w:szCs w:val="14"/>
            <w:i w:val="1"/>
            <w:iCs w:val="1"/>
            <w:color w:val="auto"/>
          </w:rPr>
          <w:t>Selected Historical Financial Information of Nautilus</w:t>
        </w:r>
        <w:r>
          <w:rPr>
            <w:rFonts w:ascii="Arial" w:cs="Arial" w:eastAsia="Arial" w:hAnsi="Arial"/>
            <w:sz w:val="14"/>
            <w:szCs w:val="14"/>
            <w:color w:val="auto"/>
          </w:rPr>
          <w:t>” of the section entitled “</w:t>
        </w:r>
        <w:r>
          <w:rPr>
            <w:rFonts w:ascii="Arial" w:cs="Arial" w:eastAsia="Arial" w:hAnsi="Arial"/>
            <w:sz w:val="14"/>
            <w:szCs w:val="14"/>
            <w:i w:val="1"/>
            <w:iCs w:val="1"/>
            <w:u w:val="single" w:color="auto"/>
            <w:color w:val="0000FF"/>
          </w:rPr>
          <w:t>Summary of the Proxy</w:t>
        </w:r>
      </w:hyperlink>
      <w:r>
        <w:rPr>
          <w:rFonts w:ascii="Arial" w:cs="Arial" w:eastAsia="Arial" w:hAnsi="Arial"/>
          <w:sz w:val="14"/>
          <w:szCs w:val="14"/>
          <w:color w:val="auto"/>
        </w:rPr>
        <w:t xml:space="preserve"> </w:t>
      </w:r>
      <w:hyperlink r:id="rId12">
        <w:r>
          <w:rPr>
            <w:rFonts w:ascii="Arial" w:cs="Arial" w:eastAsia="Arial" w:hAnsi="Arial"/>
            <w:sz w:val="14"/>
            <w:szCs w:val="14"/>
            <w:i w:val="1"/>
            <w:iCs w:val="1"/>
            <w:u w:val="single" w:color="auto"/>
            <w:color w:val="0000FF"/>
          </w:rPr>
          <w:t>Statement/Prospectus</w:t>
        </w:r>
        <w:r>
          <w:rPr>
            <w:rFonts w:ascii="Arial" w:cs="Arial" w:eastAsia="Arial" w:hAnsi="Arial"/>
            <w:sz w:val="14"/>
            <w:szCs w:val="14"/>
            <w:color w:val="000000"/>
          </w:rPr>
          <w:t>” beginning on page 20 of the Proxy Statement/Prospectus, which is incorporated herein by reference.</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Unaudited Condensed Financial Statements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unaudited condensed financial statements as of and for the three months ended March 31, 2021 of Old Nautilus set forth in Exhibit 99.1 hereto have been prepared in accordance with U.S. generally accepted accounting principles and pursuant to the regulations of the SEC. The unaudited financial information reflects, in the opinion of management, all adjustments, consisting of normal recurring adjustments, considered necessary for a fair statement of Old Nautilus’ financial position, results of operations and cash flows for the periods indicated. The results reported for the interim period presented are not necessarily indicative of results that may be expected for the full year.</w:t>
      </w:r>
    </w:p>
    <w:p>
      <w:pPr>
        <w:spacing w:after="0" w:line="147" w:lineRule="exact"/>
        <w:rPr>
          <w:sz w:val="20"/>
          <w:szCs w:val="20"/>
          <w:color w:val="auto"/>
        </w:rPr>
      </w:pPr>
    </w:p>
    <w:p>
      <w:pPr>
        <w:jc w:val="both"/>
        <w:spacing w:after="0" w:line="304" w:lineRule="auto"/>
        <w:rPr>
          <w:rFonts w:ascii="Arial" w:cs="Arial" w:eastAsia="Arial" w:hAnsi="Arial"/>
          <w:sz w:val="13"/>
          <w:szCs w:val="13"/>
          <w:color w:val="auto"/>
        </w:rPr>
      </w:pPr>
      <w:r>
        <w:rPr>
          <w:rFonts w:ascii="Arial" w:cs="Arial" w:eastAsia="Arial" w:hAnsi="Arial"/>
          <w:sz w:val="13"/>
          <w:szCs w:val="13"/>
          <w:color w:val="auto"/>
        </w:rPr>
        <w:t>These unaudited condensed financial statements should be read in conjunction with the historical audited financial statements of Old Nautilus as of and for the year ended December 31, 2020 and the related notes included in the Proxy Statement/Prospectus, the section entitled “</w:t>
      </w:r>
      <w:hyperlink r:id="rId13">
        <w:r>
          <w:rPr>
            <w:rFonts w:ascii="Arial" w:cs="Arial" w:eastAsia="Arial" w:hAnsi="Arial"/>
            <w:sz w:val="13"/>
            <w:szCs w:val="13"/>
            <w:i w:val="1"/>
            <w:iCs w:val="1"/>
            <w:u w:val="single" w:color="auto"/>
            <w:color w:val="0000FF"/>
          </w:rPr>
          <w:t>Nautilus’ Management’s Discussion and Analysis of Financial Condition and Results of Operations</w:t>
        </w:r>
      </w:hyperlink>
      <w:r>
        <w:rPr>
          <w:rFonts w:ascii="Arial" w:cs="Arial" w:eastAsia="Arial" w:hAnsi="Arial"/>
          <w:sz w:val="13"/>
          <w:szCs w:val="13"/>
          <w:color w:val="auto"/>
        </w:rPr>
        <w:t>” beginning on page 232 of the Proxy Statement/Prospectus and the section entitled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168"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Unaudited Pro Forma Condensed Combined Financial Information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unaudited pro forma condensed combined financial information of the Company for the year ended December 31, 2020 and as of and for the three months ended March 31, 2021, is set forth in Exhibit 99.2 hereto and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Discussion and Analysis of Financial Condition and Results of Operations</w:t>
      </w:r>
    </w:p>
    <w:p>
      <w:pPr>
        <w:spacing w:after="0" w:line="185" w:lineRule="exact"/>
        <w:rPr>
          <w:sz w:val="20"/>
          <w:szCs w:val="20"/>
          <w:color w:val="auto"/>
        </w:rPr>
      </w:pPr>
    </w:p>
    <w:p>
      <w:pPr>
        <w:jc w:val="both"/>
        <w:spacing w:after="0" w:line="274" w:lineRule="auto"/>
        <w:rPr>
          <w:rFonts w:ascii="Arial" w:cs="Arial" w:eastAsia="Arial" w:hAnsi="Arial"/>
          <w:sz w:val="14"/>
          <w:szCs w:val="14"/>
          <w:i w:val="1"/>
          <w:iCs w:val="1"/>
          <w:color w:val="0000FF"/>
        </w:rPr>
      </w:pPr>
      <w:hyperlink r:id="rId13">
        <w:r>
          <w:rPr>
            <w:rFonts w:ascii="Arial" w:cs="Arial" w:eastAsia="Arial" w:hAnsi="Arial"/>
            <w:sz w:val="14"/>
            <w:szCs w:val="14"/>
            <w:color w:val="auto"/>
          </w:rPr>
          <w:t>Reference is made to the disclosure contained in the Proxy Statement/Prospectus in the sections titled “</w:t>
        </w:r>
        <w:r>
          <w:rPr>
            <w:rFonts w:ascii="Arial" w:cs="Arial" w:eastAsia="Arial" w:hAnsi="Arial"/>
            <w:sz w:val="14"/>
            <w:szCs w:val="14"/>
            <w:i w:val="1"/>
            <w:iCs w:val="1"/>
            <w:u w:val="single" w:color="auto"/>
            <w:color w:val="0000FF"/>
          </w:rPr>
          <w:t>Nautilus’ Management’s Discussion and Analysis of Financial Condition and Results of</w:t>
        </w:r>
      </w:hyperlink>
      <w:r>
        <w:rPr>
          <w:rFonts w:ascii="Arial" w:cs="Arial" w:eastAsia="Arial" w:hAnsi="Arial"/>
          <w:sz w:val="14"/>
          <w:szCs w:val="14"/>
          <w:color w:val="auto"/>
        </w:rPr>
        <w:t xml:space="preserve"> </w:t>
      </w:r>
      <w:hyperlink r:id="rId13">
        <w:r>
          <w:rPr>
            <w:rFonts w:ascii="Arial" w:cs="Arial" w:eastAsia="Arial" w:hAnsi="Arial"/>
            <w:sz w:val="14"/>
            <w:szCs w:val="14"/>
            <w:i w:val="1"/>
            <w:iCs w:val="1"/>
            <w:u w:val="single" w:color="auto"/>
            <w:color w:val="0000FF"/>
          </w:rPr>
          <w:t>Operations</w:t>
        </w:r>
        <w:r>
          <w:rPr>
            <w:rFonts w:ascii="Arial" w:cs="Arial" w:eastAsia="Arial" w:hAnsi="Arial"/>
            <w:sz w:val="14"/>
            <w:szCs w:val="14"/>
            <w:color w:val="000000"/>
          </w:rPr>
          <w:t>” beginning on page 232 of the Proxy Statement/Prospectus and “</w:t>
        </w:r>
      </w:hyperlink>
      <w:hyperlink r:id="rId14">
        <w:r>
          <w:rPr>
            <w:rFonts w:ascii="Arial" w:cs="Arial" w:eastAsia="Arial" w:hAnsi="Arial"/>
            <w:sz w:val="14"/>
            <w:szCs w:val="14"/>
            <w:i w:val="1"/>
            <w:iCs w:val="1"/>
            <w:u w:val="single" w:color="auto"/>
            <w:color w:val="0000FF"/>
          </w:rPr>
          <w:t>ARYA’s Management’s Discussion and Analysis of Financial Condition and Results of Operations</w:t>
        </w:r>
      </w:hyperlink>
      <w:hyperlink r:id="rId13">
        <w:r>
          <w:rPr>
            <w:rFonts w:ascii="Arial" w:cs="Arial" w:eastAsia="Arial" w:hAnsi="Arial"/>
            <w:sz w:val="14"/>
            <w:szCs w:val="14"/>
            <w:i w:val="1"/>
            <w:iCs w:val="1"/>
            <w:color w:val="000000"/>
          </w:rPr>
          <w:t>,</w:t>
        </w:r>
        <w:r>
          <w:rPr>
            <w:rFonts w:ascii="Arial" w:cs="Arial" w:eastAsia="Arial" w:hAnsi="Arial"/>
            <w:sz w:val="14"/>
            <w:szCs w:val="14"/>
            <w:color w:val="000000"/>
          </w:rPr>
          <w:t>” beginning on page</w:t>
        </w:r>
      </w:hyperlink>
      <w:r>
        <w:rPr>
          <w:rFonts w:ascii="Arial" w:cs="Arial" w:eastAsia="Arial" w:hAnsi="Arial"/>
          <w:sz w:val="14"/>
          <w:szCs w:val="14"/>
          <w:i w:val="1"/>
          <w:iCs w:val="1"/>
          <w:color w:val="0000FF"/>
        </w:rPr>
        <w:t xml:space="preserve"> </w:t>
      </w:r>
      <w:r>
        <w:rPr>
          <w:rFonts w:ascii="Arial" w:cs="Arial" w:eastAsia="Arial" w:hAnsi="Arial"/>
          <w:sz w:val="14"/>
          <w:szCs w:val="14"/>
          <w:color w:val="000000"/>
        </w:rPr>
        <w:t>189 of the Proxy Statement/Prospectus, each of which are incorporated herein by reference.</w:t>
      </w:r>
    </w:p>
    <w:p>
      <w:pPr>
        <w:spacing w:after="0" w:line="141" w:lineRule="exact"/>
        <w:rPr>
          <w:rFonts w:ascii="Arial" w:cs="Arial" w:eastAsia="Arial" w:hAnsi="Arial"/>
          <w:sz w:val="14"/>
          <w:szCs w:val="14"/>
          <w:i w:val="1"/>
          <w:iCs w:val="1"/>
          <w:color w:val="0000FF"/>
        </w:rPr>
      </w:pPr>
    </w:p>
    <w:p>
      <w:pPr>
        <w:spacing w:after="0"/>
        <w:rPr>
          <w:sz w:val="20"/>
          <w:szCs w:val="20"/>
          <w:color w:val="auto"/>
        </w:rPr>
      </w:pPr>
      <w:r>
        <w:rPr>
          <w:rFonts w:ascii="Arial" w:cs="Arial" w:eastAsia="Arial" w:hAnsi="Arial"/>
          <w:sz w:val="14"/>
          <w:szCs w:val="14"/>
          <w:color w:val="auto"/>
        </w:rPr>
        <w:t>Management’s discussion and analysis of the financial condition and results of operation of the Company as of and for the three months ended March 31, 2021 is set forth below.</w:t>
      </w:r>
    </w:p>
    <w:p>
      <w:pPr>
        <w:spacing w:after="0" w:line="185" w:lineRule="exact"/>
        <w:rPr>
          <w:rFonts w:ascii="Arial" w:cs="Arial" w:eastAsia="Arial" w:hAnsi="Arial"/>
          <w:sz w:val="14"/>
          <w:szCs w:val="14"/>
          <w:i w:val="1"/>
          <w:iCs w:val="1"/>
          <w:color w:val="0000FF"/>
        </w:rPr>
      </w:pPr>
    </w:p>
    <w:p>
      <w:pPr>
        <w:jc w:val="both"/>
        <w:spacing w:after="0" w:line="286" w:lineRule="auto"/>
        <w:rPr>
          <w:rFonts w:ascii="Arial" w:cs="Arial" w:eastAsia="Arial" w:hAnsi="Arial"/>
          <w:sz w:val="13"/>
          <w:szCs w:val="13"/>
          <w:color w:val="auto"/>
        </w:rPr>
      </w:pPr>
      <w:r>
        <w:rPr>
          <w:rFonts w:ascii="Arial" w:cs="Arial" w:eastAsia="Arial" w:hAnsi="Arial"/>
          <w:sz w:val="13"/>
          <w:szCs w:val="13"/>
          <w:color w:val="auto"/>
        </w:rPr>
        <w:t>The following discussion and analysis provides information that the Company’s management believes is relevant to an assessment and understanding of the Company’s results of operations and financial condition. The discussion should be read together with the historical financial statements and related notes and unaudited pro forma condensed financial information that are included elsewhere or incorporated by reference in this Current Report on Form 8-K. This discussion may contain forward-looking statements based upon current expectations that involve risks and uncertainties. The Company’s actual results may differ materially from those anticipated in these forward-looking statements as a result of various factors, including those set forth in the Proxy Statement/Prospectus in the section entitled “</w:t>
      </w:r>
      <w:hyperlink r:id="rId10">
        <w:r>
          <w:rPr>
            <w:rFonts w:ascii="Arial" w:cs="Arial" w:eastAsia="Arial" w:hAnsi="Arial"/>
            <w:sz w:val="13"/>
            <w:szCs w:val="13"/>
            <w:u w:val="single" w:color="auto"/>
            <w:color w:val="0000FF"/>
          </w:rPr>
          <w:t>Risk Factors</w:t>
        </w:r>
      </w:hyperlink>
      <w:r>
        <w:rPr>
          <w:rFonts w:ascii="Arial" w:cs="Arial" w:eastAsia="Arial" w:hAnsi="Arial"/>
          <w:sz w:val="13"/>
          <w:szCs w:val="13"/>
          <w:color w:val="auto"/>
        </w:rPr>
        <w:t>” beginning on page 28 of the Proxy Statement/Prospectus or in other parts of this Current Report on Form 8-K. Unless the context otherwise requires, references in this “Management’s Discussion and Analysis of Financial Condition and Results of Operations” to “Old Nautilus,” “the Company,” “we,” “us” and “our” refer to the business and operations of Old Nautilus prior to the Business Combination and to New Nautilus and its consolidated subsidiary following the Closing.</w:t>
      </w:r>
    </w:p>
    <w:p>
      <w:pPr>
        <w:spacing w:after="0" w:line="134" w:lineRule="exact"/>
        <w:rPr>
          <w:rFonts w:ascii="Arial" w:cs="Arial" w:eastAsia="Arial" w:hAnsi="Arial"/>
          <w:sz w:val="14"/>
          <w:szCs w:val="14"/>
          <w:i w:val="1"/>
          <w:iCs w:val="1"/>
          <w:color w:val="0000FF"/>
        </w:rPr>
      </w:pPr>
    </w:p>
    <w:p>
      <w:pPr>
        <w:spacing w:after="0"/>
        <w:rPr>
          <w:sz w:val="20"/>
          <w:szCs w:val="20"/>
          <w:color w:val="auto"/>
        </w:rPr>
      </w:pPr>
      <w:r>
        <w:rPr>
          <w:rFonts w:ascii="Arial" w:cs="Arial" w:eastAsia="Arial" w:hAnsi="Arial"/>
          <w:sz w:val="14"/>
          <w:szCs w:val="14"/>
          <w:b w:val="1"/>
          <w:bCs w:val="1"/>
          <w:color w:val="auto"/>
        </w:rPr>
        <w:t>Overview</w:t>
      </w:r>
    </w:p>
    <w:p>
      <w:pPr>
        <w:spacing w:after="0" w:line="189" w:lineRule="exact"/>
        <w:rPr>
          <w:rFonts w:ascii="Arial" w:cs="Arial" w:eastAsia="Arial" w:hAnsi="Arial"/>
          <w:sz w:val="14"/>
          <w:szCs w:val="14"/>
          <w:i w:val="1"/>
          <w:iCs w:val="1"/>
          <w:color w:val="0000FF"/>
        </w:rPr>
      </w:pPr>
    </w:p>
    <w:p>
      <w:pPr>
        <w:jc w:val="both"/>
        <w:spacing w:after="0" w:line="264" w:lineRule="auto"/>
        <w:rPr>
          <w:sz w:val="20"/>
          <w:szCs w:val="20"/>
          <w:color w:val="auto"/>
        </w:rPr>
      </w:pPr>
      <w:r>
        <w:rPr>
          <w:rFonts w:ascii="Arial" w:cs="Arial" w:eastAsia="Arial" w:hAnsi="Arial"/>
          <w:sz w:val="14"/>
          <w:szCs w:val="14"/>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49" w:lineRule="exact"/>
        <w:rPr>
          <w:rFonts w:ascii="Arial" w:cs="Arial" w:eastAsia="Arial" w:hAnsi="Arial"/>
          <w:sz w:val="14"/>
          <w:szCs w:val="14"/>
          <w:i w:val="1"/>
          <w:iCs w:val="1"/>
          <w:color w:val="0000FF"/>
        </w:rPr>
      </w:pPr>
    </w:p>
    <w:p>
      <w:pPr>
        <w:jc w:val="both"/>
        <w:spacing w:after="0" w:line="286" w:lineRule="auto"/>
        <w:rPr>
          <w:sz w:val="20"/>
          <w:szCs w:val="20"/>
          <w:color w:val="auto"/>
        </w:rPr>
      </w:pPr>
      <w:r>
        <w:rPr>
          <w:rFonts w:ascii="Arial" w:cs="Arial" w:eastAsia="Arial" w:hAnsi="Arial"/>
          <w:sz w:val="13"/>
          <w:szCs w:val="13"/>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200" w:lineRule="exact"/>
        <w:rPr>
          <w:rFonts w:ascii="Arial" w:cs="Arial" w:eastAsia="Arial" w:hAnsi="Arial"/>
          <w:sz w:val="14"/>
          <w:szCs w:val="14"/>
          <w:i w:val="1"/>
          <w:iCs w:val="1"/>
          <w:color w:val="0000FF"/>
        </w:rPr>
      </w:pPr>
    </w:p>
    <w:p>
      <w:pPr>
        <w:spacing w:after="0" w:line="200" w:lineRule="exact"/>
        <w:rPr>
          <w:rFonts w:ascii="Arial" w:cs="Arial" w:eastAsia="Arial" w:hAnsi="Arial"/>
          <w:sz w:val="14"/>
          <w:szCs w:val="14"/>
          <w:i w:val="1"/>
          <w:iCs w:val="1"/>
          <w:color w:val="0000FF"/>
        </w:rPr>
      </w:pPr>
    </w:p>
    <w:p>
      <w:pPr>
        <w:spacing w:after="0" w:line="200" w:lineRule="exact"/>
        <w:rPr>
          <w:rFonts w:ascii="Arial" w:cs="Arial" w:eastAsia="Arial" w:hAnsi="Arial"/>
          <w:sz w:val="14"/>
          <w:szCs w:val="14"/>
          <w:i w:val="1"/>
          <w:iCs w:val="1"/>
          <w:color w:val="0000FF"/>
        </w:rPr>
      </w:pPr>
    </w:p>
    <w:p>
      <w:pPr>
        <w:spacing w:after="0" w:line="200" w:lineRule="exact"/>
        <w:rPr>
          <w:rFonts w:ascii="Arial" w:cs="Arial" w:eastAsia="Arial" w:hAnsi="Arial"/>
          <w:sz w:val="14"/>
          <w:szCs w:val="14"/>
          <w:i w:val="1"/>
          <w:iCs w:val="1"/>
          <w:color w:val="0000FF"/>
        </w:rPr>
      </w:pPr>
    </w:p>
    <w:p>
      <w:pPr>
        <w:spacing w:after="0" w:line="204" w:lineRule="exact"/>
        <w:rPr>
          <w:rFonts w:ascii="Arial" w:cs="Arial" w:eastAsia="Arial" w:hAnsi="Arial"/>
          <w:sz w:val="14"/>
          <w:szCs w:val="14"/>
          <w:i w:val="1"/>
          <w:iCs w:val="1"/>
          <w:color w:val="0000FF"/>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168" w:right="31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14"/>
          <w:szCs w:val="14"/>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47"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To date, we have financed our operations primarily through private placements of convertible preferred stock. Through March 31, 2021, we had raised aggregate net proceeds of $108 million from these private placements and as of March 31, 2021, we had cash, cash equivalents and short-term investments of $67.8 million. Following consummation of the Business Combination and PIPE Financing, we received additional gross proceeds of approximately $345 million from PIPE Investors and the Business Combination, offset by approximately $20 million of transaction costs and underwriters’ fees relating to the closing of the Business Combination. Based on this, we believe that our existing cash, cash equivalents, and short-term investments will enable us to fund our planned operating expenses and capital expenditures through at least the next 12 months.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have incurred significant losses since the commencement of our operations. Our net loss was $8.4 million during the three months ended March 31, 2021, and we expect to continue to incur significant losses for the foreseeable future as we continue our research and development activities and planned commercialization of our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168" w:right="319" w:bottom="1440" w:gutter="0" w:footer="0" w:header="0"/>
        </w:sectPr>
      </w:pPr>
    </w:p>
    <w:bookmarkStart w:id="8" w:name="page9"/>
    <w:bookmarkEnd w:id="8"/>
    <w:p>
      <w:pPr>
        <w:jc w:val="both"/>
        <w:spacing w:after="0" w:line="304" w:lineRule="auto"/>
        <w:rPr>
          <w:sz w:val="20"/>
          <w:szCs w:val="20"/>
          <w:color w:val="auto"/>
        </w:rPr>
      </w:pPr>
      <w:r>
        <w:rPr>
          <w:rFonts w:ascii="Arial" w:cs="Arial" w:eastAsia="Arial" w:hAnsi="Arial"/>
          <w:sz w:val="13"/>
          <w:szCs w:val="13"/>
          <w:color w:val="auto"/>
        </w:rPr>
        <w:t>platform. As of March 31, 2021, we had an accumulated deficit of $38.7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We expect our expenses and capital requirements will increase substantially in connection with our ongoing activities as we:</w:t>
      </w:r>
    </w:p>
    <w:p>
      <w:pPr>
        <w:spacing w:after="0" w:line="185" w:lineRule="exact"/>
        <w:rPr>
          <w:sz w:val="20"/>
          <w:szCs w:val="20"/>
          <w:color w:val="auto"/>
        </w:rPr>
      </w:pPr>
    </w:p>
    <w:p>
      <w:pPr>
        <w:ind w:left="520" w:hanging="254"/>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4"/>
          <w:szCs w:val="14"/>
          <w:color w:val="auto"/>
        </w:rPr>
        <w:t>continue our research and development activities, including with respect to our Nautilus Platform;</w:t>
      </w:r>
    </w:p>
    <w:p>
      <w:pPr>
        <w:spacing w:after="0" w:line="185" w:lineRule="exact"/>
        <w:rPr>
          <w:rFonts w:ascii="Arial" w:cs="Arial" w:eastAsia="Arial" w:hAnsi="Arial"/>
          <w:sz w:val="12"/>
          <w:szCs w:val="12"/>
          <w:color w:val="auto"/>
        </w:rPr>
      </w:pPr>
    </w:p>
    <w:p>
      <w:pPr>
        <w:ind w:left="520" w:hanging="254"/>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4"/>
          <w:szCs w:val="14"/>
          <w:color w:val="auto"/>
        </w:rPr>
        <w:t>undertake activities to establish sales, marketing and distribution capabilities for our Nautilus Platform;</w:t>
      </w:r>
    </w:p>
    <w:p>
      <w:pPr>
        <w:spacing w:after="0" w:line="185" w:lineRule="exact"/>
        <w:rPr>
          <w:rFonts w:ascii="Arial" w:cs="Arial" w:eastAsia="Arial" w:hAnsi="Arial"/>
          <w:sz w:val="12"/>
          <w:szCs w:val="12"/>
          <w:color w:val="auto"/>
        </w:rPr>
      </w:pPr>
    </w:p>
    <w:p>
      <w:pPr>
        <w:ind w:left="520" w:hanging="254"/>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4"/>
          <w:szCs w:val="14"/>
          <w:color w:val="auto"/>
        </w:rPr>
        <w:t>setup costs related to production tooling and required testing;</w:t>
      </w:r>
    </w:p>
    <w:p>
      <w:pPr>
        <w:spacing w:after="0" w:line="185" w:lineRule="exact"/>
        <w:rPr>
          <w:rFonts w:ascii="Arial" w:cs="Arial" w:eastAsia="Arial" w:hAnsi="Arial"/>
          <w:sz w:val="12"/>
          <w:szCs w:val="12"/>
          <w:color w:val="auto"/>
        </w:rPr>
      </w:pPr>
    </w:p>
    <w:p>
      <w:pPr>
        <w:ind w:left="520" w:hanging="254"/>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4"/>
          <w:szCs w:val="14"/>
          <w:color w:val="auto"/>
        </w:rPr>
        <w:t>maintain, protect and expand our intellectual property portfolio, including patents, trade secrets and know how;</w:t>
      </w:r>
    </w:p>
    <w:p>
      <w:pPr>
        <w:spacing w:after="0" w:line="185" w:lineRule="exact"/>
        <w:rPr>
          <w:rFonts w:ascii="Arial" w:cs="Arial" w:eastAsia="Arial" w:hAnsi="Arial"/>
          <w:sz w:val="12"/>
          <w:szCs w:val="12"/>
          <w:color w:val="auto"/>
        </w:rPr>
      </w:pPr>
    </w:p>
    <w:p>
      <w:pPr>
        <w:ind w:left="520" w:hanging="254"/>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4"/>
          <w:szCs w:val="14"/>
          <w:color w:val="auto"/>
        </w:rPr>
        <w:t>implement operational, financial and management information systems;</w:t>
      </w:r>
    </w:p>
    <w:p>
      <w:pPr>
        <w:spacing w:after="0" w:line="185" w:lineRule="exact"/>
        <w:rPr>
          <w:rFonts w:ascii="Arial" w:cs="Arial" w:eastAsia="Arial" w:hAnsi="Arial"/>
          <w:sz w:val="12"/>
          <w:szCs w:val="12"/>
          <w:color w:val="auto"/>
        </w:rPr>
      </w:pPr>
    </w:p>
    <w:p>
      <w:pPr>
        <w:ind w:left="520" w:hanging="254"/>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4"/>
          <w:szCs w:val="14"/>
          <w:color w:val="auto"/>
        </w:rPr>
        <w:t>attract, hire and retain additional management, scientific and administrative personnel; and</w:t>
      </w:r>
    </w:p>
    <w:p>
      <w:pPr>
        <w:spacing w:after="0" w:line="185" w:lineRule="exact"/>
        <w:rPr>
          <w:rFonts w:ascii="Arial" w:cs="Arial" w:eastAsia="Arial" w:hAnsi="Arial"/>
          <w:sz w:val="12"/>
          <w:szCs w:val="12"/>
          <w:color w:val="auto"/>
        </w:rPr>
      </w:pPr>
    </w:p>
    <w:p>
      <w:pPr>
        <w:ind w:left="520" w:hanging="254"/>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4"/>
          <w:szCs w:val="14"/>
          <w:color w:val="auto"/>
        </w:rPr>
        <w:t>operate as a public company.</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 Pandemic</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1308" w:right="319" w:bottom="1440" w:gutter="0" w:footer="0" w:header="0"/>
        </w:sectPr>
      </w:pPr>
    </w:p>
    <w:bookmarkStart w:id="9" w:name="page10"/>
    <w:bookmarkEnd w:id="9"/>
    <w:p>
      <w:pPr>
        <w:jc w:val="both"/>
        <w:spacing w:after="0" w:line="295" w:lineRule="auto"/>
        <w:rPr>
          <w:sz w:val="20"/>
          <w:szCs w:val="20"/>
          <w:color w:val="auto"/>
        </w:rPr>
      </w:pPr>
      <w:r>
        <w:rPr>
          <w:rFonts w:ascii="Arial" w:cs="Arial" w:eastAsia="Arial" w:hAnsi="Arial"/>
          <w:sz w:val="13"/>
          <w:szCs w:val="13"/>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disclosure set forth in the “Introductory Note” above with respect to the completion of the Business Combination and the PIPE Financing is incorporated by reference into this Item 2.01.</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conjunction with the consummation of the Business Combination with ARYA, we received gross proceeds of approximately $345 million from PIPE Investors and the Business Combination, offset by approximately $20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To date, we have not generated any revenue and we may not generate any revenue from the sale of products or from other sources in the near future.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General and administrative expenses consist of salaries and benefits, and stock-based compensation expense for personnel in executive, operations, legal, human resources, finance and administrative functions,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168" w:right="31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4"/>
          <w:szCs w:val="14"/>
          <w:color w:val="auto"/>
        </w:rPr>
        <w:t>for legal, patent, consulting, accounting and audit services, and allocated expenses for technology and facilities. We expense general and administrative expenses in the periods in which they are incurred.</w:t>
      </w:r>
    </w:p>
    <w:p>
      <w:pPr>
        <w:spacing w:after="0" w:line="130"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 net consists primarily of interest income on our cash, cash equivalents and short-term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Three Months Ended March 31, 2021 to the Three Months Ended March 31, 2020</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statements of operations for the periods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2600" w:type="dxa"/>
            <w:vAlign w:val="bottom"/>
            <w:gridSpan w:val="4"/>
          </w:tcPr>
          <w:p>
            <w:pPr>
              <w:jc w:val="right"/>
              <w:ind w:right="153"/>
              <w:spacing w:after="0"/>
              <w:rPr>
                <w:sz w:val="20"/>
                <w:szCs w:val="20"/>
                <w:color w:val="auto"/>
              </w:rPr>
            </w:pPr>
            <w:r>
              <w:rPr>
                <w:rFonts w:ascii="Arial" w:cs="Arial" w:eastAsia="Arial" w:hAnsi="Arial"/>
                <w:sz w:val="12"/>
                <w:szCs w:val="12"/>
                <w:b w:val="1"/>
                <w:bCs w:val="1"/>
                <w:color w:val="auto"/>
              </w:rPr>
              <w:t>Three Months Ended March 31,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31"/>
        </w:trPr>
        <w:tc>
          <w:tcPr>
            <w:tcW w:w="4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55"/>
        </w:trPr>
        <w:tc>
          <w:tcPr>
            <w:tcW w:w="4760" w:type="dxa"/>
            <w:vAlign w:val="bottom"/>
          </w:tcPr>
          <w:p>
            <w:pPr>
              <w:spacing w:after="0"/>
              <w:rPr>
                <w:sz w:val="13"/>
                <w:szCs w:val="13"/>
                <w:color w:val="auto"/>
              </w:rPr>
            </w:pPr>
          </w:p>
        </w:tc>
        <w:tc>
          <w:tcPr>
            <w:tcW w:w="980" w:type="dxa"/>
            <w:vAlign w:val="bottom"/>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512"/>
              <w:spacing w:after="0"/>
              <w:rPr>
                <w:sz w:val="20"/>
                <w:szCs w:val="20"/>
                <w:color w:val="auto"/>
              </w:rPr>
            </w:pPr>
            <w:r>
              <w:rPr>
                <w:rFonts w:ascii="Arial" w:cs="Arial" w:eastAsia="Arial" w:hAnsi="Arial"/>
                <w:sz w:val="12"/>
                <w:szCs w:val="12"/>
                <w:b w:val="1"/>
                <w:bCs w:val="1"/>
                <w:color w:val="auto"/>
              </w:rPr>
              <w:t>Change</w:t>
            </w:r>
          </w:p>
        </w:tc>
        <w:tc>
          <w:tcPr>
            <w:tcW w:w="80" w:type="dxa"/>
            <w:vAlign w:val="bottom"/>
          </w:tcPr>
          <w:p>
            <w:pPr>
              <w:spacing w:after="0"/>
              <w:rPr>
                <w:sz w:val="13"/>
                <w:szCs w:val="13"/>
                <w:color w:val="auto"/>
              </w:rPr>
            </w:pPr>
          </w:p>
        </w:tc>
        <w:tc>
          <w:tcPr>
            <w:tcW w:w="1660" w:type="dxa"/>
            <w:vAlign w:val="bottom"/>
          </w:tcPr>
          <w:p>
            <w:pPr>
              <w:jc w:val="right"/>
              <w:ind w:right="582"/>
              <w:spacing w:after="0"/>
              <w:rPr>
                <w:sz w:val="20"/>
                <w:szCs w:val="20"/>
                <w:color w:val="auto"/>
              </w:rPr>
            </w:pPr>
            <w:r>
              <w:rPr>
                <w:rFonts w:ascii="Arial" w:cs="Arial" w:eastAsia="Arial" w:hAnsi="Arial"/>
                <w:sz w:val="12"/>
                <w:szCs w:val="12"/>
                <w:b w:val="1"/>
                <w:bCs w:val="1"/>
                <w:color w:val="auto"/>
              </w:rPr>
              <w:t>Change</w:t>
            </w:r>
          </w:p>
        </w:tc>
      </w:tr>
      <w:tr>
        <w:trPr>
          <w:trHeight w:val="31"/>
        </w:trPr>
        <w:tc>
          <w:tcPr>
            <w:tcW w:w="4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155"/>
        </w:trPr>
        <w:tc>
          <w:tcPr>
            <w:tcW w:w="4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gridSpan w:val="3"/>
          </w:tcPr>
          <w:p>
            <w:pPr>
              <w:jc w:val="right"/>
              <w:ind w:right="593"/>
              <w:spacing w:after="0"/>
              <w:rPr>
                <w:sz w:val="20"/>
                <w:szCs w:val="20"/>
                <w:color w:val="auto"/>
              </w:rPr>
            </w:pPr>
            <w:r>
              <w:rPr>
                <w:rFonts w:ascii="Arial" w:cs="Arial" w:eastAsia="Arial" w:hAnsi="Arial"/>
                <w:sz w:val="12"/>
                <w:szCs w:val="12"/>
                <w:b w:val="1"/>
                <w:bCs w:val="1"/>
                <w:color w:val="auto"/>
              </w:rPr>
              <w:t>(in thousands)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632"/>
              <w:spacing w:after="0"/>
              <w:rPr>
                <w:sz w:val="20"/>
                <w:szCs w:val="20"/>
                <w:color w:val="auto"/>
              </w:rPr>
            </w:pPr>
            <w:r>
              <w:rPr>
                <w:rFonts w:ascii="Arial" w:cs="Arial" w:eastAsia="Arial" w:hAnsi="Arial"/>
                <w:sz w:val="12"/>
                <w:szCs w:val="12"/>
                <w:b w:val="1"/>
                <w:bCs w:val="1"/>
                <w:color w:val="auto"/>
              </w:rPr>
              <w:t>($)</w:t>
            </w:r>
          </w:p>
        </w:tc>
        <w:tc>
          <w:tcPr>
            <w:tcW w:w="1740" w:type="dxa"/>
            <w:vAlign w:val="bottom"/>
            <w:gridSpan w:val="2"/>
          </w:tcPr>
          <w:p>
            <w:pPr>
              <w:jc w:val="right"/>
              <w:ind w:right="682"/>
              <w:spacing w:after="0"/>
              <w:rPr>
                <w:sz w:val="20"/>
                <w:szCs w:val="20"/>
                <w:color w:val="auto"/>
              </w:rPr>
            </w:pPr>
            <w:r>
              <w:rPr>
                <w:rFonts w:ascii="Arial" w:cs="Arial" w:eastAsia="Arial" w:hAnsi="Arial"/>
                <w:sz w:val="12"/>
                <w:szCs w:val="12"/>
                <w:b w:val="1"/>
                <w:bCs w:val="1"/>
                <w:color w:val="auto"/>
              </w:rPr>
              <w:t>(%)</w:t>
            </w:r>
          </w:p>
        </w:tc>
      </w:tr>
      <w:tr>
        <w:trPr>
          <w:trHeight w:val="31"/>
        </w:trPr>
        <w:tc>
          <w:tcPr>
            <w:tcW w:w="4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204"/>
        </w:trPr>
        <w:tc>
          <w:tcPr>
            <w:tcW w:w="476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980" w:type="dxa"/>
            <w:vAlign w:val="bottom"/>
          </w:tcPr>
          <w:p>
            <w:pPr>
              <w:jc w:val="right"/>
              <w:ind w:right="81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4,835</w:t>
            </w:r>
          </w:p>
        </w:tc>
        <w:tc>
          <w:tcPr>
            <w:tcW w:w="80" w:type="dxa"/>
            <w:vAlign w:val="bottom"/>
          </w:tcPr>
          <w:p>
            <w:pPr>
              <w:spacing w:after="0"/>
              <w:rPr>
                <w:sz w:val="17"/>
                <w:szCs w:val="17"/>
                <w:color w:val="auto"/>
              </w:rPr>
            </w:pPr>
          </w:p>
        </w:tc>
        <w:tc>
          <w:tcPr>
            <w:tcW w:w="980" w:type="dxa"/>
            <w:vAlign w:val="bottom"/>
          </w:tcPr>
          <w:p>
            <w:pPr>
              <w:jc w:val="right"/>
              <w:ind w:right="833"/>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2,470</w:t>
            </w:r>
          </w:p>
        </w:tc>
        <w:tc>
          <w:tcPr>
            <w:tcW w:w="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2,365</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96 %</w:t>
            </w:r>
          </w:p>
        </w:tc>
      </w:tr>
      <w:tr>
        <w:trPr>
          <w:trHeight w:val="23"/>
        </w:trPr>
        <w:tc>
          <w:tcPr>
            <w:tcW w:w="4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7"/>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580 %</w:t>
            </w:r>
          </w:p>
        </w:tc>
      </w:tr>
      <w:tr>
        <w:trPr>
          <w:trHeight w:val="195"/>
        </w:trPr>
        <w:tc>
          <w:tcPr>
            <w:tcW w:w="476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9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8,417</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2,997</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5,420</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181 %</w:t>
            </w:r>
          </w:p>
        </w:tc>
      </w:tr>
      <w:tr>
        <w:trPr>
          <w:trHeight w:val="23"/>
        </w:trPr>
        <w:tc>
          <w:tcPr>
            <w:tcW w:w="4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r>
      <w:tr>
        <w:trPr>
          <w:trHeight w:val="21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9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17"/>
        </w:trPr>
        <w:tc>
          <w:tcPr>
            <w:tcW w:w="4760" w:type="dxa"/>
            <w:vAlign w:val="bottom"/>
          </w:tcPr>
          <w:p>
            <w:pPr>
              <w:ind w:left="360"/>
              <w:spacing w:after="0"/>
              <w:rPr>
                <w:sz w:val="20"/>
                <w:szCs w:val="20"/>
                <w:color w:val="auto"/>
              </w:rPr>
            </w:pPr>
            <w:r>
              <w:rPr>
                <w:rFonts w:ascii="Arial" w:cs="Arial" w:eastAsia="Arial" w:hAnsi="Arial"/>
                <w:sz w:val="14"/>
                <w:szCs w:val="14"/>
                <w:color w:val="auto"/>
              </w:rPr>
              <w:t>Net loss</w:t>
            </w:r>
          </w:p>
        </w:tc>
        <w:tc>
          <w:tcPr>
            <w:tcW w:w="98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(8,409)</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(2,934)</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(5,475)</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187 %</w:t>
            </w:r>
          </w:p>
        </w:tc>
      </w:tr>
      <w:tr>
        <w:trPr>
          <w:trHeight w:val="20"/>
        </w:trPr>
        <w:tc>
          <w:tcPr>
            <w:tcW w:w="4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Research and development expenses were $4.8 million for the three months ended March 31, 2021, compared to $2.5 million for the three months ended March 31, 2020, an increase of $2.4 million, or 96%. The increase was primarily due to a $1.4 million increase in salaries, related benefits, and stock-based compensation to support on-going development of our products, a $0.7 million increase in laboratory supplies and equipment expense and a $0.1 million increase in facilities costs.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General and administrative expenses were $3.6 million for the three months ended March 31, 2021, compared to $0.5 million for the three months ended March 31, 2020, an increase of $3.1 million, or 580%. The increase was primarily due to a $1.5 million increase in salaries, related benefits, and stock-based compensation, a $1.2 million increase in professional services, primarily related to audit and legal activities, and a $0.1 million increase in facilities costs.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 net did not significantly fluctuate during the three months ended March 31, 2021 as compared to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1168"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w:t>
      </w:r>
      <w:r>
        <w:rPr>
          <w:rFonts w:ascii="Arial" w:cs="Arial" w:eastAsia="Arial" w:hAnsi="Arial"/>
          <w:sz w:val="14"/>
          <w:szCs w:val="14"/>
          <w:color w:val="auto"/>
        </w:rPr>
        <w:t>y</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Since our inception, we have not generated any revenue from product sales and have incurred significant operating losses and negative cash flows from our operations. Our net loss was $8.4 million for the three months ended March 31, 2021. As of March 31, 2021, we had an accumulated deficit of $38.7 million. Prior to the Business Combination, we have funded our operations primarily with proceeds from the sale of convertible preferred stock. Through March 31, 2021, we had raised net proceeds of $108.4 million from these private placements of our convertible preferred stock and had cash, cash equivalents and short-term investments of $67.8 million. In June 2021, in conjunction with the consummation of the Business Combination with ARYA, we received additional gross proceeds of approximately $345 million from PIPE Investors and the Business Combination, offset by approximately $20 million of transaction costs and underwriters’ fees relating to the closing of the Business Combination.</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0" w:lineRule="exact"/>
        <w:rPr>
          <w:sz w:val="20"/>
          <w:szCs w:val="20"/>
          <w:color w:val="auto"/>
        </w:rPr>
      </w:pPr>
    </w:p>
    <w:p>
      <w:pPr>
        <w:ind w:left="520" w:hanging="25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continue our research and development activities, including with respect to our proteomics platform;</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undertake activities to establish sales, marketing and distribution capabilities for our proteomics platform;</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incur setup costs related to production tooling and required testing;</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maintain, protect and expand our intellectual property portfolio, including patents, trade secrets and know how;</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implement operational, financial and management information systems;</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attract, hire and retain additional management, scientific and administrative personnel; and</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operate as a public company.</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1164" w:right="319" w:bottom="1440" w:gutter="0" w:footer="0" w:header="0"/>
        </w:sectPr>
      </w:pPr>
    </w:p>
    <w:bookmarkStart w:id="12" w:name="page13"/>
    <w:bookmarkEnd w:id="12"/>
    <w:p>
      <w:pPr>
        <w:jc w:val="both"/>
        <w:spacing w:after="0" w:line="290" w:lineRule="auto"/>
        <w:rPr>
          <w:sz w:val="20"/>
          <w:szCs w:val="20"/>
          <w:color w:val="auto"/>
        </w:rPr>
      </w:pPr>
      <w:r>
        <w:rPr>
          <w:rFonts w:ascii="Arial" w:cs="Arial" w:eastAsia="Arial" w:hAnsi="Arial"/>
          <w:sz w:val="14"/>
          <w:szCs w:val="14"/>
          <w:color w:val="auto"/>
        </w:rPr>
        <w:t>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30"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Historical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Months Ended March 31, 2021 and 2020</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three months ended March 31, 2021 and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2640" w:type="dxa"/>
            <w:vAlign w:val="bottom"/>
            <w:gridSpan w:val="4"/>
          </w:tcPr>
          <w:p>
            <w:pPr>
              <w:jc w:val="center"/>
              <w:ind w:left="512"/>
              <w:spacing w:after="0"/>
              <w:rPr>
                <w:sz w:val="20"/>
                <w:szCs w:val="20"/>
                <w:color w:val="auto"/>
              </w:rPr>
            </w:pPr>
            <w:r>
              <w:rPr>
                <w:rFonts w:ascii="Arial" w:cs="Arial" w:eastAsia="Arial" w:hAnsi="Arial"/>
                <w:sz w:val="12"/>
                <w:szCs w:val="12"/>
                <w:b w:val="1"/>
                <w:bCs w:val="1"/>
                <w:color w:val="auto"/>
                <w:w w:val="89"/>
              </w:rPr>
              <w:t>Three Months Ended March 31,</w:t>
            </w:r>
          </w:p>
        </w:tc>
        <w:tc>
          <w:tcPr>
            <w:tcW w:w="580" w:type="dxa"/>
            <w:vAlign w:val="bottom"/>
          </w:tcPr>
          <w:p>
            <w:pPr>
              <w:spacing w:after="0"/>
              <w:rPr>
                <w:sz w:val="12"/>
                <w:szCs w:val="12"/>
                <w:color w:val="auto"/>
              </w:rPr>
            </w:pPr>
          </w:p>
        </w:tc>
      </w:tr>
      <w:tr>
        <w:trPr>
          <w:trHeight w:val="31"/>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55"/>
        </w:trPr>
        <w:tc>
          <w:tcPr>
            <w:tcW w:w="806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2"/>
                <w:szCs w:val="12"/>
                <w:b w:val="1"/>
                <w:bCs w:val="1"/>
                <w:color w:val="auto"/>
              </w:rPr>
              <w:t>2020</w:t>
            </w:r>
          </w:p>
        </w:tc>
        <w:tc>
          <w:tcPr>
            <w:tcW w:w="580" w:type="dxa"/>
            <w:vAlign w:val="bottom"/>
          </w:tcPr>
          <w:p>
            <w:pPr>
              <w:spacing w:after="0"/>
              <w:rPr>
                <w:sz w:val="13"/>
                <w:szCs w:val="13"/>
                <w:color w:val="auto"/>
              </w:rPr>
            </w:pPr>
          </w:p>
        </w:tc>
      </w:tr>
      <w:tr>
        <w:trPr>
          <w:trHeight w:val="31"/>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55"/>
        </w:trPr>
        <w:tc>
          <w:tcPr>
            <w:tcW w:w="8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60" w:type="dxa"/>
            <w:vAlign w:val="bottom"/>
            <w:gridSpan w:val="3"/>
          </w:tcPr>
          <w:p>
            <w:pPr>
              <w:jc w:val="center"/>
              <w:ind w:right="332"/>
              <w:spacing w:after="0"/>
              <w:rPr>
                <w:sz w:val="20"/>
                <w:szCs w:val="20"/>
                <w:color w:val="auto"/>
              </w:rPr>
            </w:pPr>
            <w:r>
              <w:rPr>
                <w:rFonts w:ascii="Arial" w:cs="Arial" w:eastAsia="Arial" w:hAnsi="Arial"/>
                <w:sz w:val="12"/>
                <w:szCs w:val="12"/>
                <w:b w:val="1"/>
                <w:bCs w:val="1"/>
                <w:color w:val="auto"/>
                <w:w w:val="84"/>
              </w:rPr>
              <w:t>(in thousands)</w:t>
            </w:r>
          </w:p>
        </w:tc>
        <w:tc>
          <w:tcPr>
            <w:tcW w:w="580" w:type="dxa"/>
            <w:vAlign w:val="bottom"/>
          </w:tcPr>
          <w:p>
            <w:pPr>
              <w:spacing w:after="0"/>
              <w:rPr>
                <w:sz w:val="13"/>
                <w:szCs w:val="13"/>
                <w:color w:val="auto"/>
              </w:rPr>
            </w:pPr>
          </w:p>
        </w:tc>
      </w:tr>
      <w:tr>
        <w:trPr>
          <w:trHeight w:val="31"/>
        </w:trPr>
        <w:tc>
          <w:tcPr>
            <w:tcW w:w="8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0"/>
              </w:rPr>
              <w:t>(6,253)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(2,621)</w:t>
            </w:r>
          </w:p>
        </w:tc>
      </w:tr>
      <w:tr>
        <w:trPr>
          <w:trHeight w:val="219"/>
        </w:trPr>
        <w:tc>
          <w:tcPr>
            <w:tcW w:w="806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Pr>
          <w:p>
            <w:pPr>
              <w:spacing w:after="0"/>
              <w:rPr>
                <w:sz w:val="19"/>
                <w:szCs w:val="19"/>
                <w:color w:val="auto"/>
              </w:rPr>
            </w:pPr>
          </w:p>
        </w:tc>
        <w:tc>
          <w:tcPr>
            <w:tcW w:w="580" w:type="dxa"/>
            <w:vAlign w:val="bottom"/>
          </w:tcPr>
          <w:p>
            <w:pPr>
              <w:ind w:left="80"/>
              <w:spacing w:after="0"/>
              <w:rPr>
                <w:sz w:val="20"/>
                <w:szCs w:val="20"/>
                <w:color w:val="auto"/>
              </w:rPr>
            </w:pPr>
            <w:r>
              <w:rPr>
                <w:rFonts w:ascii="Arial" w:cs="Arial" w:eastAsia="Arial" w:hAnsi="Arial"/>
                <w:sz w:val="16"/>
                <w:szCs w:val="16"/>
                <w:color w:val="auto"/>
                <w:w w:val="98"/>
              </w:rPr>
              <w:t>23,518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7,886</w:t>
            </w:r>
          </w:p>
        </w:tc>
      </w:tr>
      <w:tr>
        <w:trPr>
          <w:trHeight w:val="30"/>
        </w:trPr>
        <w:tc>
          <w:tcPr>
            <w:tcW w:w="8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0"/>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060" w:type="dxa"/>
            <w:vAlign w:val="bottom"/>
          </w:tcPr>
          <w:p>
            <w:pPr>
              <w:ind w:left="200"/>
              <w:spacing w:after="0"/>
              <w:rPr>
                <w:sz w:val="20"/>
                <w:szCs w:val="20"/>
                <w:color w:val="auto"/>
              </w:rPr>
            </w:pPr>
            <w:r>
              <w:rPr>
                <w:rFonts w:ascii="Arial" w:cs="Arial" w:eastAsia="Arial" w:hAnsi="Arial"/>
                <w:sz w:val="16"/>
                <w:szCs w:val="16"/>
                <w:color w:val="auto"/>
              </w:rPr>
              <w:t>Net increase in cash, cash equivalents and restricted cash</w:t>
            </w:r>
          </w:p>
        </w:tc>
        <w:tc>
          <w:tcPr>
            <w:tcW w:w="98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w w:val="98"/>
              </w:rPr>
              <w:t>15,196</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5,265</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three months ended March 31, 2021, net cash used in operating activities was $6.3 million, primarily resulting from our operating loss of $8.4 million, offset by non-cash charges aggregating $2.1 million, which primarily included $1.3 million of stock-based compensation and $0.4 million amortization of operating lease right-of-use assets.</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the three months ended March 31, 2020, net cash used in operating activities was $2.6 million, primarily resulting from our operating loss of $2.9 million, offset by non-cash charges aggregating $0.7 million, which primarily included $0.4 million amortization of operating lease right-of-use assets. Net cash used in operating activities was increased by net changes in assets and liabilities aggregating $0.4 million, primarily driven by $0.4 million decrease in operating lease liability.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three months ended March 31, 2021, net cash provided by investing activities was $23.5 million, primarily resulting from $24.0 million in proceeds from maturities of securities, partially offset by $0.5 million in purchases of property and equipment.</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three months ended March 31, 2020, net cash provided by investing activities was $7.9 million, primarily resulting from $8.0 million in proceeds from sale and maturities of securities, partially offset by $0.1 million in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1168"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March 31, 2021, net cash used in financing activities was $2.1 million from payments of deferred offering costs.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contractual obligations as of March 31, 2021 and the effects that such obligations are expected to have on our liquidity and cash flows in future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6"/>
              </w:rPr>
              <w:t>Payments Due by Period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1"/>
        </w:trPr>
        <w:tc>
          <w:tcPr>
            <w:tcW w:w="4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5"/>
        </w:trPr>
        <w:tc>
          <w:tcPr>
            <w:tcW w:w="43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Less than 1 Year</w:t>
            </w:r>
          </w:p>
        </w:tc>
        <w:tc>
          <w:tcPr>
            <w:tcW w:w="22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1-3 Years</w:t>
            </w:r>
          </w:p>
        </w:tc>
        <w:tc>
          <w:tcPr>
            <w:tcW w:w="26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3-5 Years</w:t>
            </w:r>
          </w:p>
        </w:tc>
        <w:tc>
          <w:tcPr>
            <w:tcW w:w="160" w:type="dxa"/>
            <w:vAlign w:val="bottom"/>
          </w:tcPr>
          <w:p>
            <w:pPr>
              <w:spacing w:after="0"/>
              <w:rPr>
                <w:sz w:val="13"/>
                <w:szCs w:val="13"/>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More than 5 years</w:t>
            </w:r>
          </w:p>
        </w:tc>
      </w:tr>
      <w:tr>
        <w:trPr>
          <w:trHeight w:val="31"/>
        </w:trPr>
        <w:tc>
          <w:tcPr>
            <w:tcW w:w="4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5"/>
        </w:trPr>
        <w:tc>
          <w:tcPr>
            <w:tcW w:w="4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4"/>
              </w:rPr>
              <w:t>(in thousands)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1"/>
        </w:trPr>
        <w:tc>
          <w:tcPr>
            <w:tcW w:w="4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0"/>
                <w:szCs w:val="20"/>
                <w:color w:val="auto"/>
                <w:vertAlign w:val="superscript"/>
              </w:rPr>
              <w:t>(1)(2)</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5,926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19"/>
        </w:trPr>
        <w:tc>
          <w:tcPr>
            <w:tcW w:w="4340" w:type="dxa"/>
            <w:vAlign w:val="bottom"/>
          </w:tcPr>
          <w:p>
            <w:pPr>
              <w:ind w:left="20"/>
              <w:spacing w:after="0"/>
              <w:rPr>
                <w:sz w:val="20"/>
                <w:szCs w:val="20"/>
                <w:color w:val="auto"/>
              </w:rPr>
            </w:pPr>
            <w:r>
              <w:rPr>
                <w:rFonts w:ascii="Arial" w:cs="Arial" w:eastAsia="Arial" w:hAnsi="Arial"/>
                <w:sz w:val="16"/>
                <w:szCs w:val="16"/>
                <w:color w:val="auto"/>
              </w:rPr>
              <w:t>Purchase obligations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30"/>
        </w:trPr>
        <w:tc>
          <w:tcPr>
            <w:tcW w:w="4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6"/>
        </w:trPr>
        <w:tc>
          <w:tcPr>
            <w:tcW w:w="4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7,263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 w:lineRule="exact"/>
        <w:rPr>
          <w:sz w:val="20"/>
          <w:szCs w:val="20"/>
          <w:color w:val="auto"/>
        </w:rPr>
      </w:pPr>
    </w:p>
    <w:p>
      <w:pPr>
        <w:ind w:left="260" w:hanging="253"/>
        <w:spacing w:after="0"/>
        <w:tabs>
          <w:tab w:leader="none" w:pos="26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Reflects minimum payments due for office space and laboratory space under our leases in Seattle, Washington and San Carlos, California.</w:t>
      </w:r>
    </w:p>
    <w:p>
      <w:pPr>
        <w:ind w:left="260" w:hanging="253"/>
        <w:spacing w:after="0" w:line="231" w:lineRule="auto"/>
        <w:tabs>
          <w:tab w:leader="none" w:pos="259"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December 2020, we entered into a new lease in San Carlos, California for ten years commencing in September 2021 and expiring in September 2031 with total minimum lease payments of $42.1 million. This lease had not commenced and therefore was not included in the operating lease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currently do not have, and did not have during the periods presented, any off-balance sheet arrangements, as defined in the rules and regulations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9"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Our discussion and analysis of financial condition results of operations are based upon our financial statements included elsewhere or incorporated by reference in this Current Report on Form 8-K. The preparation of our financial statements in accordance with GAAP requires us to make estimates and assumptions that affect the reported amounts of assets, liabilities, and expenses.</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1168" w:right="31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4"/>
          <w:szCs w:val="14"/>
          <w:color w:val="auto"/>
        </w:rPr>
        <w:t>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Redeemable Convertible Preferred Stock</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8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Black-Scholes option pricing model utilizes inputs which are highly subjective assumptions and generally require significant judgment. These assumptions include:</w:t>
      </w:r>
    </w:p>
    <w:p>
      <w:pPr>
        <w:spacing w:after="0" w:line="185" w:lineRule="exact"/>
        <w:rPr>
          <w:sz w:val="20"/>
          <w:szCs w:val="20"/>
          <w:color w:val="auto"/>
        </w:rPr>
      </w:pPr>
    </w:p>
    <w:p>
      <w:pPr>
        <w:ind w:left="520" w:hanging="254"/>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Fair Value of Common Stock. </w:t>
      </w:r>
      <w:r>
        <w:rPr>
          <w:rFonts w:ascii="Arial" w:cs="Arial" w:eastAsia="Arial" w:hAnsi="Arial"/>
          <w:sz w:val="14"/>
          <w:szCs w:val="14"/>
          <w:color w:val="auto"/>
        </w:rPr>
        <w:t>See the subsection titled “Common Stock Valuations” below.</w:t>
      </w:r>
    </w:p>
    <w:p>
      <w:pPr>
        <w:spacing w:after="0" w:line="185" w:lineRule="exact"/>
        <w:rPr>
          <w:rFonts w:ascii="Arial" w:cs="Arial" w:eastAsia="Arial" w:hAnsi="Arial"/>
          <w:sz w:val="14"/>
          <w:szCs w:val="14"/>
          <w:color w:val="auto"/>
        </w:rPr>
      </w:pPr>
    </w:p>
    <w:p>
      <w:pPr>
        <w:ind w:left="520" w:hanging="254"/>
        <w:spacing w:after="0" w:line="290"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The risk-free interest rate is based on the U.S. Treasury zero coupon issues in effect at the time of grant for periods corresponding with the expected term of the</w:t>
      </w:r>
      <w:r>
        <w:rPr>
          <w:rFonts w:ascii="Arial" w:cs="Arial" w:eastAsia="Arial" w:hAnsi="Arial"/>
          <w:sz w:val="14"/>
          <w:szCs w:val="14"/>
          <w:i w:val="1"/>
          <w:iCs w:val="1"/>
          <w:color w:val="auto"/>
        </w:rPr>
        <w:t xml:space="preserve"> </w:t>
      </w:r>
      <w:r>
        <w:rPr>
          <w:rFonts w:ascii="Arial" w:cs="Arial" w:eastAsia="Arial" w:hAnsi="Arial"/>
          <w:sz w:val="14"/>
          <w:szCs w:val="14"/>
          <w:color w:val="auto"/>
        </w:rPr>
        <w:t>option.</w:t>
      </w:r>
    </w:p>
    <w:p>
      <w:pPr>
        <w:spacing w:after="0" w:line="130" w:lineRule="exact"/>
        <w:rPr>
          <w:rFonts w:ascii="Arial" w:cs="Arial" w:eastAsia="Arial" w:hAnsi="Arial"/>
          <w:sz w:val="14"/>
          <w:szCs w:val="14"/>
          <w:color w:val="auto"/>
        </w:rPr>
      </w:pPr>
    </w:p>
    <w:p>
      <w:pPr>
        <w:jc w:val="both"/>
        <w:ind w:left="520" w:hanging="254"/>
        <w:spacing w:after="0" w:line="268"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Because we have been privately held and do not have any trading history for our common stock, the expected volatility was estimated based on the average volatility</w:t>
      </w:r>
      <w:r>
        <w:rPr>
          <w:rFonts w:ascii="Arial" w:cs="Arial" w:eastAsia="Arial" w:hAnsi="Arial"/>
          <w:sz w:val="14"/>
          <w:szCs w:val="14"/>
          <w:i w:val="1"/>
          <w:iCs w:val="1"/>
          <w:color w:val="auto"/>
        </w:rPr>
        <w:t xml:space="preserve"> </w:t>
      </w:r>
      <w:r>
        <w:rPr>
          <w:rFonts w:ascii="Arial" w:cs="Arial" w:eastAsia="Arial" w:hAnsi="Arial"/>
          <w:sz w:val="14"/>
          <w:szCs w:val="14"/>
          <w:color w:val="auto"/>
        </w:rPr>
        <w:t>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146" w:lineRule="exact"/>
        <w:rPr>
          <w:rFonts w:ascii="Arial" w:cs="Arial" w:eastAsia="Arial" w:hAnsi="Arial"/>
          <w:sz w:val="14"/>
          <w:szCs w:val="14"/>
          <w:color w:val="auto"/>
        </w:rPr>
      </w:pPr>
    </w:p>
    <w:p>
      <w:pPr>
        <w:ind w:left="520" w:hanging="254"/>
        <w:spacing w:after="0" w:line="330"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The expected term represents the period that the stock-based awards are expected to be outstanding and is determined using the simplified method (based on the mid-point between the vesting date and the end of the contractual term), as we do not have sufficient historical data to use any other method to estimate expected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1168" w:right="319" w:bottom="1440" w:gutter="0" w:footer="0" w:header="0"/>
        </w:sectPr>
      </w:pPr>
    </w:p>
    <w:bookmarkStart w:id="15" w:name="page16"/>
    <w:bookmarkEnd w:id="15"/>
    <w:p>
      <w:pPr>
        <w:ind w:left="520" w:hanging="254"/>
        <w:spacing w:after="0" w:line="290"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Yield. </w:t>
      </w:r>
      <w:r>
        <w:rPr>
          <w:rFonts w:ascii="Arial" w:cs="Arial" w:eastAsia="Arial" w:hAnsi="Arial"/>
          <w:sz w:val="14"/>
          <w:szCs w:val="14"/>
          <w:color w:val="auto"/>
        </w:rPr>
        <w:t>We have never paid dividends on our common stock and have no plans to pay dividends on our common stock. Therefore, we used an expected dividend yield</w:t>
      </w:r>
      <w:r>
        <w:rPr>
          <w:rFonts w:ascii="Arial" w:cs="Arial" w:eastAsia="Arial" w:hAnsi="Arial"/>
          <w:sz w:val="14"/>
          <w:szCs w:val="14"/>
          <w:i w:val="1"/>
          <w:iCs w:val="1"/>
          <w:color w:val="auto"/>
        </w:rPr>
        <w:t xml:space="preserve"> </w:t>
      </w:r>
      <w:r>
        <w:rPr>
          <w:rFonts w:ascii="Arial" w:cs="Arial" w:eastAsia="Arial" w:hAnsi="Arial"/>
          <w:sz w:val="14"/>
          <w:szCs w:val="14"/>
          <w:color w:val="auto"/>
        </w:rPr>
        <w:t>of zero.</w:t>
      </w:r>
    </w:p>
    <w:p>
      <w:pPr>
        <w:spacing w:after="0" w:line="130"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Prior to the closing of the Business Combination, there has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149" w:lineRule="exact"/>
        <w:rPr>
          <w:sz w:val="20"/>
          <w:szCs w:val="20"/>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results of operations and financial position, including our levels of available capital resources;</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stage of development and material risks related to our business;</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progress of our research and development activities;</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business conditions and projections;</w:t>
      </w:r>
    </w:p>
    <w:p>
      <w:pPr>
        <w:spacing w:after="0" w:line="185" w:lineRule="exact"/>
        <w:rPr>
          <w:rFonts w:ascii="Arial" w:cs="Arial" w:eastAsia="Arial" w:hAnsi="Arial"/>
          <w:sz w:val="14"/>
          <w:szCs w:val="14"/>
          <w:color w:val="auto"/>
        </w:rPr>
      </w:pPr>
    </w:p>
    <w:p>
      <w:pPr>
        <w:jc w:val="both"/>
        <w:ind w:left="520" w:hanging="254"/>
        <w:spacing w:after="0" w:line="274"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141"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lack of marketability of our common stock as a private company;</w:t>
      </w:r>
    </w:p>
    <w:p>
      <w:pPr>
        <w:spacing w:after="0" w:line="185" w:lineRule="exact"/>
        <w:rPr>
          <w:rFonts w:ascii="Arial" w:cs="Arial" w:eastAsia="Arial" w:hAnsi="Arial"/>
          <w:sz w:val="14"/>
          <w:szCs w:val="14"/>
          <w:color w:val="auto"/>
        </w:rPr>
      </w:pPr>
    </w:p>
    <w:p>
      <w:pPr>
        <w:ind w:left="520" w:hanging="254"/>
        <w:spacing w:after="0" w:line="29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30"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rights, preferences, and privileges of our convertible preferred stock relative to those of our common stock;</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likelihood of achieving a liquidity event for our securityholders, such as an initial public offering or a sale of our company, given prevailing market conditions;</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hiring of key personnel and the experience of management;</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trends and developments in our industry;</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external market conditions affecting the life sciences and biotechnology industry sectors; and</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applicable, the implied equity value of Old Nautilus as contemplated by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1168" w:right="319" w:bottom="1440" w:gutter="0" w:footer="0" w:header="0"/>
        </w:sectPr>
      </w:pPr>
    </w:p>
    <w:bookmarkStart w:id="16" w:name="page17"/>
    <w:bookmarkEnd w:id="16"/>
    <w:p>
      <w:pPr>
        <w:spacing w:after="0" w:line="290" w:lineRule="auto"/>
        <w:rPr>
          <w:sz w:val="20"/>
          <w:szCs w:val="20"/>
          <w:color w:val="auto"/>
        </w:rPr>
      </w:pPr>
      <w:r>
        <w:rPr>
          <w:rFonts w:ascii="Arial" w:cs="Arial" w:eastAsia="Arial" w:hAnsi="Arial"/>
          <w:sz w:val="14"/>
          <w:szCs w:val="14"/>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30" w:lineRule="exact"/>
        <w:rPr>
          <w:sz w:val="20"/>
          <w:szCs w:val="20"/>
          <w:color w:val="auto"/>
        </w:rPr>
      </w:pPr>
    </w:p>
    <w:p>
      <w:pPr>
        <w:ind w:left="520" w:hanging="254"/>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(“OPM”), shares are valued by creating a series of call options with exercise prices based on the liquidation preferences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conversion terms of each equity class. The estimated fair values of the preferred and common stock are inferred by analyzing these options.</w:t>
      </w:r>
    </w:p>
    <w:p>
      <w:pPr>
        <w:spacing w:after="0" w:line="130" w:lineRule="exact"/>
        <w:rPr>
          <w:rFonts w:ascii="Arial" w:cs="Arial" w:eastAsia="Arial" w:hAnsi="Arial"/>
          <w:sz w:val="14"/>
          <w:szCs w:val="14"/>
          <w:color w:val="auto"/>
        </w:rPr>
      </w:pPr>
    </w:p>
    <w:p>
      <w:pPr>
        <w:jc w:val="both"/>
        <w:ind w:left="520" w:hanging="254"/>
        <w:spacing w:after="0" w:line="274"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Probability-Weighted Expected Return Method. </w:t>
      </w:r>
      <w:r>
        <w:rPr>
          <w:rFonts w:ascii="Arial" w:cs="Arial" w:eastAsia="Arial" w:hAnsi="Arial"/>
          <w:sz w:val="14"/>
          <w:szCs w:val="14"/>
          <w:color w:val="auto"/>
        </w:rPr>
        <w:t>The probability-weighted expected return method (“PWERM”) is a scenario-based analysis that estimates value per share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probability-weighted present value of expected future investment returns, considering each of the possible outcomes available to us, as well as the economic and control rights of each share class.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147"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For the valuations performed in December 2020, we used a hybrid method utilizing a combination of the OPM and the PWERM. We utilized two different scenarios: (a) a transaction with a SPAC and (b) an acquisition by 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awards granted in late January 2021, these were granted at the grant date fair value on the date of grant. Our board of directors made a determination of the fair market value of our common stock which contemplated the implied equity value of the Old Nautilus per the Business Combination agreement that was executed on February 7, 2021.</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Following the closing of the Business Combination, the Board will determine the fair market value of New Nautilus common stock based on its closing price as reported on the date of grant on the Nasdaq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1168"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See Note 2 to our unaudited condensed financial statements included elsewhere in this report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Accounting Election</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47"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had cash, cash equivalents and short-term investments of $67.8 million and $76.7 million as of March 31, 2021 and December 31, 2020,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March 31, 2021 and December 31, 2020. If overall interest rates had increased or decreased by 1.00% (100 basis points), neither our interest expense nor our interest income would have been materially affected during the three months ended March 31,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Effects of Inflation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Inflation generally affects us by increasing our cost of labor and research and development contracts. We do not believe that inflation has had a material effect on our financial results during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Properties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Our corporate headquarters is located in Seattle, Washington and consists of approximately 2,542 square feet of leased office space. Our operating lease in San Carlos, California consists of approximately 25,879 square feet of leased laboratory space. The lease in Seattle, Washington expired in April 2021 and will be renewed month to month while the Company negotiates a new lease, and the lease in San Carlos, California will expire in September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1164" w:right="319" w:bottom="1440" w:gutter="0" w:footer="0" w:header="0"/>
        </w:sectPr>
      </w:pPr>
    </w:p>
    <w:bookmarkStart w:id="18" w:name="page19"/>
    <w:bookmarkEnd w:id="18"/>
    <w:p>
      <w:pPr>
        <w:jc w:val="both"/>
        <w:spacing w:after="0" w:line="274" w:lineRule="auto"/>
        <w:rPr>
          <w:sz w:val="20"/>
          <w:szCs w:val="20"/>
          <w:color w:val="auto"/>
        </w:rPr>
      </w:pPr>
      <w:r>
        <w:rPr>
          <w:rFonts w:ascii="Arial" w:cs="Arial" w:eastAsia="Arial" w:hAnsi="Arial"/>
          <w:sz w:val="14"/>
          <w:szCs w:val="14"/>
          <w:color w:val="auto"/>
        </w:rPr>
        <w:t>In December 2020, we entered into a new lease in San Carlos, California for ten years commencing in September 2021 and expiring in September 2031, under which we will lease approximately 45,338 square feet of space. In December 2020, we also entered into a temporary office space lease agreement in San Carlos, California commencing in February 2021 and expiring in October 2021, under which we lease approximately 10,142 square feet of space.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Security Ownership of Certain Beneficial Owners and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regarding the beneficial ownership of Common Stock immediately following consummation of the Transactions by:</w:t>
      </w:r>
    </w:p>
    <w:p>
      <w:pPr>
        <w:spacing w:after="0" w:line="185" w:lineRule="exact"/>
        <w:rPr>
          <w:sz w:val="20"/>
          <w:szCs w:val="20"/>
          <w:color w:val="auto"/>
        </w:rPr>
      </w:pPr>
    </w:p>
    <w:p>
      <w:pPr>
        <w:ind w:left="1040" w:hanging="254"/>
        <w:spacing w:after="0" w:line="290" w:lineRule="auto"/>
        <w:tabs>
          <w:tab w:leader="none" w:pos="10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each person known by New Nautilus to be the beneficial owner of more than 5% of New Nautilus’ outstanding Common Stock immediately following the consummation of the Transactions;</w:t>
      </w:r>
    </w:p>
    <w:p>
      <w:pPr>
        <w:spacing w:after="0" w:line="130" w:lineRule="exact"/>
        <w:rPr>
          <w:rFonts w:ascii="Arial" w:cs="Arial" w:eastAsia="Arial" w:hAnsi="Arial"/>
          <w:sz w:val="14"/>
          <w:szCs w:val="14"/>
          <w:color w:val="auto"/>
        </w:rPr>
      </w:pPr>
    </w:p>
    <w:p>
      <w:pPr>
        <w:ind w:left="1040" w:hanging="254"/>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each of New Nautilus’ executive officers and directors; and</w:t>
      </w:r>
    </w:p>
    <w:p>
      <w:pPr>
        <w:spacing w:after="0" w:line="185" w:lineRule="exact"/>
        <w:rPr>
          <w:rFonts w:ascii="Arial" w:cs="Arial" w:eastAsia="Arial" w:hAnsi="Arial"/>
          <w:sz w:val="14"/>
          <w:szCs w:val="14"/>
          <w:color w:val="auto"/>
        </w:rPr>
      </w:pPr>
    </w:p>
    <w:p>
      <w:pPr>
        <w:ind w:left="1040" w:hanging="254"/>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of New Nautilus’ executive officers and directors as a group after the consummation of the Transactions.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the Closing Date. Shares subject to options that are currently exercisable or exercisable within 60 days of the Closing Date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New Nautilus, New Nautilus believes that the persons and entities named in the table below have sole voting and investment power with respect to all shares shown as beneficially owned by them. Unless otherwise noted, the business address of each of the directors and executive officers of New Nautilus is 425 Pontius Ave N, Ste 202, Seattle, WA 98109. The percentage of beneficial ownership of New Nautilus is calculated based on 124,045,255 shares of Common Stock outstanding immediately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1168"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0"/>
        </w:trPr>
        <w:tc>
          <w:tcPr>
            <w:tcW w:w="844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 and Address of Beneficial Owners</w:t>
            </w:r>
          </w:p>
        </w:tc>
        <w:tc>
          <w:tcPr>
            <w:tcW w:w="1420" w:type="dxa"/>
            <w:vAlign w:val="bottom"/>
            <w:gridSpan w:val="2"/>
          </w:tcPr>
          <w:p>
            <w:pPr>
              <w:ind w:left="220"/>
              <w:spacing w:after="0"/>
              <w:rPr>
                <w:sz w:val="20"/>
                <w:szCs w:val="20"/>
                <w:color w:val="auto"/>
              </w:rPr>
            </w:pPr>
            <w:r>
              <w:rPr>
                <w:rFonts w:ascii="Arial" w:cs="Arial" w:eastAsia="Arial" w:hAnsi="Arial"/>
                <w:sz w:val="12"/>
                <w:szCs w:val="12"/>
                <w:b w:val="1"/>
                <w:bCs w:val="1"/>
                <w:color w:val="auto"/>
              </w:rPr>
              <w:t>Number of Shares</w:t>
            </w:r>
          </w:p>
        </w:tc>
        <w:tc>
          <w:tcPr>
            <w:tcW w:w="1420" w:type="dxa"/>
            <w:vAlign w:val="bottom"/>
          </w:tcPr>
          <w:p>
            <w:pPr>
              <w:jc w:val="right"/>
              <w:ind w:right="567"/>
              <w:spacing w:after="0"/>
              <w:rPr>
                <w:sz w:val="20"/>
                <w:szCs w:val="20"/>
                <w:color w:val="auto"/>
              </w:rPr>
            </w:pPr>
            <w:r>
              <w:rPr>
                <w:rFonts w:ascii="Arial" w:cs="Arial" w:eastAsia="Arial" w:hAnsi="Arial"/>
                <w:sz w:val="16"/>
                <w:szCs w:val="16"/>
                <w:b w:val="1"/>
                <w:bCs w:val="1"/>
                <w:color w:val="auto"/>
              </w:rPr>
              <w:t>%</w:t>
            </w:r>
          </w:p>
        </w:tc>
      </w:tr>
      <w:tr>
        <w:trPr>
          <w:trHeight w:val="30"/>
        </w:trPr>
        <w:tc>
          <w:tcPr>
            <w:tcW w:w="8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8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Sujal Patel</w:t>
            </w:r>
            <w:r>
              <w:rPr>
                <w:rFonts w:ascii="Arial" w:cs="Arial" w:eastAsia="Arial" w:hAnsi="Arial"/>
                <w:sz w:val="18"/>
                <w:szCs w:val="18"/>
                <w:color w:val="auto"/>
                <w:vertAlign w:val="superscript"/>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16,708,899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r>
      <w:tr>
        <w:trPr>
          <w:trHeight w:val="227"/>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Parag Mallick</w:t>
            </w:r>
            <w:r>
              <w:rPr>
                <w:rFonts w:ascii="Arial" w:cs="Arial" w:eastAsia="Arial" w:hAnsi="Arial"/>
                <w:sz w:val="18"/>
                <w:szCs w:val="18"/>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4"/>
                <w:szCs w:val="14"/>
                <w:color w:val="auto"/>
              </w:rPr>
              <w:t>20,689,892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16.7 %</w:t>
            </w:r>
          </w:p>
        </w:tc>
      </w:tr>
      <w:tr>
        <w:trPr>
          <w:trHeight w:val="207"/>
        </w:trPr>
        <w:tc>
          <w:tcPr>
            <w:tcW w:w="8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Anna Mowry</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Matt Murphy</w:t>
            </w:r>
            <w:r>
              <w:rPr>
                <w:rFonts w:ascii="Arial" w:cs="Arial" w:eastAsia="Arial" w:hAnsi="Arial"/>
                <w:sz w:val="18"/>
                <w:szCs w:val="18"/>
                <w:color w:val="auto"/>
                <w:vertAlign w:val="superscript"/>
              </w:rPr>
              <w:t>(3)</w:t>
            </w:r>
          </w:p>
        </w:tc>
        <w:tc>
          <w:tcPr>
            <w:tcW w:w="1320" w:type="dxa"/>
            <w:vAlign w:val="bottom"/>
          </w:tcPr>
          <w:p>
            <w:pPr>
              <w:jc w:val="right"/>
              <w:spacing w:after="0"/>
              <w:rPr>
                <w:sz w:val="20"/>
                <w:szCs w:val="20"/>
                <w:color w:val="auto"/>
              </w:rPr>
            </w:pPr>
            <w:r>
              <w:rPr>
                <w:rFonts w:ascii="Arial" w:cs="Arial" w:eastAsia="Arial" w:hAnsi="Arial"/>
                <w:sz w:val="14"/>
                <w:szCs w:val="14"/>
                <w:color w:val="auto"/>
              </w:rPr>
              <w:t>29,140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Nick Nelson</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Subra Sankar</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7"/>
        </w:trPr>
        <w:tc>
          <w:tcPr>
            <w:tcW w:w="8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Melissa Epperly</w:t>
            </w:r>
            <w:r>
              <w:rPr>
                <w:rFonts w:ascii="Arial" w:cs="Arial" w:eastAsia="Arial" w:hAnsi="Arial"/>
                <w:sz w:val="18"/>
                <w:szCs w:val="18"/>
                <w:color w:val="auto"/>
                <w:vertAlign w:val="superscript"/>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Matthew McIlwain</w:t>
            </w:r>
            <w:r>
              <w:rPr>
                <w:rFonts w:ascii="Arial" w:cs="Arial" w:eastAsia="Arial" w:hAnsi="Arial"/>
                <w:sz w:val="18"/>
                <w:szCs w:val="18"/>
                <w:color w:val="auto"/>
                <w:vertAlign w:val="superscript"/>
              </w:rPr>
              <w:t>(5)</w:t>
            </w:r>
          </w:p>
        </w:tc>
        <w:tc>
          <w:tcPr>
            <w:tcW w:w="1320" w:type="dxa"/>
            <w:vAlign w:val="bottom"/>
          </w:tcPr>
          <w:p>
            <w:pPr>
              <w:jc w:val="right"/>
              <w:spacing w:after="0"/>
              <w:rPr>
                <w:sz w:val="20"/>
                <w:szCs w:val="20"/>
                <w:color w:val="auto"/>
              </w:rPr>
            </w:pPr>
            <w:r>
              <w:rPr>
                <w:rFonts w:ascii="Arial" w:cs="Arial" w:eastAsia="Arial" w:hAnsi="Arial"/>
                <w:sz w:val="14"/>
                <w:szCs w:val="14"/>
                <w:color w:val="auto"/>
              </w:rPr>
              <w:t>6,342,875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227"/>
        </w:trPr>
        <w:tc>
          <w:tcPr>
            <w:tcW w:w="8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Farzad Nazem</w:t>
            </w:r>
            <w:r>
              <w:rPr>
                <w:rFonts w:ascii="Arial" w:cs="Arial" w:eastAsia="Arial" w:hAnsi="Arial"/>
                <w:sz w:val="18"/>
                <w:szCs w:val="18"/>
                <w:color w:val="auto"/>
                <w:vertAlign w:val="superscript"/>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1,888,146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227"/>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Vijay Pande</w:t>
            </w:r>
            <w:r>
              <w:rPr>
                <w:rFonts w:ascii="Arial" w:cs="Arial" w:eastAsia="Arial" w:hAnsi="Arial"/>
                <w:sz w:val="18"/>
                <w:szCs w:val="18"/>
                <w:color w:val="auto"/>
                <w:vertAlign w:val="superscript"/>
              </w:rPr>
              <w:t>(7)</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8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Matthew L. Posard</w:t>
            </w:r>
            <w:r>
              <w:rPr>
                <w:rFonts w:ascii="Arial" w:cs="Arial" w:eastAsia="Arial" w:hAnsi="Arial"/>
                <w:sz w:val="18"/>
                <w:szCs w:val="18"/>
                <w:color w:val="auto"/>
                <w:vertAlign w:val="superscript"/>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254,039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Michael Altman</w:t>
            </w:r>
            <w:r>
              <w:rPr>
                <w:rFonts w:ascii="Arial" w:cs="Arial" w:eastAsia="Arial" w:hAnsi="Arial"/>
                <w:sz w:val="18"/>
                <w:szCs w:val="18"/>
                <w:color w:val="auto"/>
                <w:vertAlign w:val="superscript"/>
              </w:rPr>
              <w:t>(9)</w:t>
            </w:r>
          </w:p>
        </w:tc>
        <w:tc>
          <w:tcPr>
            <w:tcW w:w="1320" w:type="dxa"/>
            <w:vAlign w:val="bottom"/>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227"/>
        </w:trPr>
        <w:tc>
          <w:tcPr>
            <w:tcW w:w="844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 xml:space="preserve">All directors and officers as a group (12 persons) </w:t>
            </w:r>
            <w:r>
              <w:rPr>
                <w:rFonts w:ascii="Arial" w:cs="Arial" w:eastAsia="Arial" w:hAnsi="Arial"/>
                <w:sz w:val="18"/>
                <w:szCs w:val="18"/>
                <w:i w:val="1"/>
                <w:iCs w:val="1"/>
                <w:color w:val="auto"/>
                <w:vertAlign w:val="superscript"/>
              </w:rPr>
              <w:t>(10)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50,071,583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40.3 %</w:t>
            </w:r>
          </w:p>
        </w:tc>
      </w:tr>
      <w:tr>
        <w:trPr>
          <w:trHeight w:val="204"/>
        </w:trPr>
        <w:tc>
          <w:tcPr>
            <w:tcW w:w="8440" w:type="dxa"/>
            <w:vAlign w:val="bottom"/>
            <w:gridSpan w:val="2"/>
          </w:tcPr>
          <w:p>
            <w:pPr>
              <w:ind w:left="160"/>
              <w:spacing w:after="0"/>
              <w:rPr>
                <w:sz w:val="20"/>
                <w:szCs w:val="20"/>
                <w:color w:val="auto"/>
              </w:rPr>
            </w:pPr>
            <w:r>
              <w:rPr>
                <w:rFonts w:ascii="Arial" w:cs="Arial" w:eastAsia="Arial" w:hAnsi="Arial"/>
                <w:sz w:val="14"/>
                <w:szCs w:val="14"/>
                <w:i w:val="1"/>
                <w:iCs w:val="1"/>
                <w:color w:val="auto"/>
              </w:rPr>
              <w:t>Five Percent Holders: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7"/>
        </w:trPr>
        <w:tc>
          <w:tcPr>
            <w:tcW w:w="8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Perceptive Life Sciences Master Fund Ltd.</w:t>
            </w:r>
            <w:r>
              <w:rPr>
                <w:rFonts w:ascii="Arial" w:cs="Arial" w:eastAsia="Arial" w:hAnsi="Arial"/>
                <w:sz w:val="18"/>
                <w:szCs w:val="18"/>
                <w:color w:val="auto"/>
                <w:vertAlign w:val="superscript"/>
              </w:rPr>
              <w:t>(11)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8,414,113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r>
      <w:tr>
        <w:trPr>
          <w:trHeight w:val="227"/>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Entities affiliated with Andreesen Horowitz</w:t>
            </w:r>
            <w:r>
              <w:rPr>
                <w:rFonts w:ascii="Arial" w:cs="Arial" w:eastAsia="Arial" w:hAnsi="Arial"/>
                <w:sz w:val="18"/>
                <w:szCs w:val="18"/>
                <w:color w:val="auto"/>
                <w:vertAlign w:val="superscript"/>
              </w:rPr>
              <w:t>(12)</w:t>
            </w:r>
          </w:p>
        </w:tc>
        <w:tc>
          <w:tcPr>
            <w:tcW w:w="1320" w:type="dxa"/>
            <w:vAlign w:val="bottom"/>
          </w:tcPr>
          <w:p>
            <w:pPr>
              <w:jc w:val="right"/>
              <w:spacing w:after="0"/>
              <w:rPr>
                <w:sz w:val="20"/>
                <w:szCs w:val="20"/>
                <w:color w:val="auto"/>
              </w:rPr>
            </w:pPr>
            <w:r>
              <w:rPr>
                <w:rFonts w:ascii="Arial" w:cs="Arial" w:eastAsia="Arial" w:hAnsi="Arial"/>
                <w:sz w:val="14"/>
                <w:szCs w:val="14"/>
                <w:color w:val="auto"/>
              </w:rPr>
              <w:t>17,653,917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14.2 %</w:t>
            </w:r>
          </w:p>
        </w:tc>
      </w:tr>
      <w:tr>
        <w:trPr>
          <w:trHeight w:val="227"/>
        </w:trPr>
        <w:tc>
          <w:tcPr>
            <w:tcW w:w="8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(13)</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7,172,985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r>
      <w:tr>
        <w:trPr>
          <w:trHeight w:val="261"/>
        </w:trPr>
        <w:tc>
          <w:tcPr>
            <w:tcW w:w="8440" w:type="dxa"/>
            <w:vAlign w:val="bottom"/>
            <w:gridSpan w:val="2"/>
          </w:tcPr>
          <w:p>
            <w:pPr>
              <w:ind w:left="160"/>
              <w:spacing w:after="0"/>
              <w:rPr>
                <w:sz w:val="20"/>
                <w:szCs w:val="20"/>
                <w:color w:val="auto"/>
              </w:rPr>
            </w:pPr>
            <w:r>
              <w:rPr>
                <w:rFonts w:ascii="Arial" w:cs="Arial" w:eastAsia="Arial" w:hAnsi="Arial"/>
                <w:sz w:val="14"/>
                <w:szCs w:val="14"/>
                <w:color w:val="auto"/>
              </w:rPr>
              <w:t>Entities affiliated with Madrona Ventures</w:t>
            </w:r>
            <w:r>
              <w:rPr>
                <w:rFonts w:ascii="Arial" w:cs="Arial" w:eastAsia="Arial" w:hAnsi="Arial"/>
                <w:sz w:val="18"/>
                <w:szCs w:val="18"/>
                <w:color w:val="auto"/>
                <w:vertAlign w:val="superscript"/>
              </w:rPr>
              <w:t>(14)</w:t>
            </w:r>
          </w:p>
        </w:tc>
        <w:tc>
          <w:tcPr>
            <w:tcW w:w="1320" w:type="dxa"/>
            <w:vAlign w:val="bottom"/>
          </w:tcPr>
          <w:p>
            <w:pPr>
              <w:jc w:val="right"/>
              <w:spacing w:after="0"/>
              <w:rPr>
                <w:sz w:val="20"/>
                <w:szCs w:val="20"/>
                <w:color w:val="auto"/>
              </w:rPr>
            </w:pPr>
            <w:r>
              <w:rPr>
                <w:rFonts w:ascii="Arial" w:cs="Arial" w:eastAsia="Arial" w:hAnsi="Arial"/>
                <w:sz w:val="14"/>
                <w:szCs w:val="14"/>
                <w:color w:val="auto"/>
              </w:rPr>
              <w:t>6,342,875</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5.1 %</w:t>
            </w:r>
          </w:p>
        </w:tc>
      </w:tr>
    </w:tbl>
    <w:p>
      <w:pPr>
        <w:spacing w:after="0" w:line="26" w:lineRule="exact"/>
        <w:rPr>
          <w:sz w:val="20"/>
          <w:szCs w:val="20"/>
          <w:color w:val="auto"/>
        </w:rPr>
      </w:pPr>
    </w:p>
    <w:p>
      <w:pPr>
        <w:ind w:left="180" w:hanging="173"/>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65" w:lineRule="exact"/>
        <w:rPr>
          <w:sz w:val="20"/>
          <w:szCs w:val="20"/>
          <w:color w:val="auto"/>
        </w:rPr>
      </w:pPr>
    </w:p>
    <w:p>
      <w:pPr>
        <w:ind w:left="260" w:hanging="253"/>
        <w:spacing w:after="0" w:line="229" w:lineRule="auto"/>
        <w:tabs>
          <w:tab w:leader="none" w:pos="254"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(i) 9,614,388 shares received by Mr. Patel in the Business Combination as an equityholder of record of Old Nautilus, (ii) 5,280,476 shares received by PFV I, LLC in the Business Combination as an equityholder of Old Nautilus, and (iii) 1,814,035 shares received by the Sujal Patel 2020 Children's Trust, u/a/d December 3, 2020 (the “Patel Trust”) in the Business Combination as an equityholder of Old Nautilus.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ind w:left="260" w:hanging="253"/>
        <w:spacing w:after="0" w:line="225" w:lineRule="auto"/>
        <w:tabs>
          <w:tab w:leader="none" w:pos="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shares received by Dr. Mallick in the Business Combination as an equityholder of record of Old Nautilus.</w:t>
      </w:r>
    </w:p>
    <w:p>
      <w:pPr>
        <w:ind w:left="260" w:right="20" w:hanging="253"/>
        <w:spacing w:after="0" w:line="225" w:lineRule="auto"/>
        <w:tabs>
          <w:tab w:leader="none" w:pos="254"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shares received by the Murphy Family Trust in the Business Combination as an equityholder of Old Nautilus. Mr. Murphy is the trustee of the Murphy Family Trust and as such has voting and investment control over the shares held by the Murphy Family Trust.</w:t>
      </w:r>
    </w:p>
    <w:p>
      <w:pPr>
        <w:ind w:left="260" w:hanging="253"/>
        <w:spacing w:after="0" w:line="225" w:lineRule="auto"/>
        <w:tabs>
          <w:tab w:leader="none" w:pos="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shares subject to options held by Ms. Epperly exercisable within 60 days of June 9, 2021.</w:t>
      </w:r>
    </w:p>
    <w:p>
      <w:pPr>
        <w:ind w:left="260" w:hanging="253"/>
        <w:spacing w:after="0" w:line="225" w:lineRule="auto"/>
        <w:tabs>
          <w:tab w:leader="none" w:pos="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the shares set forth in footnote 14 below.</w:t>
      </w:r>
    </w:p>
    <w:p>
      <w:pPr>
        <w:ind w:left="260" w:right="280" w:hanging="253"/>
        <w:spacing w:after="0" w:line="225" w:lineRule="auto"/>
        <w:tabs>
          <w:tab w:leader="none" w:pos="254"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(i) 1,815,860 shares received by HAND Capital, LLC in the Business Combination as an equityholder of Old Nautilus and (ii) 72,286 shares which HAND Capital, LLC purchased in the PIPE Financing. Mr. Nazem is the manager of HAND Capital, LLC and as such has voting and investment power over the shares held by HAND Capital, LLC.</w:t>
      </w:r>
    </w:p>
    <w:p>
      <w:pPr>
        <w:ind w:left="260" w:hanging="253"/>
        <w:spacing w:after="0" w:line="225" w:lineRule="auto"/>
        <w:tabs>
          <w:tab w:leader="none" w:pos="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Mr. Pande has no voting or investment control over the shares held by entities affiliated with Andreesen Horowitz that are included in footnote 12 below.</w:t>
      </w:r>
    </w:p>
    <w:p>
      <w:pPr>
        <w:ind w:left="260" w:hanging="253"/>
        <w:spacing w:after="0" w:line="225" w:lineRule="auto"/>
        <w:tabs>
          <w:tab w:leader="none" w:pos="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(i) 100,000 shares which Mr. Posard purchased in the PIPE Financing and (ii) 154,039 shares subject to options held by Mr. Posard exercisable within 60 days of June 9, 2021.</w:t>
      </w:r>
    </w:p>
    <w:p>
      <w:pPr>
        <w:ind w:left="260" w:right="40" w:hanging="253"/>
        <w:spacing w:after="0" w:line="225" w:lineRule="auto"/>
        <w:tabs>
          <w:tab w:leader="none" w:pos="254"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shares reported are held in the name of ARYA’s sponsor, ARYA Sciences Holdings III, a Cayman Islands exempted limited company (“ARYA’s Sponsor”).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w:t>
      </w:r>
    </w:p>
    <w:p>
      <w:pPr>
        <w:spacing w:after="0" w:line="1" w:lineRule="exact"/>
        <w:rPr>
          <w:rFonts w:ascii="Arial" w:cs="Arial" w:eastAsia="Arial" w:hAnsi="Arial"/>
          <w:sz w:val="12"/>
          <w:szCs w:val="12"/>
          <w:color w:val="auto"/>
        </w:rPr>
      </w:pPr>
    </w:p>
    <w:p>
      <w:pPr>
        <w:ind w:left="260" w:right="360" w:hanging="253"/>
        <w:spacing w:after="0" w:line="225" w:lineRule="auto"/>
        <w:tabs>
          <w:tab w:leader="none" w:pos="257"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(i) 49,905,452 shares beneficially owned by the directors and officers following the Business Combination and (ii) 166,131 shares subject to options held by the directors and officers following the Business Combination exercisable within 60 days of June 9, 2021.</w:t>
      </w:r>
    </w:p>
    <w:p>
      <w:pPr>
        <w:ind w:left="260" w:right="40" w:hanging="253"/>
        <w:spacing w:after="0" w:line="270" w:lineRule="auto"/>
        <w:tabs>
          <w:tab w:leader="none" w:pos="253" w:val="left"/>
        </w:tabs>
        <w:numPr>
          <w:ilvl w:val="0"/>
          <w:numId w:val="14"/>
        </w:numPr>
        <w:rPr>
          <w:rFonts w:ascii="Arial" w:cs="Arial" w:eastAsia="Arial" w:hAnsi="Arial"/>
          <w:sz w:val="10"/>
          <w:szCs w:val="10"/>
          <w:color w:val="auto"/>
        </w:rPr>
      </w:pPr>
      <w:r>
        <w:rPr>
          <w:rFonts w:ascii="Arial" w:cs="Arial" w:eastAsia="Arial" w:hAnsi="Arial"/>
          <w:sz w:val="10"/>
          <w:szCs w:val="10"/>
          <w:color w:val="auto"/>
        </w:rPr>
        <w:t>Consists of (i) 2,914,113 shares received by Perceptive Life Sciences Master Fund Ltd. (the “Master Fund”) in the Business Combination as an equityholder of Old Nautilus and (ii) 5,500,000 shares the Master Fund purchased in the PIPE Financing.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spacing w:after="0" w:line="1" w:lineRule="exact"/>
        <w:rPr>
          <w:rFonts w:ascii="Arial" w:cs="Arial" w:eastAsia="Arial" w:hAnsi="Arial"/>
          <w:sz w:val="10"/>
          <w:szCs w:val="10"/>
          <w:color w:val="auto"/>
        </w:rPr>
      </w:pPr>
    </w:p>
    <w:p>
      <w:pPr>
        <w:ind w:left="260" w:right="20" w:hanging="253"/>
        <w:spacing w:after="0" w:line="229" w:lineRule="auto"/>
        <w:tabs>
          <w:tab w:leader="none" w:pos="257"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(i) 16,298,006 shares received by AH Bio Fund II, L.P., for itself and as nominee for AH Bio Fund II-B, L.P. (collectively, the “AH Bio Fund II Entities”), in the Business Combination as an equityholder of Old Nautilus, (ii) 270,255 shares received by Andreessen Horowitz LSV Fund II, L.P., for itself and as nominee for Andreessen Horowitz LSV Fund II-B, L.P. and Andreessen Horowitz LSV Fund II-Q, L.P. (collectively, the “AH LSV Fund II Entities”), in the Business Combination as an equityholder of Old Nautilus,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1209" w:right="319" w:bottom="1440" w:gutter="0" w:footer="0" w:header="0"/>
        </w:sectPr>
      </w:pPr>
    </w:p>
    <w:bookmarkStart w:id="20" w:name="page21"/>
    <w:bookmarkEnd w:id="20"/>
    <w:p>
      <w:pPr>
        <w:ind w:left="260" w:right="80"/>
        <w:spacing w:after="0" w:line="275" w:lineRule="auto"/>
        <w:rPr>
          <w:sz w:val="20"/>
          <w:szCs w:val="20"/>
          <w:color w:val="auto"/>
        </w:rPr>
      </w:pPr>
      <w:r>
        <w:rPr>
          <w:rFonts w:ascii="Arial" w:cs="Arial" w:eastAsia="Arial" w:hAnsi="Arial"/>
          <w:sz w:val="10"/>
          <w:szCs w:val="10"/>
          <w:color w:val="auto"/>
        </w:rPr>
        <w:t>1,085,656 shares that the AH LSV Fund II Entities purchased in the PIPE Financing.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the Board of Directors, following in-kind distributions of shares by these entities. The address for the persons and entities set forth herein is 2865 Sand Hill Road, Suite 101, Menlo Park, CA 94025.</w:t>
      </w:r>
    </w:p>
    <w:p>
      <w:pPr>
        <w:ind w:left="260" w:right="60" w:hanging="253"/>
        <w:spacing w:after="0" w:line="277" w:lineRule="auto"/>
        <w:tabs>
          <w:tab w:leader="none" w:pos="257" w:val="left"/>
        </w:tabs>
        <w:numPr>
          <w:ilvl w:val="0"/>
          <w:numId w:val="15"/>
        </w:numPr>
        <w:rPr>
          <w:rFonts w:ascii="Arial" w:cs="Arial" w:eastAsia="Arial" w:hAnsi="Arial"/>
          <w:sz w:val="10"/>
          <w:szCs w:val="10"/>
          <w:color w:val="auto"/>
        </w:rPr>
      </w:pPr>
      <w:r>
        <w:rPr>
          <w:rFonts w:ascii="Arial" w:cs="Arial" w:eastAsia="Arial" w:hAnsi="Arial"/>
          <w:sz w:val="10"/>
          <w:szCs w:val="10"/>
          <w:color w:val="auto"/>
        </w:rPr>
        <w:t>Consists of (i) 2,962,436 shares received by Vulcan Capital Holdings Columbia LLC (“VCHC”) in the Business Combination as an equityholder of Old Nautilus, (ii) 624,057 shares which Vulcan Capital purchased in the PIPE Financing, (iii) 2,962,436 shares received by VCVC V LLC (“VCVC”) in the Business Combination as an equityholder of Old Nautilus, and (iv) 624,056 shares of New Nautilus Common Stock which VCVC is purchasing in the PIPE Financing.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spacing w:after="0" w:line="112" w:lineRule="exact"/>
        <w:rPr>
          <w:rFonts w:ascii="Arial" w:cs="Arial" w:eastAsia="Arial" w:hAnsi="Arial"/>
          <w:sz w:val="10"/>
          <w:szCs w:val="10"/>
          <w:color w:val="auto"/>
        </w:rPr>
      </w:pPr>
    </w:p>
    <w:p>
      <w:pPr>
        <w:ind w:left="260" w:right="40" w:hanging="253"/>
        <w:spacing w:after="0" w:line="278" w:lineRule="auto"/>
        <w:tabs>
          <w:tab w:leader="none" w:pos="257" w:val="left"/>
        </w:tabs>
        <w:numPr>
          <w:ilvl w:val="0"/>
          <w:numId w:val="15"/>
        </w:numPr>
        <w:rPr>
          <w:rFonts w:ascii="Arial" w:cs="Arial" w:eastAsia="Arial" w:hAnsi="Arial"/>
          <w:sz w:val="10"/>
          <w:szCs w:val="10"/>
          <w:color w:val="auto"/>
        </w:rPr>
      </w:pPr>
      <w:r>
        <w:rPr>
          <w:rFonts w:ascii="Arial" w:cs="Arial" w:eastAsia="Arial" w:hAnsi="Arial"/>
          <w:sz w:val="10"/>
          <w:szCs w:val="10"/>
          <w:color w:val="auto"/>
        </w:rPr>
        <w:t>Consists of (i) 4,585,947 shares received by Madrona Venture Fund VI, LP (“Madrona Fund VI”) in the Business Combination as an equityholder of Old Nautilus, (ii) 1,212,447 shares which Madrona Fund VI purchased in the PIPE Financing, (iii) 175,878 shares received by Madrona Venture Fund VI-A, LP (“Madrona Fund VI-A”) in the Business Combination as an equityholder of Old Nautilus, (iv) 46,498 shares which Madrona Fund VI-A purchased in the PIPE Financing, (v) 272,105 shares received by Matthew McIlwain in the Business Combination as an equityholder of Old Nautilus, and (vi) 50,000 shares received by Mr. McIlwain in the Business Combination in exchange for shares of ARYA Class A common stock owned by Mr. McIlwain prior to the consummation of the Business Combination.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Directors and Executive Officers</w:t>
      </w:r>
    </w:p>
    <w:p>
      <w:pPr>
        <w:spacing w:after="0" w:line="185" w:lineRule="exact"/>
        <w:rPr>
          <w:sz w:val="20"/>
          <w:szCs w:val="20"/>
          <w:color w:val="auto"/>
        </w:rPr>
      </w:pPr>
    </w:p>
    <w:p>
      <w:pPr>
        <w:jc w:val="both"/>
        <w:spacing w:after="0" w:line="290" w:lineRule="auto"/>
        <w:rPr>
          <w:rFonts w:ascii="Arial" w:cs="Arial" w:eastAsia="Arial" w:hAnsi="Arial"/>
          <w:sz w:val="14"/>
          <w:szCs w:val="14"/>
          <w:i w:val="1"/>
          <w:iCs w:val="1"/>
          <w:color w:val="0000FF"/>
        </w:rPr>
      </w:pPr>
      <w:hyperlink r:id="rId15">
        <w:r>
          <w:rPr>
            <w:rFonts w:ascii="Arial" w:cs="Arial" w:eastAsia="Arial" w:hAnsi="Arial"/>
            <w:sz w:val="14"/>
            <w:szCs w:val="14"/>
            <w:color w:val="auto"/>
          </w:rPr>
          <w:t>New Nautilus’ directors and executive officers after the consummation of the Transactions are described in the Proxy Statement/Prospectus in the section titled “</w:t>
        </w:r>
        <w:r>
          <w:rPr>
            <w:rFonts w:ascii="Arial" w:cs="Arial" w:eastAsia="Arial" w:hAnsi="Arial"/>
            <w:sz w:val="14"/>
            <w:szCs w:val="14"/>
            <w:i w:val="1"/>
            <w:iCs w:val="1"/>
            <w:u w:val="single" w:color="auto"/>
            <w:color w:val="0000FF"/>
          </w:rPr>
          <w:t>Management Following the</w:t>
        </w:r>
      </w:hyperlink>
      <w:r>
        <w:rPr>
          <w:rFonts w:ascii="Arial" w:cs="Arial" w:eastAsia="Arial" w:hAnsi="Arial"/>
          <w:sz w:val="14"/>
          <w:szCs w:val="14"/>
          <w:color w:val="auto"/>
        </w:rPr>
        <w:t xml:space="preserve"> </w:t>
      </w:r>
      <w:hyperlink r:id="rId15">
        <w:r>
          <w:rPr>
            <w:rFonts w:ascii="Arial" w:cs="Arial" w:eastAsia="Arial" w:hAnsi="Arial"/>
            <w:sz w:val="14"/>
            <w:szCs w:val="14"/>
            <w:i w:val="1"/>
            <w:iCs w:val="1"/>
            <w:u w:val="single" w:color="auto"/>
            <w:color w:val="0000FF"/>
          </w:rPr>
          <w:t>Business Combination</w:t>
        </w:r>
        <w:r>
          <w:rPr>
            <w:rFonts w:ascii="Arial" w:cs="Arial" w:eastAsia="Arial" w:hAnsi="Arial"/>
            <w:sz w:val="14"/>
            <w:szCs w:val="14"/>
            <w:color w:val="000000"/>
          </w:rPr>
          <w:t>” beginning on page 257 of the Proxy Statement/Prospectus and that information is incorporated herein by reference.</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Independence of our Board of Directors</w:t>
      </w:r>
    </w:p>
    <w:p>
      <w:pPr>
        <w:spacing w:after="0" w:line="185"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Information with respect to the independence of New Nautilus’ directors is set forth in the Proxy Statement/Prospectus in the subsection titled “</w:t>
      </w:r>
      <w:r>
        <w:rPr>
          <w:rFonts w:ascii="Arial" w:cs="Arial" w:eastAsia="Arial" w:hAnsi="Arial"/>
          <w:sz w:val="14"/>
          <w:szCs w:val="14"/>
          <w:i w:val="1"/>
          <w:iCs w:val="1"/>
          <w:color w:val="auto"/>
        </w:rPr>
        <w:t>Director Independence”</w:t>
      </w:r>
      <w:r>
        <w:rPr>
          <w:rFonts w:ascii="Arial" w:cs="Arial" w:eastAsia="Arial" w:hAnsi="Arial"/>
          <w:sz w:val="14"/>
          <w:szCs w:val="14"/>
          <w:color w:val="auto"/>
        </w:rPr>
        <w:t xml:space="preserve"> in the section titled “</w:t>
      </w:r>
      <w:hyperlink r:id="rId15">
        <w:r>
          <w:rPr>
            <w:rFonts w:ascii="Arial" w:cs="Arial" w:eastAsia="Arial" w:hAnsi="Arial"/>
            <w:sz w:val="14"/>
            <w:szCs w:val="14"/>
            <w:i w:val="1"/>
            <w:iCs w:val="1"/>
            <w:u w:val="single" w:color="auto"/>
            <w:color w:val="0000FF"/>
          </w:rPr>
          <w:t>Management Following the Business Combination</w:t>
        </w:r>
      </w:hyperlink>
      <w:r>
        <w:rPr>
          <w:rFonts w:ascii="Arial" w:cs="Arial" w:eastAsia="Arial" w:hAnsi="Arial"/>
          <w:sz w:val="14"/>
          <w:szCs w:val="14"/>
          <w:color w:val="auto"/>
        </w:rPr>
        <w:t>” on page 260 of the Proxy Statement/Prospectus and that information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Committees of the Board of Directors</w:t>
      </w:r>
    </w:p>
    <w:p>
      <w:pPr>
        <w:spacing w:after="0" w:line="185" w:lineRule="exact"/>
        <w:rPr>
          <w:sz w:val="20"/>
          <w:szCs w:val="20"/>
          <w:color w:val="auto"/>
        </w:rPr>
      </w:pPr>
    </w:p>
    <w:p>
      <w:pPr>
        <w:jc w:val="both"/>
        <w:spacing w:after="0" w:line="274" w:lineRule="auto"/>
        <w:rPr>
          <w:rFonts w:ascii="Arial" w:cs="Arial" w:eastAsia="Arial" w:hAnsi="Arial"/>
          <w:sz w:val="14"/>
          <w:szCs w:val="14"/>
          <w:i w:val="1"/>
          <w:iCs w:val="1"/>
          <w:color w:val="auto"/>
        </w:rPr>
      </w:pPr>
      <w:r>
        <w:rPr>
          <w:rFonts w:ascii="Arial" w:cs="Arial" w:eastAsia="Arial" w:hAnsi="Arial"/>
          <w:sz w:val="14"/>
          <w:szCs w:val="14"/>
          <w:color w:val="auto"/>
        </w:rPr>
        <w:t>Information with respect to the composition of the committees of the Board immediately after the Closing is set forth in the Proxy Statement/Prospectus in the subsection titled “</w:t>
      </w:r>
      <w:r>
        <w:rPr>
          <w:rFonts w:ascii="Arial" w:cs="Arial" w:eastAsia="Arial" w:hAnsi="Arial"/>
          <w:sz w:val="14"/>
          <w:szCs w:val="14"/>
          <w:i w:val="1"/>
          <w:iCs w:val="1"/>
          <w:color w:val="auto"/>
        </w:rPr>
        <w:t>Committees of the</w:t>
      </w:r>
      <w:r>
        <w:rPr>
          <w:rFonts w:ascii="Arial" w:cs="Arial" w:eastAsia="Arial" w:hAnsi="Arial"/>
          <w:sz w:val="14"/>
          <w:szCs w:val="14"/>
          <w:color w:val="auto"/>
        </w:rPr>
        <w:t xml:space="preserve"> </w:t>
      </w:r>
      <w:r>
        <w:rPr>
          <w:rFonts w:ascii="Arial" w:cs="Arial" w:eastAsia="Arial" w:hAnsi="Arial"/>
          <w:sz w:val="14"/>
          <w:szCs w:val="14"/>
          <w:i w:val="1"/>
          <w:iCs w:val="1"/>
          <w:color w:val="auto"/>
        </w:rPr>
        <w:t>Board of Directors</w:t>
      </w:r>
      <w:r>
        <w:rPr>
          <w:rFonts w:ascii="Arial" w:cs="Arial" w:eastAsia="Arial" w:hAnsi="Arial"/>
          <w:sz w:val="14"/>
          <w:szCs w:val="14"/>
          <w:color w:val="auto"/>
        </w:rPr>
        <w:t>” in the section titled “</w:t>
      </w:r>
      <w:hyperlink r:id="rId15">
        <w:r>
          <w:rPr>
            <w:rFonts w:ascii="Arial" w:cs="Arial" w:eastAsia="Arial" w:hAnsi="Arial"/>
            <w:sz w:val="14"/>
            <w:szCs w:val="14"/>
            <w:i w:val="1"/>
            <w:iCs w:val="1"/>
            <w:u w:val="single" w:color="auto"/>
            <w:color w:val="0000FF"/>
          </w:rPr>
          <w:t>Management Following the Business Combination</w:t>
        </w:r>
      </w:hyperlink>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beginning on page 260 of the Proxy Statement/Prospectus and that information is incorporated herein</w:t>
      </w:r>
      <w:r>
        <w:rPr>
          <w:rFonts w:ascii="Arial" w:cs="Arial" w:eastAsia="Arial" w:hAnsi="Arial"/>
          <w:sz w:val="14"/>
          <w:szCs w:val="14"/>
          <w:i w:val="1"/>
          <w:iCs w:val="1"/>
          <w:color w:val="auto"/>
        </w:rPr>
        <w:t xml:space="preserve"> </w:t>
      </w:r>
      <w:r>
        <w:rPr>
          <w:rFonts w:ascii="Arial" w:cs="Arial" w:eastAsia="Arial" w:hAnsi="Arial"/>
          <w:sz w:val="14"/>
          <w:szCs w:val="14"/>
          <w:color w:val="auto"/>
        </w:rPr>
        <w:t>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Compensation</w:t>
      </w:r>
    </w:p>
    <w:p>
      <w:pPr>
        <w:spacing w:after="0" w:line="185" w:lineRule="exact"/>
        <w:rPr>
          <w:sz w:val="20"/>
          <w:szCs w:val="20"/>
          <w:color w:val="auto"/>
        </w:rPr>
      </w:pPr>
    </w:p>
    <w:p>
      <w:pPr>
        <w:jc w:val="both"/>
        <w:spacing w:after="0" w:line="274" w:lineRule="auto"/>
        <w:rPr>
          <w:rFonts w:ascii="Arial" w:cs="Arial" w:eastAsia="Arial" w:hAnsi="Arial"/>
          <w:sz w:val="14"/>
          <w:szCs w:val="14"/>
          <w:color w:val="auto"/>
        </w:rPr>
      </w:pPr>
      <w:r>
        <w:rPr>
          <w:rFonts w:ascii="Arial" w:cs="Arial" w:eastAsia="Arial" w:hAnsi="Arial"/>
          <w:sz w:val="14"/>
          <w:szCs w:val="14"/>
          <w:color w:val="auto"/>
        </w:rPr>
        <w:t>A description of the compensation of the named executive officers of Old Nautilus and the compensation of the executive officers of ARYA before the consummation of the Transactions is set forth in the Proxy Statement/Prospectus in the sections titled “</w:t>
      </w:r>
      <w:hyperlink r:id="rId16">
        <w:r>
          <w:rPr>
            <w:rFonts w:ascii="Arial" w:cs="Arial" w:eastAsia="Arial" w:hAnsi="Arial"/>
            <w:sz w:val="14"/>
            <w:szCs w:val="14"/>
            <w:i w:val="1"/>
            <w:iCs w:val="1"/>
            <w:u w:val="single" w:color="auto"/>
            <w:color w:val="0000FF"/>
          </w:rPr>
          <w:t>Nautilus Executive Compensation</w:t>
        </w:r>
      </w:hyperlink>
      <w:r>
        <w:rPr>
          <w:rFonts w:ascii="Arial" w:cs="Arial" w:eastAsia="Arial" w:hAnsi="Arial"/>
          <w:sz w:val="14"/>
          <w:szCs w:val="14"/>
          <w:color w:val="auto"/>
        </w:rPr>
        <w:t>” beginning on page 244 of the Proxy Statement/Prospectus and the subsection titled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and Director Compensation and Other Interests</w:t>
      </w:r>
      <w:r>
        <w:rPr>
          <w:rFonts w:ascii="Arial" w:cs="Arial" w:eastAsia="Arial" w:hAnsi="Arial"/>
          <w:sz w:val="14"/>
          <w:szCs w:val="14"/>
          <w:color w:val="auto"/>
        </w:rPr>
        <w: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1163" w:right="319" w:bottom="1440" w:gutter="0" w:footer="0" w:header="0"/>
        </w:sectPr>
      </w:pPr>
    </w:p>
    <w:bookmarkStart w:id="21" w:name="page22"/>
    <w:bookmarkEnd w:id="21"/>
    <w:p>
      <w:pPr>
        <w:spacing w:after="0"/>
        <w:rPr>
          <w:rFonts w:ascii="Arial" w:cs="Arial" w:eastAsia="Arial" w:hAnsi="Arial"/>
          <w:sz w:val="14"/>
          <w:szCs w:val="14"/>
          <w:color w:val="auto"/>
        </w:rPr>
      </w:pPr>
      <w:r>
        <w:rPr>
          <w:rFonts w:ascii="Arial" w:cs="Arial" w:eastAsia="Arial" w:hAnsi="Arial"/>
          <w:sz w:val="14"/>
          <w:szCs w:val="14"/>
          <w:color w:val="auto"/>
        </w:rPr>
        <w:t>the section titled “</w:t>
      </w:r>
      <w:hyperlink r:id="rId17">
        <w:r>
          <w:rPr>
            <w:rFonts w:ascii="Arial" w:cs="Arial" w:eastAsia="Arial" w:hAnsi="Arial"/>
            <w:sz w:val="14"/>
            <w:szCs w:val="14"/>
            <w:i w:val="1"/>
            <w:iCs w:val="1"/>
            <w:u w:val="single" w:color="auto"/>
            <w:color w:val="0000FF"/>
          </w:rPr>
          <w:t>Information About ARYA</w:t>
        </w:r>
      </w:hyperlink>
      <w:r>
        <w:rPr>
          <w:rFonts w:ascii="Arial" w:cs="Arial" w:eastAsia="Arial" w:hAnsi="Arial"/>
          <w:sz w:val="14"/>
          <w:szCs w:val="14"/>
          <w:color w:val="auto"/>
        </w:rPr>
        <w:t>,” beginning on page 186 of the Proxy Statement/Prospectus, respectively, and that information is incorporated herein by reference.</w:t>
      </w:r>
    </w:p>
    <w:p>
      <w:pPr>
        <w:spacing w:after="0" w:line="185" w:lineRule="exact"/>
        <w:rPr>
          <w:sz w:val="20"/>
          <w:szCs w:val="20"/>
          <w:color w:val="auto"/>
        </w:rPr>
      </w:pPr>
    </w:p>
    <w:p>
      <w:pPr>
        <w:jc w:val="both"/>
        <w:spacing w:after="0" w:line="295" w:lineRule="auto"/>
        <w:rPr>
          <w:rFonts w:ascii="Arial" w:cs="Arial" w:eastAsia="Arial" w:hAnsi="Arial"/>
          <w:sz w:val="13"/>
          <w:szCs w:val="13"/>
          <w:color w:val="auto"/>
        </w:rPr>
      </w:pPr>
      <w:r>
        <w:rPr>
          <w:rFonts w:ascii="Arial" w:cs="Arial" w:eastAsia="Arial" w:hAnsi="Arial"/>
          <w:sz w:val="13"/>
          <w:szCs w:val="13"/>
          <w:color w:val="auto"/>
        </w:rPr>
        <w:t>At the Extraordinary General Meeting, the ARYA stockholders approved the 2021 Plan and the ESPP (as defined below). The summary of the 2021 Plan set forth in the Proxy Statement/Prospectus in the section titled “</w:t>
      </w:r>
      <w:hyperlink r:id="rId18">
        <w:r>
          <w:rPr>
            <w:rFonts w:ascii="Arial" w:cs="Arial" w:eastAsia="Arial" w:hAnsi="Arial"/>
            <w:sz w:val="13"/>
            <w:szCs w:val="13"/>
            <w:i w:val="1"/>
            <w:iCs w:val="1"/>
            <w:u w:val="single" w:color="auto"/>
            <w:color w:val="0000FF"/>
          </w:rPr>
          <w:t>The Incentive Award Plan Proposal</w:t>
        </w:r>
      </w:hyperlink>
      <w:r>
        <w:rPr>
          <w:rFonts w:ascii="Arial" w:cs="Arial" w:eastAsia="Arial" w:hAnsi="Arial"/>
          <w:sz w:val="13"/>
          <w:szCs w:val="13"/>
          <w:color w:val="auto"/>
        </w:rPr>
        <w:t>” beginning on page 140 of the Proxy Statement/Prospectus and the summary of the ESPP set forth in the Proxy Statement/Prospectus in the section titled “</w:t>
      </w:r>
      <w:hyperlink r:id="rId19">
        <w:r>
          <w:rPr>
            <w:rFonts w:ascii="Arial" w:cs="Arial" w:eastAsia="Arial" w:hAnsi="Arial"/>
            <w:sz w:val="13"/>
            <w:szCs w:val="13"/>
            <w:i w:val="1"/>
            <w:iCs w:val="1"/>
            <w:u w:val="single" w:color="auto"/>
            <w:color w:val="0000FF"/>
          </w:rPr>
          <w:t>The Employee Stock Purchase Plan Proposal</w:t>
        </w:r>
      </w:hyperlink>
      <w:r>
        <w:rPr>
          <w:rFonts w:ascii="Arial" w:cs="Arial" w:eastAsia="Arial" w:hAnsi="Arial"/>
          <w:sz w:val="13"/>
          <w:szCs w:val="13"/>
          <w:color w:val="auto"/>
        </w:rPr>
        <w:t>” beginning on page 149 of the Proxy Statement/Prospectus are each incorporated herein by reference. A copy of the full text of the 2021 Plan is attached hereto as Exhibit 10.4 and a copy of the full text of the ESPP is attached hereto as Exhibit 10.5, each of which is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 Compensation</w:t>
      </w:r>
    </w:p>
    <w:p>
      <w:pPr>
        <w:spacing w:after="0" w:line="185" w:lineRule="exact"/>
        <w:rPr>
          <w:sz w:val="20"/>
          <w:szCs w:val="20"/>
          <w:color w:val="auto"/>
        </w:rPr>
      </w:pPr>
    </w:p>
    <w:p>
      <w:pPr>
        <w:jc w:val="both"/>
        <w:spacing w:after="0" w:line="304" w:lineRule="auto"/>
        <w:rPr>
          <w:rFonts w:ascii="Arial" w:cs="Arial" w:eastAsia="Arial" w:hAnsi="Arial"/>
          <w:sz w:val="13"/>
          <w:szCs w:val="13"/>
          <w:color w:val="auto"/>
        </w:rPr>
      </w:pPr>
      <w:r>
        <w:rPr>
          <w:rFonts w:ascii="Arial" w:cs="Arial" w:eastAsia="Arial" w:hAnsi="Arial"/>
          <w:sz w:val="13"/>
          <w:szCs w:val="13"/>
          <w:color w:val="auto"/>
        </w:rPr>
        <w:t>A description of the compensation of the directors of Old Nautilus and of ARYA before the consummation of the Transactions is set forth in the Proxy Statement/Prospectus in the section titled “</w:t>
      </w:r>
      <w:hyperlink r:id="rId20">
        <w:r>
          <w:rPr>
            <w:rFonts w:ascii="Arial" w:cs="Arial" w:eastAsia="Arial" w:hAnsi="Arial"/>
            <w:sz w:val="13"/>
            <w:szCs w:val="13"/>
            <w:i w:val="1"/>
            <w:iCs w:val="1"/>
            <w:u w:val="single" w:color="auto"/>
            <w:color w:val="0000FF"/>
          </w:rPr>
          <w:t>Nautilus Director Compensation</w:t>
        </w:r>
      </w:hyperlink>
      <w:r>
        <w:rPr>
          <w:rFonts w:ascii="Arial" w:cs="Arial" w:eastAsia="Arial" w:hAnsi="Arial"/>
          <w:sz w:val="13"/>
          <w:szCs w:val="13"/>
          <w:color w:val="auto"/>
        </w:rPr>
        <w:t>” beginning on page 253 of the Proxy Statement/Prospectus and the subsection titled “</w:t>
      </w:r>
      <w:r>
        <w:rPr>
          <w:rFonts w:ascii="Arial" w:cs="Arial" w:eastAsia="Arial" w:hAnsi="Arial"/>
          <w:sz w:val="13"/>
          <w:szCs w:val="13"/>
          <w:i w:val="1"/>
          <w:iCs w:val="1"/>
          <w:color w:val="auto"/>
        </w:rPr>
        <w:t>Executive Compensation and Director Compensation and Other Interests</w:t>
      </w:r>
      <w:r>
        <w:rPr>
          <w:rFonts w:ascii="Arial" w:cs="Arial" w:eastAsia="Arial" w:hAnsi="Arial"/>
          <w:sz w:val="13"/>
          <w:szCs w:val="13"/>
          <w:color w:val="auto"/>
        </w:rPr>
        <w:t>” in the section titled “</w:t>
      </w:r>
      <w:hyperlink r:id="rId17">
        <w:r>
          <w:rPr>
            <w:rFonts w:ascii="Arial" w:cs="Arial" w:eastAsia="Arial" w:hAnsi="Arial"/>
            <w:sz w:val="13"/>
            <w:szCs w:val="13"/>
            <w:i w:val="1"/>
            <w:iCs w:val="1"/>
            <w:u w:val="single" w:color="auto"/>
            <w:color w:val="0000FF"/>
          </w:rPr>
          <w:t>Information About ARYA</w:t>
        </w:r>
      </w:hyperlink>
      <w:r>
        <w:rPr>
          <w:rFonts w:ascii="Arial" w:cs="Arial" w:eastAsia="Arial" w:hAnsi="Arial"/>
          <w:sz w:val="13"/>
          <w:szCs w:val="13"/>
          <w:color w:val="auto"/>
        </w:rPr>
        <w:t>,” beginning on page 186 of the Proxy Statement/Prospectus, respectively, and that information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Relationships and Related Person Transactions</w:t>
      </w:r>
    </w:p>
    <w:p>
      <w:pPr>
        <w:spacing w:after="0" w:line="185"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Certain relationships and related person transactions are described in the Proxy Statement/Prospectus in the section titled “</w:t>
      </w:r>
      <w:hyperlink r:id="rId21">
        <w:r>
          <w:rPr>
            <w:rFonts w:ascii="Arial" w:cs="Arial" w:eastAsia="Arial" w:hAnsi="Arial"/>
            <w:sz w:val="14"/>
            <w:szCs w:val="14"/>
            <w:i w:val="1"/>
            <w:iCs w:val="1"/>
            <w:u w:val="single" w:color="auto"/>
            <w:color w:val="0000FF"/>
          </w:rPr>
          <w:t>Certain Relationships and Related Person Transactions</w:t>
        </w:r>
      </w:hyperlink>
      <w:r>
        <w:rPr>
          <w:rFonts w:ascii="Arial" w:cs="Arial" w:eastAsia="Arial" w:hAnsi="Arial"/>
          <w:sz w:val="14"/>
          <w:szCs w:val="14"/>
          <w:color w:val="auto"/>
        </w:rPr>
        <w:t>,” beginning on page 268 of the Proxy Statement/Prospectus and that information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85"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Reference is made to the disclosure regarding legal proceedings in the subsection of the Proxy Statement/Prospectus titled “</w:t>
      </w:r>
      <w:r>
        <w:rPr>
          <w:rFonts w:ascii="Arial" w:cs="Arial" w:eastAsia="Arial" w:hAnsi="Arial"/>
          <w:sz w:val="14"/>
          <w:szCs w:val="14"/>
          <w:i w:val="1"/>
          <w:iCs w:val="1"/>
          <w:color w:val="auto"/>
        </w:rPr>
        <w:t>Legal Proceedings</w:t>
      </w:r>
      <w:r>
        <w:rPr>
          <w:rFonts w:ascii="Arial" w:cs="Arial" w:eastAsia="Arial" w:hAnsi="Arial"/>
          <w:sz w:val="14"/>
          <w:szCs w:val="14"/>
          <w:color w:val="auto"/>
        </w:rPr>
        <w:t>” in the section titled “</w:t>
      </w:r>
      <w:hyperlink r:id="rId17">
        <w:r>
          <w:rPr>
            <w:rFonts w:ascii="Arial" w:cs="Arial" w:eastAsia="Arial" w:hAnsi="Arial"/>
            <w:sz w:val="14"/>
            <w:szCs w:val="14"/>
            <w:i w:val="1"/>
            <w:iCs w:val="1"/>
            <w:u w:val="single" w:color="auto"/>
            <w:color w:val="0000FF"/>
          </w:rPr>
          <w:t>Information about ARYA</w:t>
        </w:r>
      </w:hyperlink>
      <w:r>
        <w:rPr>
          <w:rFonts w:ascii="Arial" w:cs="Arial" w:eastAsia="Arial" w:hAnsi="Arial"/>
          <w:sz w:val="14"/>
          <w:szCs w:val="14"/>
          <w:i w:val="1"/>
          <w:iCs w:val="1"/>
          <w:color w:val="auto"/>
        </w:rPr>
        <w:t>”</w:t>
      </w:r>
      <w:r>
        <w:rPr>
          <w:rFonts w:ascii="Arial" w:cs="Arial" w:eastAsia="Arial" w:hAnsi="Arial"/>
          <w:sz w:val="14"/>
          <w:szCs w:val="14"/>
          <w:color w:val="auto"/>
        </w:rPr>
        <w:t>on page 187 of the Proxy Statement/Prospectus and that information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Price of and Dividends on Common Equity and Related Stockholder Matters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Common Stock will begin trading on the Nasdaq under the symbol “NAUT” on June 10, 2021. As of immediately after the Closing Date, there were approximately 54 registered holders of Common Stock.</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Nautilus has not paid any cash dividends on shares of its Common Stock. Any decision to declare and pay dividends in the future will be made at the sole discretion of the Board and will depend on, among other things, Nautilus’ results of operations, cash requirements, financial condition, contractual restrictions and other factors that the Board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Sales of Unregistered Securities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Reference is made to the disclosure set forth below under Item 3.02 of this Current Report on Form 8-K concerning the issuance and sale of certain unregistered securities, which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Company’s Securities</w:t>
      </w:r>
    </w:p>
    <w:p>
      <w:pPr>
        <w:spacing w:after="0" w:line="185"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The description of New Nautilus’ securities is contained in the Proxy Statement/Prospectus in the section titled “</w:t>
      </w:r>
      <w:hyperlink r:id="rId22">
        <w:r>
          <w:rPr>
            <w:rFonts w:ascii="Arial" w:cs="Arial" w:eastAsia="Arial" w:hAnsi="Arial"/>
            <w:sz w:val="14"/>
            <w:szCs w:val="14"/>
            <w:i w:val="1"/>
            <w:iCs w:val="1"/>
            <w:u w:val="single" w:color="auto"/>
            <w:color w:val="0000FF"/>
          </w:rPr>
          <w:t>Description of New Nautilus Securities</w:t>
        </w:r>
      </w:hyperlink>
      <w:r>
        <w:rPr>
          <w:rFonts w:ascii="Arial" w:cs="Arial" w:eastAsia="Arial" w:hAnsi="Arial"/>
          <w:sz w:val="14"/>
          <w:szCs w:val="14"/>
          <w:color w:val="auto"/>
        </w:rPr>
        <w:t>” beginning on page 277 of the Proxy Statement/Prospectus and that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1168"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Indemnification of Officers and Directors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New Nautilus has entered into indemnification agreements with each of its directors and executive officers, in each case effective as of the Closing Date. Each indemnification agreement provides for indemnification and advancements by New Nautilus of certain expenses and costs relating to claims, suits or proceedings arising from his or her service to New Nautilus or, at our request, service to other entities, as officers or directors to the maximum extent permitted by applicable law.</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foregoing description of the indemnification agreements does not purport to be complete and is qualified in its entirety by the terms and conditions of the indemnification agreements, a form of which is filed as Exhibit 10.22 to this Current Report on Form 8-K and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the Registrant’s Certifying Accountant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Item 4.01 of this Current Report on Form 8-K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Statements and Exhibits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Item 9.01 of this Current Report on Form 8-K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3.02. Unregistered Sales of Equity Securities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Concurrently with the execution of the Business Combination Agreement, ARYA entered into subscription agreements (the “Subscription Agreements”) with each of the PIPE Investors, pursuant to which, at the Closing, the PIPE Investors subscribed for and purchased an aggregate of 20,000,000 shares of Common Stock at a price of $10.00 per share for aggregate gross proceeds of $200,000,000. Perceptive Life Sciences Master Fund Ltd, a Cayman Islands exempted company, funded $55,000,000 in the PIPE Financing and the additional $145,000,000 was funded by additional qualified investors. The shares of Common Stock issued pursuant to the Subscription Agreements (the “PIPE Financing Shares”) have not been registered under the Securities Act in reliance upon the exemption provided in Section 4(a)(2) of the Securities Act. Pursuant to the Subscription Agreements, we agreed that, within forty-five (45) calendar days after the Closing Date, we will file with the SEC (at our sole cost and expense) a registration statement (the “Resale Registration Statement”) registering the resale of the PIPE Financing Shares. The foregoing description of the Subscription Agreements does not purport to be complete and is qualified in its entirety by the terms and conditions thereof, the form of which is attached hereto as Exhibit 10.1 and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3.03. Material Modifications to Rights of Security Holders.</w:t>
      </w:r>
    </w:p>
    <w:p>
      <w:pPr>
        <w:spacing w:after="0" w:line="189" w:lineRule="exact"/>
        <w:rPr>
          <w:sz w:val="20"/>
          <w:szCs w:val="20"/>
          <w:color w:val="auto"/>
        </w:rPr>
      </w:pPr>
    </w:p>
    <w:p>
      <w:pPr>
        <w:jc w:val="both"/>
        <w:spacing w:after="0" w:line="286" w:lineRule="auto"/>
        <w:rPr>
          <w:rFonts w:ascii="Arial" w:cs="Arial" w:eastAsia="Arial" w:hAnsi="Arial"/>
          <w:sz w:val="13"/>
          <w:szCs w:val="13"/>
          <w:color w:val="auto"/>
        </w:rPr>
      </w:pPr>
      <w:r>
        <w:rPr>
          <w:rFonts w:ascii="Arial" w:cs="Arial" w:eastAsia="Arial" w:hAnsi="Arial"/>
          <w:sz w:val="13"/>
          <w:szCs w:val="13"/>
          <w:color w:val="auto"/>
        </w:rPr>
        <w:t>In connection with the consummation of the Transactions, ARYA changed its jurisdiction of incorporation by deregistering as a Cayman Islands exempted company and continuing and domesticating as a corporation incorporated under the laws of the State of Delaware, upon which ARYA changed its name to “Nautilus Biotechnology, Inc.” and adopted a certificate of incorporation and bylaws. Reference is made to the disclosure described in the Proxy Statement/Prospectus in the sections titled “</w:t>
      </w:r>
      <w:hyperlink r:id="rId23">
        <w:r>
          <w:rPr>
            <w:rFonts w:ascii="Arial" w:cs="Arial" w:eastAsia="Arial" w:hAnsi="Arial"/>
            <w:sz w:val="13"/>
            <w:szCs w:val="13"/>
            <w:i w:val="1"/>
            <w:iCs w:val="1"/>
            <w:u w:val="single" w:color="auto"/>
            <w:color w:val="0000FF"/>
          </w:rPr>
          <w:t>Domestication Proposal</w:t>
        </w:r>
      </w:hyperlink>
      <w:r>
        <w:rPr>
          <w:rFonts w:ascii="Arial" w:cs="Arial" w:eastAsia="Arial" w:hAnsi="Arial"/>
          <w:sz w:val="13"/>
          <w:szCs w:val="13"/>
          <w:color w:val="auto"/>
        </w:rPr>
        <w:t>” beginning on page 122 of the Proxy Statement/Prospectus, “</w:t>
      </w:r>
      <w:hyperlink r:id="rId24">
        <w:r>
          <w:rPr>
            <w:rFonts w:ascii="Arial" w:cs="Arial" w:eastAsia="Arial" w:hAnsi="Arial"/>
            <w:sz w:val="13"/>
            <w:szCs w:val="13"/>
            <w:i w:val="1"/>
            <w:iCs w:val="1"/>
            <w:u w:val="single" w:color="auto"/>
            <w:color w:val="0000FF"/>
          </w:rPr>
          <w:t>Charter Proposal</w:t>
        </w:r>
      </w:hyperlink>
      <w:r>
        <w:rPr>
          <w:rFonts w:ascii="Arial" w:cs="Arial" w:eastAsia="Arial" w:hAnsi="Arial"/>
          <w:sz w:val="13"/>
          <w:szCs w:val="13"/>
          <w:color w:val="auto"/>
        </w:rPr>
        <w:t>” beginning on page 125 of the Proxy Statement/Prospectus, “</w:t>
      </w:r>
      <w:hyperlink r:id="rId25">
        <w:r>
          <w:rPr>
            <w:rFonts w:ascii="Arial" w:cs="Arial" w:eastAsia="Arial" w:hAnsi="Arial"/>
            <w:sz w:val="13"/>
            <w:szCs w:val="13"/>
            <w:i w:val="1"/>
            <w:iCs w:val="1"/>
            <w:u w:val="single" w:color="auto"/>
            <w:color w:val="0000FF"/>
          </w:rPr>
          <w:t>Advisory Governing Documents Proposals</w:t>
        </w:r>
      </w:hyperlink>
      <w:r>
        <w:rPr>
          <w:rFonts w:ascii="Arial" w:cs="Arial" w:eastAsia="Arial" w:hAnsi="Arial"/>
          <w:sz w:val="13"/>
          <w:szCs w:val="13"/>
          <w:color w:val="auto"/>
        </w:rPr>
        <w:t>” beginning on page 126 of the Proxy Statement/Prospectus, “</w:t>
      </w:r>
      <w:hyperlink r:id="rId26">
        <w:r>
          <w:rPr>
            <w:rFonts w:ascii="Arial" w:cs="Arial" w:eastAsia="Arial" w:hAnsi="Arial"/>
            <w:sz w:val="13"/>
            <w:szCs w:val="13"/>
            <w:i w:val="1"/>
            <w:iCs w:val="1"/>
            <w:u w:val="single" w:color="auto"/>
            <w:color w:val="0000FF"/>
          </w:rPr>
          <w:t>Comparison of Corporate Governance and Shareholder Rights</w:t>
        </w:r>
      </w:hyperlink>
      <w:r>
        <w:rPr>
          <w:rFonts w:ascii="Arial" w:cs="Arial" w:eastAsia="Arial" w:hAnsi="Arial"/>
          <w:sz w:val="13"/>
          <w:szCs w:val="13"/>
          <w:color w:val="auto"/>
        </w:rPr>
        <w:t>” beginning on page 275 of the Proxy Statement/Prospectus, and “</w:t>
      </w:r>
      <w:hyperlink r:id="rId22">
        <w:r>
          <w:rPr>
            <w:rFonts w:ascii="Arial" w:cs="Arial" w:eastAsia="Arial" w:hAnsi="Arial"/>
            <w:sz w:val="13"/>
            <w:szCs w:val="13"/>
            <w:i w:val="1"/>
            <w:iCs w:val="1"/>
            <w:u w:val="single" w:color="auto"/>
            <w:color w:val="0000FF"/>
          </w:rPr>
          <w:t>Description of New Nautilus Securities</w:t>
        </w:r>
      </w:hyperlink>
      <w:r>
        <w:rPr>
          <w:rFonts w:ascii="Arial" w:cs="Arial" w:eastAsia="Arial" w:hAnsi="Arial"/>
          <w:sz w:val="13"/>
          <w:szCs w:val="13"/>
          <w:color w:val="auto"/>
        </w:rPr>
        <w:t>” beginning on page 277 of the Proxy Statement/Prospectus, each of which are incorporated herein by reference. This summary is qualified in its entirety by reference to the text of New Nautilus’ certificate of incorporation and bylaws, which are attached as Exhibits 3.1 and 3.2 hereto, respectively, and are incorporated herein by reference.</w:t>
      </w:r>
    </w:p>
    <w:p>
      <w:pPr>
        <w:spacing w:after="0" w:line="127" w:lineRule="exact"/>
        <w:rPr>
          <w:rFonts w:ascii="Arial" w:cs="Arial" w:eastAsia="Arial" w:hAnsi="Arial"/>
          <w:sz w:val="13"/>
          <w:szCs w:val="13"/>
          <w:color w:val="auto"/>
        </w:rPr>
      </w:pPr>
    </w:p>
    <w:p>
      <w:pPr>
        <w:jc w:val="both"/>
        <w:spacing w:after="0" w:line="257" w:lineRule="auto"/>
        <w:rPr>
          <w:sz w:val="20"/>
          <w:szCs w:val="20"/>
          <w:color w:val="auto"/>
        </w:rPr>
      </w:pPr>
      <w:r>
        <w:rPr>
          <w:rFonts w:ascii="Arial" w:cs="Arial" w:eastAsia="Arial" w:hAnsi="Arial"/>
          <w:sz w:val="14"/>
          <w:szCs w:val="14"/>
          <w:color w:val="auto"/>
        </w:rPr>
        <w:t>In accordance with Rule 12g-3(a) under the Securities Exchange Act of 1934, as amended (the “Exchange Act”), New Nautilus is the successor issuer to ARYA and has assumed the attributes of ARYA as the registrant. In addition, the shares of Common Stock of New Nautilus, as the successor to ARYA, are deemed to be registered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8"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1168" w:right="319" w:bottom="1440" w:gutter="0" w:footer="0" w:header="0"/>
        </w:sectPr>
      </w:pPr>
    </w:p>
    <w:bookmarkStart w:id="23" w:name="page24"/>
    <w:bookmarkEnd w:id="23"/>
    <w:p>
      <w:pPr>
        <w:jc w:val="both"/>
        <w:spacing w:after="0" w:line="237" w:lineRule="auto"/>
        <w:rPr>
          <w:sz w:val="20"/>
          <w:szCs w:val="20"/>
          <w:color w:val="auto"/>
        </w:rPr>
      </w:pPr>
      <w:r>
        <w:rPr>
          <w:rFonts w:ascii="Arial" w:cs="Arial" w:eastAsia="Arial" w:hAnsi="Arial"/>
          <w:sz w:val="14"/>
          <w:szCs w:val="14"/>
          <w:color w:val="auto"/>
        </w:rPr>
        <w:t>under Section 12(b) of the Exchange Act. Holders of uncertificated shares of ARYA’s Class A ordinary shares prior to the Closing have continued as holders of shares of uncertificated shares of New Nautilus’ Common Stock. After consummation of the Transactions, the Common Stock was listed on the Nasdaq under the symbols “NAUT” and the CUSIP number relating to the Common Stock was changed to 63909J108. Holders of ARYA’s shares who have filed reports under the Exchange Act with respect to those shares should indicate in their next filing, or any amendment to a prior filing, filed on or after the Closing Date that New Nautilus is the successor to ARYA.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4.01. Change in the Registrant’s Certifying Accountant.</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June 9, 2021, the audit committee of the Board approved a resolution appointing PricewaterhouseCoopers LLP (“PwC”) as New Nautilus’ independent registered public accounting firm to audit New Nautilus’ consolidated financial statements for the fiscal year ending December 31, 2021. PwC served as the independent registered public accounting firm of Old Nautilus prior to the Business Combination. Accordingly, WithumSmith+Brown, PC (“Withum”), ARYA’s independent registered public accounting firm prior to the Business Combination, was informed on June 9, 2021 that it was dismissed as New Nautilus’ independent registered public accounting firm.</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ARYA’s fiscal year ending December 31, 2020 and the subsequent interim period through June 9, 2021, there were no “reportable events” (as defined in Item 304(a)(1)(v) of Regulation S-K under the Securities Exchange Act of 1934, as amended (the “Exchange Act”)).</w:t>
      </w:r>
    </w:p>
    <w:p>
      <w:pPr>
        <w:spacing w:after="0" w:line="130"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New Nautilus provided Withum with a copy of the foregoing disclosures and has requested that Withum furnish Nautilus Biotechnology, Inc. with a letter addressed to the SEC stating whether it agrees with the statements made by New Nautilus set forth above. A copy of Withum’s letter, dated on June 9, 2021, is filed as Exhibit 16.1 to this Current Report on Form 8-K.</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During the fiscal year ending December 31, 2020 and the subsequent interim period through June 9, 2021, neither New Nautilus, nor any party on behalf of New Nautilus, consulted with PwC with respect to either (i) the application of accounting principles to a specified transaction, either completed or proposed, or the type of the audit opinion that might be rendered with respect to New Nautilus’ consolidated financial statements, and no written report or oral advice was provided to New Nautilus by PwC that was an important factor considered by New Nautilus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5.01. Changes in Control of Registrant.</w:t>
      </w:r>
    </w:p>
    <w:p>
      <w:pPr>
        <w:spacing w:after="0" w:line="189" w:lineRule="exact"/>
        <w:rPr>
          <w:sz w:val="20"/>
          <w:szCs w:val="20"/>
          <w:color w:val="auto"/>
        </w:rPr>
      </w:pPr>
    </w:p>
    <w:p>
      <w:pPr>
        <w:jc w:val="both"/>
        <w:spacing w:after="0" w:line="274" w:lineRule="auto"/>
        <w:rPr>
          <w:rFonts w:ascii="Arial" w:cs="Arial" w:eastAsia="Arial" w:hAnsi="Arial"/>
          <w:sz w:val="14"/>
          <w:szCs w:val="14"/>
          <w:color w:val="auto"/>
        </w:rPr>
      </w:pPr>
      <w:r>
        <w:rPr>
          <w:rFonts w:ascii="Arial" w:cs="Arial" w:eastAsia="Arial" w:hAnsi="Arial"/>
          <w:sz w:val="14"/>
          <w:szCs w:val="14"/>
          <w:color w:val="auto"/>
        </w:rPr>
        <w:t>Reference is made to the disclosure in the Proxy Statement/Prospectus in the subsection titled “</w:t>
      </w:r>
      <w:r>
        <w:rPr>
          <w:rFonts w:ascii="Arial" w:cs="Arial" w:eastAsia="Arial" w:hAnsi="Arial"/>
          <w:sz w:val="14"/>
          <w:szCs w:val="14"/>
          <w:i w:val="1"/>
          <w:iCs w:val="1"/>
          <w:color w:val="auto"/>
        </w:rPr>
        <w:t>The Business Combination Agreement</w:t>
      </w:r>
      <w:r>
        <w:rPr>
          <w:rFonts w:ascii="Arial" w:cs="Arial" w:eastAsia="Arial" w:hAnsi="Arial"/>
          <w:sz w:val="14"/>
          <w:szCs w:val="14"/>
          <w:color w:val="auto"/>
        </w:rPr>
        <w:t>” in the section titled “</w:t>
      </w:r>
      <w:hyperlink r:id="rId9">
        <w:r>
          <w:rPr>
            <w:rFonts w:ascii="Arial" w:cs="Arial" w:eastAsia="Arial" w:hAnsi="Arial"/>
            <w:sz w:val="14"/>
            <w:szCs w:val="14"/>
            <w:i w:val="1"/>
            <w:iCs w:val="1"/>
            <w:u w:val="single" w:color="auto"/>
            <w:color w:val="0000FF"/>
          </w:rPr>
          <w:t>Business Combination Proposal</w:t>
        </w:r>
      </w:hyperlink>
      <w:r>
        <w:rPr>
          <w:rFonts w:ascii="Arial" w:cs="Arial" w:eastAsia="Arial" w:hAnsi="Arial"/>
          <w:sz w:val="14"/>
          <w:szCs w:val="14"/>
          <w:color w:val="auto"/>
        </w:rPr>
        <w:t>,” beginning on page 88 of the Proxy Statement/Prospectus, which is incorporated herein by reference. Further reference is made to the information contained in Item 2.01 to this Current Report on Form 8-K,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1157"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Upon the consummation of the Transactions, and in accordance with the terms of the Business Combination Agreement, each director of ARYA, other than Michael Altman, and each executive officer of ARYA ceased serving in such capacities and seven new directors were appointed to the Board. The Board was divided into three staggered classes of directors and each director was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Sujal Patel, Vijay Pande, and Michael Altman were appointed as Class I directors, Parag Mallick, Farzad Nazem, and Matthew McIlwain were appointed as Class II directors and Melissa Epperly and Matthew Posard were appointed as Class III directors.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Furthermore, effective as of the Effective Time, the Board established three standing committees: an audit committee, a compensation committee and a nominating and corporate governance committee. The members of our audit committee are Mr. McIlwain, Mr. Posard and Ms. Epperly, and Ms. Epperly serves as the chairperson of the audit committee. The members of the compensation committee are Mr. Altman, Mr. Nazem and Mr. Posard, and Mr. Posard is the chairperson of the compensation committee. The members of the nominating and corporate governance committee are Mr. McIlwain and Mr. Pande, and Mr. McIlwain is the chairperson of the nominating and corporate governance committee.</w:t>
      </w:r>
    </w:p>
    <w:p>
      <w:pPr>
        <w:spacing w:after="0" w:line="147" w:lineRule="exact"/>
        <w:rPr>
          <w:sz w:val="20"/>
          <w:szCs w:val="20"/>
          <w:color w:val="auto"/>
        </w:rPr>
      </w:pPr>
    </w:p>
    <w:p>
      <w:pPr>
        <w:jc w:val="both"/>
        <w:spacing w:after="0" w:line="304" w:lineRule="auto"/>
        <w:rPr>
          <w:rFonts w:ascii="Arial" w:cs="Arial" w:eastAsia="Arial" w:hAnsi="Arial"/>
          <w:sz w:val="13"/>
          <w:szCs w:val="13"/>
          <w:color w:val="auto"/>
        </w:rPr>
      </w:pPr>
      <w:r>
        <w:rPr>
          <w:rFonts w:ascii="Arial" w:cs="Arial" w:eastAsia="Arial" w:hAnsi="Arial"/>
          <w:sz w:val="13"/>
          <w:szCs w:val="13"/>
          <w:color w:val="auto"/>
        </w:rPr>
        <w:t>A description of the compensation of the directors of Old Nautilus and of ARYA before the consummation of the Transactions is set forth in the Proxy Statement/Prospectus in the section titled “</w:t>
      </w:r>
      <w:hyperlink r:id="rId20">
        <w:r>
          <w:rPr>
            <w:rFonts w:ascii="Arial" w:cs="Arial" w:eastAsia="Arial" w:hAnsi="Arial"/>
            <w:sz w:val="13"/>
            <w:szCs w:val="13"/>
            <w:i w:val="1"/>
            <w:iCs w:val="1"/>
            <w:u w:val="single" w:color="auto"/>
            <w:color w:val="0000FF"/>
          </w:rPr>
          <w:t>Nautilus Director Compensation</w:t>
        </w:r>
      </w:hyperlink>
      <w:r>
        <w:rPr>
          <w:rFonts w:ascii="Arial" w:cs="Arial" w:eastAsia="Arial" w:hAnsi="Arial"/>
          <w:sz w:val="13"/>
          <w:szCs w:val="13"/>
          <w:color w:val="auto"/>
        </w:rPr>
        <w:t>” beginning on page 253 of the Proxy Statement/Prospectus and the subsection titled “</w:t>
      </w:r>
      <w:r>
        <w:rPr>
          <w:rFonts w:ascii="Arial" w:cs="Arial" w:eastAsia="Arial" w:hAnsi="Arial"/>
          <w:sz w:val="13"/>
          <w:szCs w:val="13"/>
          <w:i w:val="1"/>
          <w:iCs w:val="1"/>
          <w:color w:val="auto"/>
        </w:rPr>
        <w:t>Executive Compensation and Director Compensation and Other Interests</w:t>
      </w:r>
      <w:r>
        <w:rPr>
          <w:rFonts w:ascii="Arial" w:cs="Arial" w:eastAsia="Arial" w:hAnsi="Arial"/>
          <w:sz w:val="13"/>
          <w:szCs w:val="13"/>
          <w:color w:val="auto"/>
        </w:rPr>
        <w:t>” in the section titled “</w:t>
      </w:r>
      <w:hyperlink r:id="rId17">
        <w:r>
          <w:rPr>
            <w:rFonts w:ascii="Arial" w:cs="Arial" w:eastAsia="Arial" w:hAnsi="Arial"/>
            <w:sz w:val="13"/>
            <w:szCs w:val="13"/>
            <w:i w:val="1"/>
            <w:iCs w:val="1"/>
            <w:u w:val="single" w:color="auto"/>
            <w:color w:val="0000FF"/>
          </w:rPr>
          <w:t>Information About ARYA</w:t>
        </w:r>
      </w:hyperlink>
      <w:r>
        <w:rPr>
          <w:rFonts w:ascii="Arial" w:cs="Arial" w:eastAsia="Arial" w:hAnsi="Arial"/>
          <w:sz w:val="13"/>
          <w:szCs w:val="13"/>
          <w:color w:val="auto"/>
        </w:rPr>
        <w:t>,” beginning on page 186 of the Proxy Statement/Prospectus, respectively, and that information is incorporated herein by reference.</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Following the Transactions, pursuant to New Nautilus’ outside director compensation policy (the “Outside Director Compensation Policy”), each non-employee director will receive an annual retainer of $40,000, an annual retainer of $40,000 for serving as chair of the Board, a $20,000 annual retainer for serving as the chair of the audit committee, a $10,000 annual retainer for serving as a member of the audit committee, a $14,000 annual retainer for serving as the chair of the compensation committee, a $7,000 annual retainer for serving as a member of the compensation committee, a $10,000 annual retainer for serving as the chair of the nominating and corporate governance committee, and a $5,000 annual retainer for serving on the nominating and corporate governance committee, in each case to be paid quarterly in arrears and prorated based on the number of actual days served on the Board or applicable committee. Each non-employee director who serves as a committee chair of the Board will receive the cash retainer fee as the chair of the committee but not the cash retainer fee as a member of that committee, provided that the non-employee director who serves as the non-employee chair of the Board will receive the annual retainer fees for such role as well as the annual retainer fee for service as a non-employee director. The above-listed fees for service as non-employee chair of the Board or a chair or member of any committee are payable in addition to the non-employee director retainer. In addition, each non-employee director will receive, on the first trading day immediately after the date of each New Nautilus annual meeting of stockholders, an annual award of stock options to purchase shares of New Nautilus common stock (the “Annual Award”).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1/12th of the shares of Common Stock subject to such award on a monthly basis following the Annual Award’s grant date,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1164"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same day of the month as the grant date, subject to continued services to New Nautilus through the applicable vesting dates.</w:t>
      </w:r>
    </w:p>
    <w:p>
      <w:pPr>
        <w:spacing w:after="0" w:line="185" w:lineRule="exact"/>
        <w:rPr>
          <w:sz w:val="20"/>
          <w:szCs w:val="20"/>
          <w:color w:val="auto"/>
        </w:rPr>
      </w:pPr>
    </w:p>
    <w:p>
      <w:pPr>
        <w:jc w:val="both"/>
        <w:spacing w:after="0" w:line="268" w:lineRule="auto"/>
        <w:rPr>
          <w:rFonts w:ascii="Arial" w:cs="Arial" w:eastAsia="Arial" w:hAnsi="Arial"/>
          <w:sz w:val="14"/>
          <w:szCs w:val="14"/>
          <w:color w:val="auto"/>
        </w:rPr>
      </w:pPr>
      <w:r>
        <w:rPr>
          <w:rFonts w:ascii="Arial" w:cs="Arial" w:eastAsia="Arial" w:hAnsi="Arial"/>
          <w:sz w:val="14"/>
          <w:szCs w:val="14"/>
          <w:color w:val="auto"/>
        </w:rPr>
        <w:t>Pursuant to the Outside Director Compensation Policy, Mr. Altman was also granted an initial award of stock options to purchase shares of New Nautilus common stock (the “Initial Award”) with an aggregate grant date fair value (determined in accordance with U.S. GAAP) of $370,000 in connection with the closing of the Transactions, as set forth in the Proxy Statement/Prospectus in the subsection titled “</w:t>
      </w:r>
      <w:r>
        <w:rPr>
          <w:rFonts w:ascii="Arial" w:cs="Arial" w:eastAsia="Arial" w:hAnsi="Arial"/>
          <w:sz w:val="14"/>
          <w:szCs w:val="14"/>
          <w:i w:val="1"/>
          <w:iCs w:val="1"/>
          <w:color w:val="auto"/>
        </w:rPr>
        <w:t>Director Compensation Policy</w:t>
      </w:r>
      <w:r>
        <w:rPr>
          <w:rFonts w:ascii="Arial" w:cs="Arial" w:eastAsia="Arial" w:hAnsi="Arial"/>
          <w:sz w:val="14"/>
          <w:szCs w:val="14"/>
          <w:color w:val="auto"/>
        </w:rPr>
        <w:t>” in the section titled “</w:t>
      </w:r>
      <w:hyperlink r:id="rId20">
        <w:r>
          <w:rPr>
            <w:rFonts w:ascii="Arial" w:cs="Arial" w:eastAsia="Arial" w:hAnsi="Arial"/>
            <w:sz w:val="14"/>
            <w:szCs w:val="14"/>
            <w:i w:val="1"/>
            <w:iCs w:val="1"/>
            <w:u w:val="single" w:color="auto"/>
            <w:color w:val="0000FF"/>
          </w:rPr>
          <w:t>Nautilus Director Compensation</w:t>
        </w:r>
      </w:hyperlink>
      <w:r>
        <w:rPr>
          <w:rFonts w:ascii="Arial" w:cs="Arial" w:eastAsia="Arial" w:hAnsi="Arial"/>
          <w:sz w:val="14"/>
          <w:szCs w:val="14"/>
          <w:color w:val="auto"/>
        </w:rPr>
        <w:t>” on page 255 of the Proxy Statement/Prospectus and that information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Upon consummation of the Transactions, the following individuals were appointed to serve as executive officers of New Nautilus: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3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6960" w:type="dxa"/>
            <w:vAlign w:val="bottom"/>
          </w:tcPr>
          <w:p>
            <w:pPr>
              <w:ind w:left="328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31"/>
        </w:trPr>
        <w:tc>
          <w:tcPr>
            <w:tcW w:w="4300" w:type="dxa"/>
            <w:vAlign w:val="bottom"/>
            <w:vMerge w:val="restart"/>
          </w:tcPr>
          <w:p>
            <w:pPr>
              <w:spacing w:after="0"/>
              <w:rPr>
                <w:sz w:val="20"/>
                <w:szCs w:val="20"/>
                <w:color w:val="auto"/>
              </w:rPr>
            </w:pPr>
            <w:r>
              <w:rPr>
                <w:rFonts w:ascii="Arial" w:cs="Arial" w:eastAsia="Arial" w:hAnsi="Arial"/>
                <w:sz w:val="14"/>
                <w:szCs w:val="14"/>
                <w:color w:val="auto"/>
              </w:rPr>
              <w:t>Sujal Patel</w:t>
            </w:r>
          </w:p>
        </w:tc>
        <w:tc>
          <w:tcPr>
            <w:tcW w:w="6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300" w:type="dxa"/>
            <w:vAlign w:val="bottom"/>
            <w:vMerge w:val="continue"/>
          </w:tcPr>
          <w:p>
            <w:pPr>
              <w:spacing w:after="0"/>
              <w:rPr>
                <w:sz w:val="16"/>
                <w:szCs w:val="16"/>
                <w:color w:val="auto"/>
              </w:rPr>
            </w:pPr>
          </w:p>
        </w:tc>
        <w:tc>
          <w:tcPr>
            <w:tcW w:w="6960" w:type="dxa"/>
            <w:vAlign w:val="bottom"/>
          </w:tcPr>
          <w:p>
            <w:pPr>
              <w:ind w:left="20"/>
              <w:spacing w:after="0"/>
              <w:rPr>
                <w:sz w:val="20"/>
                <w:szCs w:val="20"/>
                <w:color w:val="auto"/>
              </w:rPr>
            </w:pPr>
            <w:r>
              <w:rPr>
                <w:rFonts w:ascii="Arial" w:cs="Arial" w:eastAsia="Arial" w:hAnsi="Arial"/>
                <w:sz w:val="14"/>
                <w:szCs w:val="14"/>
                <w:color w:val="auto"/>
              </w:rPr>
              <w:t>Chief Executive Officer, President, and Secretary</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4"/>
                <w:szCs w:val="14"/>
                <w:color w:val="auto"/>
              </w:rPr>
              <w:t>Parag Mallick</w:t>
            </w:r>
          </w:p>
        </w:tc>
        <w:tc>
          <w:tcPr>
            <w:tcW w:w="6960" w:type="dxa"/>
            <w:vAlign w:val="bottom"/>
          </w:tcPr>
          <w:p>
            <w:pPr>
              <w:ind w:left="20"/>
              <w:spacing w:after="0"/>
              <w:rPr>
                <w:sz w:val="20"/>
                <w:szCs w:val="20"/>
                <w:color w:val="auto"/>
              </w:rPr>
            </w:pPr>
            <w:r>
              <w:rPr>
                <w:rFonts w:ascii="Arial" w:cs="Arial" w:eastAsia="Arial" w:hAnsi="Arial"/>
                <w:sz w:val="14"/>
                <w:szCs w:val="14"/>
                <w:color w:val="auto"/>
              </w:rPr>
              <w:t>Chief Scientist</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4"/>
                <w:szCs w:val="14"/>
                <w:color w:val="auto"/>
              </w:rPr>
              <w:t>Anna Mowry</w:t>
            </w:r>
          </w:p>
        </w:tc>
        <w:tc>
          <w:tcPr>
            <w:tcW w:w="6960" w:type="dxa"/>
            <w:vAlign w:val="bottom"/>
          </w:tcPr>
          <w:p>
            <w:pPr>
              <w:ind w:left="20"/>
              <w:spacing w:after="0"/>
              <w:rPr>
                <w:sz w:val="20"/>
                <w:szCs w:val="20"/>
                <w:color w:val="auto"/>
              </w:rPr>
            </w:pPr>
            <w:r>
              <w:rPr>
                <w:rFonts w:ascii="Arial" w:cs="Arial" w:eastAsia="Arial" w:hAnsi="Arial"/>
                <w:sz w:val="14"/>
                <w:szCs w:val="14"/>
                <w:color w:val="auto"/>
              </w:rPr>
              <w:t>Chief Financial Officer and Treasurer</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4"/>
                <w:szCs w:val="14"/>
                <w:color w:val="auto"/>
              </w:rPr>
              <w:t>Nick Nelson</w:t>
            </w:r>
          </w:p>
        </w:tc>
        <w:tc>
          <w:tcPr>
            <w:tcW w:w="6960" w:type="dxa"/>
            <w:vAlign w:val="bottom"/>
          </w:tcPr>
          <w:p>
            <w:pPr>
              <w:ind w:left="20"/>
              <w:spacing w:after="0"/>
              <w:rPr>
                <w:sz w:val="20"/>
                <w:szCs w:val="20"/>
                <w:color w:val="auto"/>
              </w:rPr>
            </w:pPr>
            <w:r>
              <w:rPr>
                <w:rFonts w:ascii="Arial" w:cs="Arial" w:eastAsia="Arial" w:hAnsi="Arial"/>
                <w:sz w:val="14"/>
                <w:szCs w:val="14"/>
                <w:color w:val="auto"/>
              </w:rPr>
              <w:t>Chief Business Officer and Senior Vice President, Business Development</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4"/>
                <w:szCs w:val="14"/>
                <w:color w:val="auto"/>
              </w:rPr>
              <w:t>Subra Sankar</w:t>
            </w:r>
          </w:p>
        </w:tc>
        <w:tc>
          <w:tcPr>
            <w:tcW w:w="6960" w:type="dxa"/>
            <w:vAlign w:val="bottom"/>
          </w:tcPr>
          <w:p>
            <w:pPr>
              <w:ind w:left="20"/>
              <w:spacing w:after="0"/>
              <w:rPr>
                <w:sz w:val="20"/>
                <w:szCs w:val="20"/>
                <w:color w:val="auto"/>
              </w:rPr>
            </w:pPr>
            <w:r>
              <w:rPr>
                <w:rFonts w:ascii="Arial" w:cs="Arial" w:eastAsia="Arial" w:hAnsi="Arial"/>
                <w:sz w:val="14"/>
                <w:szCs w:val="14"/>
                <w:color w:val="auto"/>
              </w:rPr>
              <w:t>Senior Vice President, Product Development</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4"/>
                <w:szCs w:val="14"/>
                <w:color w:val="auto"/>
              </w:rPr>
              <w:t>Matt Murphy</w:t>
            </w:r>
          </w:p>
        </w:tc>
        <w:tc>
          <w:tcPr>
            <w:tcW w:w="6960" w:type="dxa"/>
            <w:vAlign w:val="bottom"/>
          </w:tcPr>
          <w:p>
            <w:pPr>
              <w:ind w:left="20"/>
              <w:spacing w:after="0"/>
              <w:rPr>
                <w:sz w:val="20"/>
                <w:szCs w:val="20"/>
                <w:color w:val="auto"/>
              </w:rPr>
            </w:pPr>
            <w:r>
              <w:rPr>
                <w:rFonts w:ascii="Arial" w:cs="Arial" w:eastAsia="Arial" w:hAnsi="Arial"/>
                <w:sz w:val="14"/>
                <w:szCs w:val="14"/>
                <w:color w:val="auto"/>
              </w:rPr>
              <w:t>General Counsel</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Reference is made to the disclosure described in the Proxy Statement/Prospectus in the section titled “</w:t>
      </w:r>
      <w:hyperlink r:id="rId15">
        <w:r>
          <w:rPr>
            <w:rFonts w:ascii="Arial" w:cs="Arial" w:eastAsia="Arial" w:hAnsi="Arial"/>
            <w:sz w:val="14"/>
            <w:szCs w:val="14"/>
            <w:i w:val="1"/>
            <w:iCs w:val="1"/>
            <w:u w:val="single" w:color="auto"/>
            <w:color w:val="0000FF"/>
          </w:rPr>
          <w:t>Management Following the Business Combination</w:t>
        </w:r>
      </w:hyperlink>
      <w:r>
        <w:rPr>
          <w:rFonts w:ascii="Arial" w:cs="Arial" w:eastAsia="Arial" w:hAnsi="Arial"/>
          <w:sz w:val="14"/>
          <w:szCs w:val="14"/>
          <w:color w:val="auto"/>
        </w:rPr>
        <w:t>,” beginning on page 257 of the Proxy Statement/Prospectus, which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Nautilus Biotechnology, Inc. 2021 Equity Incentive Plan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the special meeting of ARYA stockholders held on June 8, 2021, ARYA stockholders considered and approved the Nautilus Biotechnology, Inc. 2021 Equity Incentive Plan (the “2021 Plan”). The 2021 Plan allows New Nautilus to make equity and equity-based incentive awards to officers, employees, non-employee directors and consultants. The Board anticipates that providing such persons with a direct stake in New Nautilus will assure a closer alignment of the interests of such individuals with those of New Nautilus and its stockholders, thereby stimulating their efforts on New Nautilus’ behalf and strengthening their desire to remain with New Nautilus.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Subject to the adjustment provisions contained in the 2021 Plan and the evergreen provision described below, a total of 16,182,600 shares of New Nautilus Common Stock are initially reserved for issuance pursuant to the 2021 Plan. In addition, the shares reserved for issuance under the 2021 Plan include any shares of Nautilus Common Stock subject to awards of stock options or other awards that were assumed in the Merger (or “assumed awards”) that, on or after the effective date of the Merger, are terminated, canceled, expire or otherwise terminate without having been exercised in full, are tendered to or withheld by New Nautilus for payment of an exercise price or for tax withholding obligations, or are forfeited to or repurchased by New Nautilus due to failure to vest (provided that the maximum number of shares that may be added to the 2021 Plan pursuant to this sentence is 7,500,000 shares). The number of shares available for issuance under the 2021 Plan also will include an annual increase, or the evergreen feature, on the first day of each of New Nautilus’ fiscal years, beginning with New Nautilus’ fiscal year 2022, equal to the least of:</w:t>
      </w:r>
    </w:p>
    <w:p>
      <w:pPr>
        <w:spacing w:after="0" w:line="136" w:lineRule="exact"/>
        <w:rPr>
          <w:sz w:val="20"/>
          <w:szCs w:val="20"/>
          <w:color w:val="auto"/>
        </w:rPr>
      </w:pPr>
    </w:p>
    <w:p>
      <w:pPr>
        <w:ind w:left="520" w:hanging="25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18,672,200 shares of New Nautilus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1168" w:right="319" w:bottom="1440" w:gutter="0" w:footer="0" w:header="0"/>
        </w:sectPr>
      </w:pPr>
    </w:p>
    <w:bookmarkStart w:id="26" w:name="page27"/>
    <w:bookmarkEnd w:id="26"/>
    <w:p>
      <w:pPr>
        <w:ind w:left="520" w:hanging="254"/>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number of shares equal to 5% of the outstanding shares of New Nautilus Common Stock as of the last day of the immediately preceding fiscal year; or</w:t>
      </w:r>
    </w:p>
    <w:p>
      <w:pPr>
        <w:spacing w:after="0" w:line="185" w:lineRule="exact"/>
        <w:rPr>
          <w:rFonts w:ascii="Arial" w:cs="Arial" w:eastAsia="Arial" w:hAnsi="Arial"/>
          <w:sz w:val="14"/>
          <w:szCs w:val="14"/>
          <w:color w:val="auto"/>
        </w:rPr>
      </w:pPr>
    </w:p>
    <w:p>
      <w:pPr>
        <w:ind w:left="520" w:hanging="254"/>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such number of shares as the Board or its designated committee may determine no later than the last day of New Nautilus’ immediately preceding fiscal year.</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Shares issuable under the 2021 Plan will be authorized, but unissued, or reacquired shares of New Nautilus Common Stock. If an award expires or becomes unexercisable without having been exercised in full, is surrendered pursuant to an exchange program,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49" w:lineRule="exact"/>
        <w:rPr>
          <w:sz w:val="20"/>
          <w:szCs w:val="20"/>
          <w:color w:val="auto"/>
        </w:rPr>
      </w:pPr>
    </w:p>
    <w:p>
      <w:pPr>
        <w:jc w:val="both"/>
        <w:spacing w:after="0" w:line="274" w:lineRule="auto"/>
        <w:rPr>
          <w:rFonts w:ascii="Arial" w:cs="Arial" w:eastAsia="Arial" w:hAnsi="Arial"/>
          <w:sz w:val="14"/>
          <w:szCs w:val="14"/>
          <w:color w:val="auto"/>
        </w:rPr>
      </w:pPr>
      <w:r>
        <w:rPr>
          <w:rFonts w:ascii="Arial" w:cs="Arial" w:eastAsia="Arial" w:hAnsi="Arial"/>
          <w:sz w:val="14"/>
          <w:szCs w:val="14"/>
          <w:color w:val="auto"/>
        </w:rPr>
        <w:t>A more complete summary of the terms of the 2021 Plan is set forth in the Proxy Statement/Prospectus in the section titled “</w:t>
      </w:r>
      <w:r>
        <w:rPr>
          <w:rFonts w:ascii="Arial" w:cs="Arial" w:eastAsia="Arial" w:hAnsi="Arial"/>
          <w:sz w:val="14"/>
          <w:szCs w:val="14"/>
          <w:i w:val="1"/>
          <w:iCs w:val="1"/>
          <w:color w:val="auto"/>
        </w:rPr>
        <w:t>T</w:t>
      </w:r>
      <w:hyperlink r:id="rId18">
        <w:r>
          <w:rPr>
            <w:rFonts w:ascii="Arial" w:cs="Arial" w:eastAsia="Arial" w:hAnsi="Arial"/>
            <w:sz w:val="14"/>
            <w:szCs w:val="14"/>
            <w:i w:val="1"/>
            <w:iCs w:val="1"/>
            <w:u w:val="single" w:color="auto"/>
            <w:color w:val="0000FF"/>
          </w:rPr>
          <w:t>he Incentive Award Plan Proposal</w:t>
        </w:r>
      </w:hyperlink>
      <w:r>
        <w:rPr>
          <w:rFonts w:ascii="Arial" w:cs="Arial" w:eastAsia="Arial" w:hAnsi="Arial"/>
          <w:sz w:val="14"/>
          <w:szCs w:val="14"/>
          <w:color w:val="auto"/>
        </w:rPr>
        <w:t>” beginning on page 140 of the Proxy Statement/Prospectus. That summary and the foregoing description of the 2021 Plan does not purport to be complete and is qualified in its entirety by reference to the text of the 2021 Plan, which is attached as Exhibit 10.4 hereto and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Nautilus Biotechnology, Inc. Employee Stock Purchase Plan</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At the special meeting of ARYA stockholders held on June 8, 2021, ARYA stockholders considered and approved the Nautilus Biotechnology, Inc. Employee Stock Purchase Plan (the “ESPP”). An aggregate of 1,244,900 shares of Common Stock will be reserved and available for issuance under the ESPP. The number of shares of New Nautilus Common Stock available for issuance under the ESPP will be increased on the first day of each fiscal year beginning with the 2022 fiscal year in an amount equal to the least of (a) 3,734,500 shares of New Nautilus Common Stock,</w:t>
      </w:r>
    </w:p>
    <w:p>
      <w:pPr>
        <w:spacing w:after="0" w:line="2" w:lineRule="exact"/>
        <w:rPr>
          <w:sz w:val="20"/>
          <w:szCs w:val="20"/>
          <w:color w:val="auto"/>
        </w:rPr>
      </w:pPr>
    </w:p>
    <w:p>
      <w:pPr>
        <w:jc w:val="both"/>
        <w:ind w:firstLine="7"/>
        <w:spacing w:after="0" w:line="296" w:lineRule="auto"/>
        <w:tabs>
          <w:tab w:leader="none" w:pos="21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 number of shares of New Nautilus Common Stock equal to 1% of the outstanding shares of all classes of New Nautilus Common Stock on the last day of the immediately preceding fiscal year, or (c) an amount determined by the administrator. Shares issuable under the ESPP will be authorized, but unissued, or reacquired shares of New Nautilus Common Stock. If our capital structure changes because of a stock dividend, stock split or similar event, the number of shares that can be issued under the ESPP will be appropriately adjusted.</w:t>
      </w:r>
    </w:p>
    <w:p>
      <w:pPr>
        <w:spacing w:after="0" w:line="130" w:lineRule="exact"/>
        <w:rPr>
          <w:sz w:val="20"/>
          <w:szCs w:val="20"/>
          <w:color w:val="auto"/>
        </w:rPr>
      </w:pPr>
    </w:p>
    <w:p>
      <w:pPr>
        <w:spacing w:after="0" w:line="290" w:lineRule="auto"/>
        <w:rPr>
          <w:rFonts w:ascii="Arial" w:cs="Arial" w:eastAsia="Arial" w:hAnsi="Arial"/>
          <w:sz w:val="14"/>
          <w:szCs w:val="14"/>
          <w:color w:val="auto"/>
        </w:rPr>
      </w:pPr>
      <w:r>
        <w:rPr>
          <w:rFonts w:ascii="Arial" w:cs="Arial" w:eastAsia="Arial" w:hAnsi="Arial"/>
          <w:sz w:val="14"/>
          <w:szCs w:val="14"/>
          <w:color w:val="auto"/>
        </w:rPr>
        <w:t>A more complete summary of the terms of the ESPP is set forth in the Proxy Statement/Prospectus in the section titled “</w:t>
      </w:r>
      <w:hyperlink r:id="rId19">
        <w:r>
          <w:rPr>
            <w:rFonts w:ascii="Arial" w:cs="Arial" w:eastAsia="Arial" w:hAnsi="Arial"/>
            <w:sz w:val="14"/>
            <w:szCs w:val="14"/>
            <w:i w:val="1"/>
            <w:iCs w:val="1"/>
            <w:u w:val="single" w:color="auto"/>
            <w:color w:val="0000FF"/>
          </w:rPr>
          <w:t>The Employee Stock Purchase Plan Proposal</w:t>
        </w:r>
      </w:hyperlink>
      <w:r>
        <w:rPr>
          <w:rFonts w:ascii="Arial" w:cs="Arial" w:eastAsia="Arial" w:hAnsi="Arial"/>
          <w:sz w:val="14"/>
          <w:szCs w:val="14"/>
          <w:color w:val="auto"/>
        </w:rPr>
        <w:t>” beginning on page 149 of the Proxy Statement/Prospectus. That summary and the foregoing description of the ESPP does not purport to be complete and is qualified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1168"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entirety by reference to the text of the ESPP, which is attached as Exhibit 10.5 hereto and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Employment Arrangements with Named Executive Officers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is party to confirmatory employment letters with each of Sujal Patel, its Chief Executive Officer, Anna Mowry, its Chief Financial Officer and Subra Sankar, its Senior Vice President of Product Development, each of its named executive officers. The material terms of these agreements with Mr. Patel, Ms. Mowry and Dr. Sankar are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Sujal Patel</w:t>
      </w:r>
    </w:p>
    <w:p>
      <w:pPr>
        <w:spacing w:after="0" w:line="185" w:lineRule="exact"/>
        <w:rPr>
          <w:sz w:val="20"/>
          <w:szCs w:val="20"/>
          <w:color w:val="auto"/>
        </w:rPr>
      </w:pPr>
    </w:p>
    <w:p>
      <w:pPr>
        <w:jc w:val="both"/>
        <w:spacing w:after="0" w:line="175" w:lineRule="exact"/>
        <w:rPr>
          <w:sz w:val="20"/>
          <w:szCs w:val="20"/>
          <w:color w:val="auto"/>
        </w:rPr>
      </w:pPr>
      <w:r>
        <w:rPr>
          <w:rFonts w:ascii="Arial" w:cs="Arial" w:eastAsia="Arial" w:hAnsi="Arial"/>
          <w:sz w:val="13"/>
          <w:szCs w:val="13"/>
          <w:color w:val="auto"/>
        </w:rPr>
        <w:t>In connection with the Transactions, Nautilus entered into a confirmatory employment letter with Mr. Patel, its Chief Executive Officer. The confirmatory employment letter has no specific term and provides that Mr. Patel is an at</w:t>
      </w:r>
      <w:r>
        <w:rPr>
          <w:rFonts w:ascii="MS PGothic" w:cs="MS PGothic" w:eastAsia="MS PGothic" w:hAnsi="MS PGothic"/>
          <w:sz w:val="13"/>
          <w:szCs w:val="13"/>
          <w:color w:val="auto"/>
        </w:rPr>
        <w:t>‑</w:t>
      </w:r>
      <w:r>
        <w:rPr>
          <w:rFonts w:ascii="Arial" w:cs="Arial" w:eastAsia="Arial" w:hAnsi="Arial"/>
          <w:sz w:val="13"/>
          <w:szCs w:val="13"/>
          <w:color w:val="auto"/>
        </w:rPr>
        <w:t>will employee. The confirmatory employment letter supersedes all pre-existing agreements and understandings that Mr. Patel may have entered into concerning his employment relationship with Nautilus. Prior to the Closing, Mr. Patel’s annual base salary was $350,000 and he was eligible for a target annual cash bonus opportunity of $150,000. In 2020, Mr. Patel’s annual base salary was $200,000 and he was eligible for a target annual cash bonus opportunity of $50,000. As of the Closing Date, his annual base salary was increased to $500,000. Under his confirmatory employment letter, Mr. Patel is eligible for a target annual cash bonus opportunity equal to 50.0% of his annual base salary for fiscal year 2021.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Anna Mowry</w:t>
      </w:r>
    </w:p>
    <w:p>
      <w:pPr>
        <w:spacing w:after="0" w:line="185"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In connection with the Transactions, Nautilus entered into a confirmatory employment letter with Ms. Mowry, its Chief Financial Officer. The confirmatory employment letter has no specific term and provides that Ms. Mowry is an at</w:t>
      </w:r>
      <w:r>
        <w:rPr>
          <w:rFonts w:ascii="MS PGothic" w:cs="MS PGothic" w:eastAsia="MS PGothic" w:hAnsi="MS PGothic"/>
          <w:sz w:val="14"/>
          <w:szCs w:val="14"/>
          <w:color w:val="auto"/>
        </w:rPr>
        <w:t>‑</w:t>
      </w:r>
      <w:r>
        <w:rPr>
          <w:rFonts w:ascii="Arial" w:cs="Arial" w:eastAsia="Arial" w:hAnsi="Arial"/>
          <w:sz w:val="14"/>
          <w:szCs w:val="14"/>
          <w:color w:val="auto"/>
        </w:rPr>
        <w:t>will employee. The confirmatory employment letter supersedes all pre-existing agreements and understandings that Ms. Mowry may have entered into concerning her employment relationship with Nautilus. Prior to the Closing, Ms. Mowry’s annual base salary was $200,000 and she was eligible for an annual target cash bonus opportunity equal to 25% of her base salary. As of the Closing Date, her annual base salary was increased to $340,000. Under her confirmatory employment letter, Ms. Mowry is eligible for a target annual cash bonus opportunity equal to 40.0% of her annual base salary for fiscal year 2021.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Subra Sankar</w:t>
      </w:r>
    </w:p>
    <w:p>
      <w:pPr>
        <w:spacing w:after="0" w:line="185"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In connection with the Transactions, Nautilus entered into a confirmatory employment letter with Dr. Sankar, its Senior Vice President of Product Development. The confirmatory employment letter has no specific term and provides that Dr. Sankar is an at</w:t>
      </w:r>
      <w:r>
        <w:rPr>
          <w:rFonts w:ascii="MS PGothic" w:cs="MS PGothic" w:eastAsia="MS PGothic" w:hAnsi="MS PGothic"/>
          <w:sz w:val="14"/>
          <w:szCs w:val="14"/>
          <w:color w:val="auto"/>
        </w:rPr>
        <w:t>‑</w:t>
      </w:r>
      <w:r>
        <w:rPr>
          <w:rFonts w:ascii="Arial" w:cs="Arial" w:eastAsia="Arial" w:hAnsi="Arial"/>
          <w:sz w:val="14"/>
          <w:szCs w:val="14"/>
          <w:color w:val="auto"/>
        </w:rPr>
        <w:t>will employee. The confirmatory employment letter supersedes all pre-existing agreements and understandings that Dr. Sankar may have entered into concerning his employment relationship with Nautilus. Prior to the Closing, Dr. Sankar’s annual base salary was $318,000 and he was eligible for an annual target cash bonus opportunity equal to 32% of his base salary. As of the Closing Date, his annual base salary will remain $318,000. Under his confirmatory employment letter, Dr. Sankar is eligible for a target annual cash bonus opportunity equal to 35.0% of his annual base salary for fiscal year 2021.</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foregoing description of the confirmatory employment letters with each of Mr. Patel, Ms. Mowry and Mr. Sankar does not purport to be complete and is qualified in its entirety by the terms and conditions of the confirmatory employment letters, which are filed herewith as Exhibits 10.10, 10.11 and 10.12, respectively, and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Potential Payments Upon Termination or Change of Control</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1168" w:right="319" w:bottom="1440" w:gutter="0" w:footer="0" w:header="0"/>
        </w:sectPr>
      </w:pPr>
    </w:p>
    <w:bookmarkStart w:id="28" w:name="page29"/>
    <w:bookmarkEnd w:id="28"/>
    <w:p>
      <w:pPr>
        <w:jc w:val="both"/>
        <w:spacing w:after="0" w:line="266" w:lineRule="auto"/>
        <w:rPr>
          <w:rFonts w:ascii="Arial" w:cs="Arial" w:eastAsia="Arial" w:hAnsi="Arial"/>
          <w:sz w:val="14"/>
          <w:szCs w:val="14"/>
          <w:color w:val="auto"/>
        </w:rPr>
      </w:pPr>
      <w:r>
        <w:rPr>
          <w:rFonts w:ascii="Arial" w:cs="Arial" w:eastAsia="Arial" w:hAnsi="Arial"/>
          <w:sz w:val="14"/>
          <w:szCs w:val="14"/>
          <w:color w:val="auto"/>
        </w:rPr>
        <w:t xml:space="preserve">Each named executive officer holds stock options granted subject to the general terms of Old Nautilus’ 2017 Equity Incentive Plan (the “2017 Plan”). A description of the termination and change in control provisions in the 2017 Plan and applicable to the stock options granted to Nautilus’ named executive officers is set forth in the Proxy Statement/Prospectus in the subsections titled “— </w:t>
      </w:r>
      <w:r>
        <w:rPr>
          <w:rFonts w:ascii="Arial" w:cs="Arial" w:eastAsia="Arial" w:hAnsi="Arial"/>
          <w:sz w:val="14"/>
          <w:szCs w:val="14"/>
          <w:i w:val="1"/>
          <w:iCs w:val="1"/>
          <w:color w:val="auto"/>
        </w:rPr>
        <w:t>Executive Incentive Compensation Plan</w:t>
      </w:r>
      <w:r>
        <w:rPr>
          <w:rFonts w:ascii="Arial" w:cs="Arial" w:eastAsia="Arial" w:hAnsi="Arial"/>
          <w:sz w:val="14"/>
          <w:szCs w:val="14"/>
          <w:color w:val="auto"/>
        </w:rPr>
        <w:t>” beginning on page 248 of the Proxy Statement/Prospectus and “—</w:t>
      </w:r>
      <w:r>
        <w:rPr>
          <w:rFonts w:ascii="Arial" w:cs="Arial" w:eastAsia="Arial" w:hAnsi="Arial"/>
          <w:sz w:val="14"/>
          <w:szCs w:val="14"/>
          <w:i w:val="1"/>
          <w:iCs w:val="1"/>
          <w:color w:val="auto"/>
        </w:rPr>
        <w:t>Outstanding Equity Awards at Fiscal Year-End December 31, 2020</w:t>
      </w:r>
      <w:r>
        <w:rPr>
          <w:rFonts w:ascii="Arial" w:cs="Arial" w:eastAsia="Arial" w:hAnsi="Arial"/>
          <w:sz w:val="14"/>
          <w:szCs w:val="14"/>
          <w:color w:val="auto"/>
        </w:rPr>
        <w:t>” beginning on</w:t>
      </w:r>
      <w:r>
        <w:rPr>
          <w:rFonts w:ascii="Arial" w:cs="Arial" w:eastAsia="Arial" w:hAnsi="Arial"/>
          <w:sz w:val="14"/>
          <w:szCs w:val="14"/>
          <w:i w:val="1"/>
          <w:iCs w:val="1"/>
          <w:color w:val="auto"/>
        </w:rPr>
        <w:t xml:space="preserve"> </w:t>
      </w:r>
      <w:r>
        <w:rPr>
          <w:rFonts w:ascii="Arial" w:cs="Arial" w:eastAsia="Arial" w:hAnsi="Arial"/>
          <w:sz w:val="14"/>
          <w:szCs w:val="14"/>
          <w:color w:val="auto"/>
        </w:rPr>
        <w:t>page 245 of the Proxy Statement/Prospectus in the section titled “</w:t>
      </w:r>
      <w:hyperlink r:id="rId16">
        <w:r>
          <w:rPr>
            <w:rFonts w:ascii="Arial" w:cs="Arial" w:eastAsia="Arial" w:hAnsi="Arial"/>
            <w:sz w:val="14"/>
            <w:szCs w:val="14"/>
            <w:i w:val="1"/>
            <w:iCs w:val="1"/>
            <w:u w:val="single" w:color="auto"/>
            <w:color w:val="0000FF"/>
          </w:rPr>
          <w:t>Nautilus Executive Compensation</w:t>
        </w:r>
      </w:hyperlink>
      <w:r>
        <w:rPr>
          <w:rFonts w:ascii="Arial" w:cs="Arial" w:eastAsia="Arial" w:hAnsi="Arial"/>
          <w:sz w:val="14"/>
          <w:szCs w:val="14"/>
          <w:color w:val="auto"/>
        </w:rPr>
        <w:t>”. That summary does not purport to be complete and is qualified in its entirety by reference to the text of the 2017 Plan, which is attached as Exhibit 10.9 hereto and incorporated herein by reference.</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Nautilus has entered into a change in control and severance agreement (each, a “CIC Agreement”) with each of Mr. Patel, Ms. Mowry and Dr. Sankar, which provide for certain severance and change in control benefits as summarized below.</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Each CIC Agreement supersedes any prior agreement or arrangement that the named executive officer may have had with Nautilus that provides for severance or change in control payments and benefits.</w:t>
      </w:r>
    </w:p>
    <w:p>
      <w:pPr>
        <w:spacing w:after="0" w:line="130"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Each CIC Agreement has an initial term of three years commencing on the business day immediately prior to the closing of the Merger.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CIC Agreements provide that if, other than during the period beginning three months before a change in control through the one-year anniversary of a change in control, or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Nautilus’ favor:</w:t>
      </w:r>
    </w:p>
    <w:p>
      <w:pPr>
        <w:spacing w:after="0" w:line="147" w:lineRule="exact"/>
        <w:rPr>
          <w:sz w:val="20"/>
          <w:szCs w:val="20"/>
          <w:color w:val="auto"/>
        </w:rPr>
      </w:pPr>
    </w:p>
    <w:p>
      <w:pPr>
        <w:ind w:left="520" w:hanging="254"/>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lump sum cash payment equal to 100% for Mr. Patel, or 50% for Ms. Mowry and Dr. Sankar, of the named executive officer’s base salary as in effect immediately before such termination; and</w:t>
      </w:r>
    </w:p>
    <w:p>
      <w:pPr>
        <w:spacing w:after="0" w:line="130" w:lineRule="exact"/>
        <w:rPr>
          <w:rFonts w:ascii="Arial" w:cs="Arial" w:eastAsia="Arial" w:hAnsi="Arial"/>
          <w:sz w:val="14"/>
          <w:szCs w:val="14"/>
          <w:color w:val="auto"/>
        </w:rPr>
      </w:pPr>
    </w:p>
    <w:p>
      <w:pPr>
        <w:ind w:left="520" w:hanging="254"/>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Company payment of the employer portion of the premiums required for continued coverage pursuant to COBRA under the Company’s group health, dental and vision care plans for the named executive officer and his or her eligible dependents for up to twelve months for Mr. Patel, or six months for Ms. Mowry and Dr. Sankar.</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If, during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Nautilus’ favor:</w:t>
      </w:r>
    </w:p>
    <w:p>
      <w:pPr>
        <w:spacing w:after="0" w:line="141" w:lineRule="exact"/>
        <w:rPr>
          <w:sz w:val="20"/>
          <w:szCs w:val="20"/>
          <w:color w:val="auto"/>
        </w:rPr>
      </w:pPr>
    </w:p>
    <w:p>
      <w:pPr>
        <w:ind w:left="520" w:hanging="254"/>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lump sum cash payment equal to 150% for Mr. Patel, or 100% for Ms. Mowry and Dr. Sankar, of the named executive officer’s base salary as in effect immediately before such termination or if greater, the base salary in effect immediately before the change in control;</w:t>
      </w:r>
    </w:p>
    <w:p>
      <w:pPr>
        <w:spacing w:after="0" w:line="130" w:lineRule="exact"/>
        <w:rPr>
          <w:rFonts w:ascii="Arial" w:cs="Arial" w:eastAsia="Arial" w:hAnsi="Arial"/>
          <w:sz w:val="14"/>
          <w:szCs w:val="14"/>
          <w:color w:val="auto"/>
        </w:rPr>
      </w:pPr>
    </w:p>
    <w:p>
      <w:pPr>
        <w:ind w:left="520" w:hanging="254"/>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lump sum cash payment equal to 150% for Mr. Patel, or 100% for Ms. Mowry and Dr. Sankar, of the named executive officer’s target bonus opportunity as in effect immediately before such termination or if greater, the target bonus opportunity in effect immediately before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1168" w:right="319" w:bottom="1440" w:gutter="0" w:footer="0" w:header="0"/>
        </w:sectPr>
      </w:pPr>
    </w:p>
    <w:bookmarkStart w:id="29" w:name="page30"/>
    <w:bookmarkEnd w:id="29"/>
    <w:p>
      <w:pPr>
        <w:ind w:left="520" w:hanging="254"/>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Company payment of the premiums required for continued coverage pursuant to COBRA under the Company’s group health, dental and vision care plans for the named executive officer and his or her eligible dependents for up to eighteen months for Mr. Patel, or twelve months for Ms. Mowry and Dr. Sankar; and</w:t>
      </w:r>
    </w:p>
    <w:p>
      <w:pPr>
        <w:spacing w:after="0" w:line="130" w:lineRule="exact"/>
        <w:rPr>
          <w:rFonts w:ascii="Arial" w:cs="Arial" w:eastAsia="Arial" w:hAnsi="Arial"/>
          <w:sz w:val="14"/>
          <w:szCs w:val="14"/>
          <w:color w:val="auto"/>
        </w:rPr>
      </w:pPr>
    </w:p>
    <w:p>
      <w:pPr>
        <w:ind w:left="520" w:hanging="254"/>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100% accelerated vesting and exercisability of the outstanding and unvested Company equity awards (other than Company equity awards subject to performance-based vesting criteria) granted to the named executive officer.</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foregoing description of the CIC Agreements with each of Mr. Patel, Ms. Mowry and Dr. Sankar does not purport to be complete and is qualified in its entirety by reference to the terms and conditions of the CIC Agreements, which are filed herewith as Exhibits 10.16, 10.17 and 10.18, respectively, and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Effective as of the Closing Date, New Nautilus entered into indemnification agreements with each of its directors and executive officers. Each indemnification agreement provides for indemnification and advancements by New Nautilus of certain expenses and costs relating to claims, suits or proceedings arising from his or her service to New Nautilus or, at our request, service to other entities, as officers or directors to the maximum extent permitted by applicable law.</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foregoing description of the indemnification agreements does not purport to be complete and is qualified in its entirety by the terms and conditions thereof, a form of which is filed herewith as Exhibit 10.22 and is incorporated herein by reference.</w:t>
      </w:r>
    </w:p>
    <w:p>
      <w:pPr>
        <w:spacing w:after="0" w:line="130" w:lineRule="exact"/>
        <w:rPr>
          <w:sz w:val="20"/>
          <w:szCs w:val="20"/>
          <w:color w:val="auto"/>
        </w:rPr>
      </w:pPr>
    </w:p>
    <w:p>
      <w:pPr>
        <w:jc w:val="both"/>
        <w:spacing w:after="0" w:line="266" w:lineRule="auto"/>
        <w:rPr>
          <w:rFonts w:ascii="Arial" w:cs="Arial" w:eastAsia="Arial" w:hAnsi="Arial"/>
          <w:sz w:val="14"/>
          <w:szCs w:val="14"/>
          <w:i w:val="1"/>
          <w:iCs w:val="1"/>
          <w:color w:val="auto"/>
        </w:rPr>
      </w:pPr>
      <w:r>
        <w:rPr>
          <w:rFonts w:ascii="Arial" w:cs="Arial" w:eastAsia="Arial" w:hAnsi="Arial"/>
          <w:sz w:val="14"/>
          <w:szCs w:val="14"/>
          <w:color w:val="auto"/>
        </w:rPr>
        <w:t>A description of the compensation of the named executive officers of Old Nautilus and the compensation of the executive officers of ARYA before the consummation of the Transactions is set forth in the Proxy Statement/Prospectus in the sections titled “</w:t>
      </w:r>
      <w:hyperlink r:id="rId16">
        <w:r>
          <w:rPr>
            <w:rFonts w:ascii="Arial" w:cs="Arial" w:eastAsia="Arial" w:hAnsi="Arial"/>
            <w:sz w:val="14"/>
            <w:szCs w:val="14"/>
            <w:i w:val="1"/>
            <w:iCs w:val="1"/>
            <w:u w:val="single" w:color="auto"/>
            <w:color w:val="0000FF"/>
          </w:rPr>
          <w:t>Nautilus Executive Compensation</w:t>
        </w:r>
      </w:hyperlink>
      <w:r>
        <w:rPr>
          <w:rFonts w:ascii="Arial" w:cs="Arial" w:eastAsia="Arial" w:hAnsi="Arial"/>
          <w:sz w:val="14"/>
          <w:szCs w:val="14"/>
          <w:color w:val="auto"/>
        </w:rPr>
        <w:t>” beginning on page 244 of the Proxy Statement/Prospectus and the subsection titled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and Director Compensation and Other Interests” </w:t>
      </w:r>
      <w:r>
        <w:rPr>
          <w:rFonts w:ascii="Arial" w:cs="Arial" w:eastAsia="Arial" w:hAnsi="Arial"/>
          <w:sz w:val="14"/>
          <w:szCs w:val="14"/>
          <w:color w:val="auto"/>
        </w:rPr>
        <w:t>in the section titled “</w:t>
      </w:r>
      <w:hyperlink r:id="rId17">
        <w:r>
          <w:rPr>
            <w:rFonts w:ascii="Arial" w:cs="Arial" w:eastAsia="Arial" w:hAnsi="Arial"/>
            <w:sz w:val="14"/>
            <w:szCs w:val="14"/>
            <w:i w:val="1"/>
            <w:iCs w:val="1"/>
            <w:u w:val="single" w:color="auto"/>
            <w:color w:val="0000FF"/>
          </w:rPr>
          <w:t>Information About ARYA</w:t>
        </w:r>
      </w:hyperlink>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beginning on page 186 of the Proxy Statement/Prospectus, respectively, and that</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 is incorporated herein by reference. Our executive officers are also eligible to receive bonuses under the Executive Incentive Compensation Plan, which is filed herewith as Exhibit 10.23 and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Relationships and Related Person Transactions</w:t>
      </w:r>
    </w:p>
    <w:p>
      <w:pPr>
        <w:spacing w:after="0" w:line="185"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Certain relationships and related person transactions are described in the Proxy Statement/Prospectus in the section titled “</w:t>
      </w:r>
      <w:hyperlink r:id="rId21">
        <w:r>
          <w:rPr>
            <w:rFonts w:ascii="Arial" w:cs="Arial" w:eastAsia="Arial" w:hAnsi="Arial"/>
            <w:sz w:val="14"/>
            <w:szCs w:val="14"/>
            <w:i w:val="1"/>
            <w:iCs w:val="1"/>
            <w:u w:val="single" w:color="auto"/>
            <w:color w:val="0000FF"/>
          </w:rPr>
          <w:t>Certain Relationships and Related Person Transactions</w:t>
        </w:r>
      </w:hyperlink>
      <w:r>
        <w:rPr>
          <w:rFonts w:ascii="Arial" w:cs="Arial" w:eastAsia="Arial" w:hAnsi="Arial"/>
          <w:sz w:val="14"/>
          <w:szCs w:val="14"/>
          <w:color w:val="auto"/>
        </w:rPr>
        <w:t>,” beginning on page 268 of the Proxy Statement/Prospectus and that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5.03. Amendments to Articles of Incorporation or Bylaws; Change in Fiscal Year.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 set forth in Item 3.03 of this Current Report on Form 8-K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1168"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Item 5.05. Amendments to the Registrant’s Code of Ethics, or Waiver of a Provision of the Code of Ethics.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In connection with the Transactions, on June 9, 2021, the Board approved and adopted a new Code of Business Conduct and Ethics applicable to all employees, officers and directors of the Company. A copy of the Code of Business Conduct and Ethics can be found on the Company’s website at http://www.nautilus.bio. New Nautilus intends to disclose future amendments to such code, or any waivers of its requirements, applicable to any principal executive officer, principal financial officer, principal accounting officer or controller or persons performing similar functions or its directors on its website identified above or in a current report on Form 8-K. Information contained on the website is not incorporated by reference herein and should not be considered to be part of this Current Report on Form 8-K. The inclusion of New Nautilus’ website address in this Current Report on Form 8-K is an inactive textual reference only.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5.06. Change in Shell Company Status.</w:t>
      </w:r>
    </w:p>
    <w:p>
      <w:pPr>
        <w:spacing w:after="0" w:line="211" w:lineRule="exact"/>
        <w:rPr>
          <w:sz w:val="20"/>
          <w:szCs w:val="20"/>
          <w:color w:val="auto"/>
        </w:rPr>
      </w:pPr>
    </w:p>
    <w:p>
      <w:pPr>
        <w:jc w:val="both"/>
        <w:spacing w:after="0" w:line="290" w:lineRule="auto"/>
        <w:rPr>
          <w:rFonts w:ascii="Arial" w:cs="Arial" w:eastAsia="Arial" w:hAnsi="Arial"/>
          <w:sz w:val="14"/>
          <w:szCs w:val="14"/>
          <w:i w:val="1"/>
          <w:iCs w:val="1"/>
          <w:color w:val="0000FF"/>
        </w:rPr>
      </w:pPr>
      <w:hyperlink r:id="rId9">
        <w:r>
          <w:rPr>
            <w:rFonts w:ascii="Arial" w:cs="Arial" w:eastAsia="Arial" w:hAnsi="Arial"/>
            <w:sz w:val="14"/>
            <w:szCs w:val="14"/>
            <w:color w:val="auto"/>
          </w:rPr>
          <w:t>As a result of the Transactions, New Nautilus ceased to be a shell company upon the Closing. The material terms of the Transactions are described in the section entitled “</w:t>
        </w:r>
        <w:r>
          <w:rPr>
            <w:rFonts w:ascii="Arial" w:cs="Arial" w:eastAsia="Arial" w:hAnsi="Arial"/>
            <w:sz w:val="14"/>
            <w:szCs w:val="14"/>
            <w:i w:val="1"/>
            <w:iCs w:val="1"/>
            <w:u w:val="single" w:color="auto"/>
            <w:color w:val="0000FF"/>
          </w:rPr>
          <w:t>Business Combination</w:t>
        </w:r>
      </w:hyperlink>
      <w:r>
        <w:rPr>
          <w:rFonts w:ascii="Arial" w:cs="Arial" w:eastAsia="Arial" w:hAnsi="Arial"/>
          <w:sz w:val="14"/>
          <w:szCs w:val="14"/>
          <w:color w:val="auto"/>
        </w:rPr>
        <w:t xml:space="preserve"> </w:t>
      </w:r>
      <w:hyperlink r:id="rId9">
        <w:r>
          <w:rPr>
            <w:rFonts w:ascii="Arial" w:cs="Arial" w:eastAsia="Arial" w:hAnsi="Arial"/>
            <w:sz w:val="14"/>
            <w:szCs w:val="14"/>
            <w:i w:val="1"/>
            <w:iCs w:val="1"/>
            <w:u w:val="single" w:color="auto"/>
            <w:color w:val="0000FF"/>
          </w:rPr>
          <w:t>Proposal</w:t>
        </w:r>
        <w:r>
          <w:rPr>
            <w:rFonts w:ascii="Arial" w:cs="Arial" w:eastAsia="Arial" w:hAnsi="Arial"/>
            <w:sz w:val="14"/>
            <w:szCs w:val="14"/>
            <w:color w:val="000000"/>
          </w:rPr>
          <w:t>” beginning on page 88 of the Proxy Statement/Prospectus and are incorporated herein by reference.</w:t>
        </w:r>
      </w:hyperlink>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On June 9, 2021, Nautilus issued a press release announcing the consummation of its previously announced business combination. A copy of such press release is furnished as Exhibit 99.3 hereto.</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8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Financial statements of businesses acquired.</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unaudited financial statements of ARYA as of and for the three months ended March 31, 2021 and the related notes are included in ARYA’s quarterly report on Form 10-Q for the quarter ended March 31, 2021 (the “Form 10-Q”) that was filed with the SEC on May 13, 2021 and are incorporated herein by reference and the audited financial statements of ARYA as of and for the year ended December 31, 2020 are set forth in the Proxy Statement/Prospectus and are incorporated herein by reference.</w:t>
      </w:r>
    </w:p>
    <w:p>
      <w:pPr>
        <w:spacing w:after="0" w:line="141" w:lineRule="exact"/>
        <w:rPr>
          <w:sz w:val="20"/>
          <w:szCs w:val="20"/>
          <w:color w:val="auto"/>
        </w:rPr>
      </w:pPr>
    </w:p>
    <w:p>
      <w:pPr>
        <w:jc w:val="both"/>
        <w:spacing w:after="0" w:line="290" w:lineRule="auto"/>
        <w:rPr>
          <w:rFonts w:ascii="Arial" w:cs="Arial" w:eastAsia="Arial" w:hAnsi="Arial"/>
          <w:sz w:val="14"/>
          <w:szCs w:val="14"/>
          <w:color w:val="auto"/>
        </w:rPr>
      </w:pPr>
      <w:r>
        <w:rPr>
          <w:rFonts w:ascii="Arial" w:cs="Arial" w:eastAsia="Arial" w:hAnsi="Arial"/>
          <w:sz w:val="14"/>
          <w:szCs w:val="14"/>
          <w:color w:val="auto"/>
        </w:rPr>
        <w:t xml:space="preserve">The audited financial statements of Old Nautilus as of and for the years ended December 31, 2020 and 2019, the related notes and report of independent registered public accounting firm are set forth in the Proxy Statement/Prospectus beginning on page </w:t>
      </w:r>
      <w:hyperlink r:id="rId27">
        <w:r>
          <w:rPr>
            <w:rFonts w:ascii="Arial" w:cs="Arial" w:eastAsia="Arial" w:hAnsi="Arial"/>
            <w:sz w:val="14"/>
            <w:szCs w:val="14"/>
            <w:u w:val="single" w:color="auto"/>
            <w:color w:val="0000FF"/>
          </w:rPr>
          <w:t>F-21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and are incorporated herein by reference.</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unaudited condensed financial statements of Old Nautilus as of and for the three months ended March 31, 2021 and 2020 are set forth in Exhibit 99.1 hereto and are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Pro forma financial information.</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unaudited pro forma condensed combined financial information of the Company for the year ended December 31, 2020 and as of and for the three months ended March 31, 2021, is set forth in Exhibit 99.2 hereto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1164"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(d) Exhibits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140" w:type="dxa"/>
            <w:vAlign w:val="bottom"/>
          </w:tcPr>
          <w:p>
            <w:pPr>
              <w:ind w:left="340"/>
              <w:spacing w:after="0"/>
              <w:rPr>
                <w:sz w:val="20"/>
                <w:szCs w:val="20"/>
                <w:color w:val="auto"/>
              </w:rPr>
            </w:pPr>
            <w:r>
              <w:rPr>
                <w:rFonts w:ascii="Arial" w:cs="Arial" w:eastAsia="Arial" w:hAnsi="Arial"/>
                <w:sz w:val="12"/>
                <w:szCs w:val="12"/>
                <w:b w:val="1"/>
                <w:bCs w:val="1"/>
                <w:color w:val="auto"/>
              </w:rPr>
              <w:t>Exhibit</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320"/>
              <w:spacing w:after="0"/>
              <w:rPr>
                <w:sz w:val="20"/>
                <w:szCs w:val="20"/>
                <w:color w:val="auto"/>
              </w:rPr>
            </w:pPr>
            <w:r>
              <w:rPr>
                <w:rFonts w:ascii="Arial" w:cs="Arial" w:eastAsia="Arial" w:hAnsi="Arial"/>
                <w:sz w:val="12"/>
                <w:szCs w:val="12"/>
                <w:b w:val="1"/>
                <w:bCs w:val="1"/>
                <w:color w:val="auto"/>
              </w:rPr>
              <w:t>Number</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60" w:type="dxa"/>
            <w:vAlign w:val="bottom"/>
            <w:gridSpan w:val="15"/>
          </w:tcPr>
          <w:p>
            <w:pPr>
              <w:ind w:left="92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420"/>
        </w:trPr>
        <w:tc>
          <w:tcPr>
            <w:tcW w:w="1140" w:type="dxa"/>
            <w:vAlign w:val="bottom"/>
          </w:tcPr>
          <w:p>
            <w:pPr>
              <w:spacing w:after="0"/>
              <w:rPr>
                <w:sz w:val="20"/>
                <w:szCs w:val="20"/>
                <w:color w:val="auto"/>
              </w:rPr>
            </w:pPr>
            <w:r>
              <w:rPr>
                <w:rFonts w:ascii="Arial" w:cs="Arial" w:eastAsia="Arial" w:hAnsi="Arial"/>
                <w:sz w:val="14"/>
                <w:szCs w:val="14"/>
                <w:color w:val="auto"/>
              </w:rPr>
              <w:t>2.1†</w:t>
            </w:r>
          </w:p>
        </w:tc>
        <w:tc>
          <w:tcPr>
            <w:tcW w:w="10020" w:type="dxa"/>
            <w:vAlign w:val="bottom"/>
            <w:gridSpan w:val="24"/>
          </w:tcPr>
          <w:p>
            <w:pPr>
              <w:spacing w:after="0"/>
              <w:rPr>
                <w:rFonts w:ascii="Arial" w:cs="Arial" w:eastAsia="Arial" w:hAnsi="Arial"/>
                <w:sz w:val="14"/>
                <w:szCs w:val="14"/>
                <w:color w:val="0000FF"/>
                <w:w w:val="95"/>
              </w:rPr>
            </w:pPr>
            <w:hyperlink r:id="rId28">
              <w:r>
                <w:rPr>
                  <w:rFonts w:ascii="Arial" w:cs="Arial" w:eastAsia="Arial" w:hAnsi="Arial"/>
                  <w:sz w:val="14"/>
                  <w:szCs w:val="14"/>
                  <w:color w:val="0000FF"/>
                  <w:w w:val="95"/>
                </w:rPr>
                <w:t>Business Combination Agreement, dated as of February 7, 2021, by and among ARYA Sciences Acquisition Corp III, Mako Merger Sub, Inc., and Nautilus Biotechnology,</w:t>
              </w:r>
            </w:hyperlink>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9900" w:type="dxa"/>
            <w:vAlign w:val="bottom"/>
            <w:tcBorders>
              <w:top w:val="single" w:sz="8" w:color="0000FF"/>
            </w:tcBorders>
            <w:gridSpan w:val="21"/>
          </w:tcPr>
          <w:p>
            <w:pPr>
              <w:spacing w:after="0"/>
              <w:rPr>
                <w:rFonts w:ascii="Arial" w:cs="Arial" w:eastAsia="Arial" w:hAnsi="Arial"/>
                <w:sz w:val="14"/>
                <w:szCs w:val="14"/>
                <w:color w:val="0000FF"/>
              </w:rPr>
            </w:pPr>
            <w:hyperlink r:id="rId28">
              <w:r>
                <w:rPr>
                  <w:rFonts w:ascii="Arial" w:cs="Arial" w:eastAsia="Arial" w:hAnsi="Arial"/>
                  <w:sz w:val="14"/>
                  <w:szCs w:val="14"/>
                  <w:color w:val="0000FF"/>
                </w:rPr>
                <w:t>Inc. (incorporated by reference to Exhibit 2.1 to the Company’s Current Report on Form 8-K filed with the SEC on February 8, 2021).</w:t>
              </w:r>
            </w:hyperlink>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3.1</w:t>
            </w:r>
          </w:p>
        </w:tc>
        <w:tc>
          <w:tcPr>
            <w:tcW w:w="7760" w:type="dxa"/>
            <w:vAlign w:val="bottom"/>
            <w:tcBorders>
              <w:top w:val="single" w:sz="8" w:color="0000FF"/>
            </w:tcBorders>
            <w:gridSpan w:val="10"/>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Certificate of Incorporation of Nautilus Biotechnology, Inc.</w:t>
              </w:r>
            </w:hyperlink>
          </w:p>
        </w:tc>
        <w:tc>
          <w:tcPr>
            <w:tcW w:w="22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3.2</w:t>
            </w:r>
          </w:p>
        </w:tc>
        <w:tc>
          <w:tcPr>
            <w:tcW w:w="3440" w:type="dxa"/>
            <w:vAlign w:val="bottom"/>
            <w:tcBorders>
              <w:top w:val="single" w:sz="8" w:color="0000FF"/>
            </w:tcBorders>
            <w:gridSpan w:val="8"/>
          </w:tcPr>
          <w:p>
            <w:pPr>
              <w:spacing w:after="0"/>
              <w:rPr>
                <w:rFonts w:ascii="Arial" w:cs="Arial" w:eastAsia="Arial" w:hAnsi="Arial"/>
                <w:sz w:val="14"/>
                <w:szCs w:val="14"/>
                <w:color w:val="0000FF"/>
              </w:rPr>
            </w:pPr>
            <w:hyperlink w:anchor="page40">
              <w:r>
                <w:rPr>
                  <w:rFonts w:ascii="Arial" w:cs="Arial" w:eastAsia="Arial" w:hAnsi="Arial"/>
                  <w:sz w:val="14"/>
                  <w:szCs w:val="14"/>
                  <w:color w:val="0000FF"/>
                </w:rPr>
                <w:t>Bylaws of Nautilus Biotechnology, Inc.</w:t>
              </w:r>
            </w:hyperlink>
          </w:p>
        </w:tc>
        <w:tc>
          <w:tcPr>
            <w:tcW w:w="65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4.1</w:t>
            </w:r>
          </w:p>
        </w:tc>
        <w:tc>
          <w:tcPr>
            <w:tcW w:w="2160" w:type="dxa"/>
            <w:vAlign w:val="bottom"/>
            <w:tcBorders>
              <w:top w:val="single" w:sz="8" w:color="0000FF"/>
              <w:bottom w:val="single" w:sz="8" w:color="0000FF"/>
            </w:tcBorders>
            <w:gridSpan w:val="5"/>
          </w:tcPr>
          <w:p>
            <w:pPr>
              <w:spacing w:after="0"/>
              <w:rPr>
                <w:rFonts w:ascii="Arial" w:cs="Arial" w:eastAsia="Arial" w:hAnsi="Arial"/>
                <w:sz w:val="14"/>
                <w:szCs w:val="14"/>
                <w:color w:val="0000FF"/>
                <w:w w:val="93"/>
              </w:rPr>
            </w:pPr>
            <w:hyperlink w:anchor="page64">
              <w:r>
                <w:rPr>
                  <w:rFonts w:ascii="Arial" w:cs="Arial" w:eastAsia="Arial" w:hAnsi="Arial"/>
                  <w:sz w:val="14"/>
                  <w:szCs w:val="14"/>
                  <w:color w:val="0000FF"/>
                  <w:w w:val="93"/>
                </w:rPr>
                <w:t>Specimen Common Stock Certificate</w:t>
              </w:r>
            </w:hyperlink>
          </w:p>
        </w:tc>
        <w:tc>
          <w:tcPr>
            <w:tcW w:w="120" w:type="dxa"/>
            <w:vAlign w:val="bottom"/>
            <w:tcBorders>
              <w:top w:val="single" w:sz="8" w:color="0000FF"/>
            </w:tcBorders>
          </w:tcPr>
          <w:p>
            <w:pPr>
              <w:spacing w:after="0"/>
              <w:rPr>
                <w:sz w:val="18"/>
                <w:szCs w:val="18"/>
                <w:color w:val="auto"/>
              </w:rPr>
            </w:pPr>
          </w:p>
        </w:tc>
        <w:tc>
          <w:tcPr>
            <w:tcW w:w="77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w:t>
            </w:r>
          </w:p>
        </w:tc>
        <w:tc>
          <w:tcPr>
            <w:tcW w:w="9540" w:type="dxa"/>
            <w:vAlign w:val="bottom"/>
            <w:tcBorders>
              <w:bottom w:val="single" w:sz="8" w:color="0000FF"/>
            </w:tcBorders>
            <w:gridSpan w:val="16"/>
          </w:tcPr>
          <w:p>
            <w:pPr>
              <w:spacing w:after="0"/>
              <w:rPr>
                <w:rFonts w:ascii="Arial" w:cs="Arial" w:eastAsia="Arial" w:hAnsi="Arial"/>
                <w:sz w:val="14"/>
                <w:szCs w:val="14"/>
                <w:color w:val="0000FF"/>
                <w:w w:val="94"/>
              </w:rPr>
            </w:pPr>
            <w:hyperlink r:id="rId29">
              <w:r>
                <w:rPr>
                  <w:rFonts w:ascii="Arial" w:cs="Arial" w:eastAsia="Arial" w:hAnsi="Arial"/>
                  <w:sz w:val="14"/>
                  <w:szCs w:val="14"/>
                  <w:color w:val="0000FF"/>
                  <w:w w:val="94"/>
                </w:rPr>
                <w:t>Form of Subscription Agreement (incorporated by reference to Exhibit 10.3 to the Compa</w:t>
              </w:r>
            </w:hyperlink>
            <w:r>
              <w:rPr>
                <w:rFonts w:ascii="Arial" w:cs="Arial" w:eastAsia="Arial" w:hAnsi="Arial"/>
                <w:sz w:val="14"/>
                <w:szCs w:val="14"/>
                <w:color w:val="0000FF"/>
                <w:w w:val="94"/>
              </w:rPr>
              <w:t>ny’</w:t>
            </w:r>
            <w:hyperlink r:id="rId29">
              <w:r>
                <w:rPr>
                  <w:rFonts w:ascii="Arial" w:cs="Arial" w:eastAsia="Arial" w:hAnsi="Arial"/>
                  <w:sz w:val="14"/>
                  <w:szCs w:val="14"/>
                  <w:color w:val="0000FF"/>
                  <w:w w:val="94"/>
                </w:rPr>
                <w:t>s Current Report on Form 8-K filed with the SEC on February 8, 2021).</w:t>
              </w:r>
            </w:hyperlink>
          </w:p>
        </w:tc>
        <w:tc>
          <w:tcPr>
            <w:tcW w:w="4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10.2</w:t>
            </w:r>
          </w:p>
        </w:tc>
        <w:tc>
          <w:tcPr>
            <w:tcW w:w="10020" w:type="dxa"/>
            <w:vAlign w:val="bottom"/>
            <w:gridSpan w:val="24"/>
          </w:tcPr>
          <w:p>
            <w:pPr>
              <w:spacing w:after="0"/>
              <w:rPr>
                <w:rFonts w:ascii="Arial" w:cs="Arial" w:eastAsia="Arial" w:hAnsi="Arial"/>
                <w:sz w:val="14"/>
                <w:szCs w:val="14"/>
                <w:color w:val="0000FF"/>
                <w:w w:val="94"/>
              </w:rPr>
            </w:pPr>
            <w:hyperlink r:id="rId30">
              <w:r>
                <w:rPr>
                  <w:rFonts w:ascii="Arial" w:cs="Arial" w:eastAsia="Arial" w:hAnsi="Arial"/>
                  <w:sz w:val="14"/>
                  <w:szCs w:val="14"/>
                  <w:color w:val="0000FF"/>
                  <w:w w:val="94"/>
                </w:rPr>
                <w:t>Form of Amended and Restated Registration Rights and Lock-Up Agreement (incorporated by reference to Exhibit 10.2 to the Company’s Current Report on Form 8-K filed</w:t>
              </w:r>
            </w:hyperlink>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0000" w:type="dxa"/>
            <w:vAlign w:val="bottom"/>
            <w:tcBorders>
              <w:top w:val="single" w:sz="8" w:color="0000FF"/>
            </w:tcBorders>
            <w:gridSpan w:val="23"/>
          </w:tcPr>
          <w:p>
            <w:pPr>
              <w:spacing w:after="0"/>
              <w:rPr>
                <w:rFonts w:ascii="Arial" w:cs="Arial" w:eastAsia="Arial" w:hAnsi="Arial"/>
                <w:sz w:val="14"/>
                <w:szCs w:val="14"/>
                <w:color w:val="0000FF"/>
              </w:rPr>
            </w:pPr>
            <w:hyperlink r:id="rId30">
              <w:r>
                <w:rPr>
                  <w:rFonts w:ascii="Arial" w:cs="Arial" w:eastAsia="Arial" w:hAnsi="Arial"/>
                  <w:sz w:val="14"/>
                  <w:szCs w:val="14"/>
                  <w:color w:val="0000FF"/>
                </w:rPr>
                <w:t>with the SEC on February 8,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10.3</w:t>
            </w:r>
          </w:p>
        </w:tc>
        <w:tc>
          <w:tcPr>
            <w:tcW w:w="9940" w:type="dxa"/>
            <w:vAlign w:val="bottom"/>
            <w:tcBorders>
              <w:bottom w:val="single" w:sz="8" w:color="0000FF"/>
            </w:tcBorders>
            <w:gridSpan w:val="22"/>
          </w:tcPr>
          <w:p>
            <w:pPr>
              <w:spacing w:after="0"/>
              <w:rPr>
                <w:rFonts w:ascii="Arial" w:cs="Arial" w:eastAsia="Arial" w:hAnsi="Arial"/>
                <w:sz w:val="14"/>
                <w:szCs w:val="14"/>
                <w:color w:val="0000FF"/>
                <w:w w:val="94"/>
              </w:rPr>
            </w:pPr>
            <w:hyperlink r:id="rId31">
              <w:r>
                <w:rPr>
                  <w:rFonts w:ascii="Arial" w:cs="Arial" w:eastAsia="Arial" w:hAnsi="Arial"/>
                  <w:sz w:val="14"/>
                  <w:szCs w:val="14"/>
                  <w:color w:val="0000FF"/>
                  <w:w w:val="94"/>
                </w:rPr>
                <w:t>Form of Nautilus Shareholder Transaction Support Agreement (incorporated by reference to Exhibit 10.4 to the Company’s Current Report on Form 8-K filed with the SEC</w:t>
              </w:r>
            </w:hyperlink>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0020" w:type="dxa"/>
            <w:vAlign w:val="bottom"/>
            <w:gridSpan w:val="24"/>
          </w:tcPr>
          <w:p>
            <w:pPr>
              <w:spacing w:after="0"/>
              <w:rPr>
                <w:rFonts w:ascii="Arial" w:cs="Arial" w:eastAsia="Arial" w:hAnsi="Arial"/>
                <w:sz w:val="14"/>
                <w:szCs w:val="14"/>
                <w:color w:val="0000FF"/>
              </w:rPr>
            </w:pPr>
            <w:hyperlink r:id="rId31">
              <w:r>
                <w:rPr>
                  <w:rFonts w:ascii="Arial" w:cs="Arial" w:eastAsia="Arial" w:hAnsi="Arial"/>
                  <w:sz w:val="14"/>
                  <w:szCs w:val="14"/>
                  <w:color w:val="0000FF"/>
                </w:rPr>
                <w:t>on February 8,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4"/>
                <w:szCs w:val="14"/>
                <w:color w:val="auto"/>
              </w:rPr>
              <w:t>10.4+</w:t>
            </w:r>
          </w:p>
        </w:tc>
        <w:tc>
          <w:tcPr>
            <w:tcW w:w="3320" w:type="dxa"/>
            <w:vAlign w:val="bottom"/>
            <w:tcBorders>
              <w:bottom w:val="single" w:sz="8" w:color="0000FF"/>
            </w:tcBorders>
            <w:gridSpan w:val="7"/>
          </w:tcPr>
          <w:p>
            <w:pPr>
              <w:spacing w:after="0"/>
              <w:rPr>
                <w:rFonts w:ascii="Arial" w:cs="Arial" w:eastAsia="Arial" w:hAnsi="Arial"/>
                <w:sz w:val="14"/>
                <w:szCs w:val="14"/>
                <w:color w:val="0000FF"/>
                <w:w w:val="95"/>
              </w:rPr>
            </w:pPr>
            <w:hyperlink w:anchor="page66">
              <w:r>
                <w:rPr>
                  <w:rFonts w:ascii="Arial" w:cs="Arial" w:eastAsia="Arial" w:hAnsi="Arial"/>
                  <w:sz w:val="14"/>
                  <w:szCs w:val="14"/>
                  <w:color w:val="0000FF"/>
                  <w:w w:val="95"/>
                </w:rPr>
                <w:t>Nautilus Biotechnology, Inc. 2021 Equity Incentive Plan.</w:t>
              </w:r>
            </w:hyperlink>
          </w:p>
        </w:tc>
        <w:tc>
          <w:tcPr>
            <w:tcW w:w="6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10.5+</w:t>
            </w:r>
          </w:p>
        </w:tc>
        <w:tc>
          <w:tcPr>
            <w:tcW w:w="3860" w:type="dxa"/>
            <w:vAlign w:val="bottom"/>
            <w:tcBorders>
              <w:bottom w:val="single" w:sz="8" w:color="0000FF"/>
            </w:tcBorders>
            <w:gridSpan w:val="9"/>
          </w:tcPr>
          <w:p>
            <w:pPr>
              <w:spacing w:after="0"/>
              <w:rPr>
                <w:rFonts w:ascii="Arial" w:cs="Arial" w:eastAsia="Arial" w:hAnsi="Arial"/>
                <w:sz w:val="14"/>
                <w:szCs w:val="14"/>
                <w:color w:val="0000FF"/>
                <w:w w:val="93"/>
              </w:rPr>
            </w:pPr>
            <w:hyperlink w:anchor="page82">
              <w:r>
                <w:rPr>
                  <w:rFonts w:ascii="Arial" w:cs="Arial" w:eastAsia="Arial" w:hAnsi="Arial"/>
                  <w:sz w:val="14"/>
                  <w:szCs w:val="14"/>
                  <w:color w:val="0000FF"/>
                  <w:w w:val="93"/>
                </w:rPr>
                <w:t>Nautilus Biotechnology, Inc. 2021 Employee Stock Purchase Plan.</w:t>
              </w:r>
            </w:hyperlink>
          </w:p>
        </w:tc>
        <w:tc>
          <w:tcPr>
            <w:tcW w:w="61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10.6*+</w:t>
            </w:r>
          </w:p>
        </w:tc>
        <w:tc>
          <w:tcPr>
            <w:tcW w:w="9100" w:type="dxa"/>
            <w:vAlign w:val="bottom"/>
            <w:tcBorders>
              <w:bottom w:val="single" w:sz="8" w:color="0000FF"/>
            </w:tcBorders>
            <w:gridSpan w:val="12"/>
          </w:tcPr>
          <w:p>
            <w:pPr>
              <w:spacing w:after="0"/>
              <w:rPr>
                <w:rFonts w:ascii="Arial" w:cs="Arial" w:eastAsia="Arial" w:hAnsi="Arial"/>
                <w:sz w:val="14"/>
                <w:szCs w:val="14"/>
                <w:color w:val="0000FF"/>
                <w:w w:val="94"/>
              </w:rPr>
            </w:pPr>
            <w:hyperlink r:id="rId32">
              <w:r>
                <w:rPr>
                  <w:rFonts w:ascii="Arial" w:cs="Arial" w:eastAsia="Arial" w:hAnsi="Arial"/>
                  <w:sz w:val="14"/>
                  <w:szCs w:val="14"/>
                  <w:color w:val="0000FF"/>
                  <w:w w:val="94"/>
                </w:rPr>
                <w:t>Forms of Stock Option Agreement under the Nautilus Biotechnology, Inc. 2021 Equity Incentive Plan (incorporated by reference to Exhibit 10.7 to the Proxy</w:t>
              </w:r>
            </w:hyperlink>
          </w:p>
        </w:tc>
        <w:tc>
          <w:tcPr>
            <w:tcW w:w="92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340" w:type="dxa"/>
            <w:vAlign w:val="bottom"/>
            <w:tcBorders>
              <w:bottom w:val="single" w:sz="8" w:color="0000FF"/>
            </w:tcBorders>
            <w:gridSpan w:val="2"/>
          </w:tcPr>
          <w:p>
            <w:pPr>
              <w:spacing w:after="0"/>
              <w:rPr>
                <w:rFonts w:ascii="Arial" w:cs="Arial" w:eastAsia="Arial" w:hAnsi="Arial"/>
                <w:sz w:val="14"/>
                <w:szCs w:val="14"/>
                <w:color w:val="0000FF"/>
                <w:w w:val="90"/>
              </w:rPr>
            </w:pPr>
            <w:hyperlink r:id="rId32">
              <w:r>
                <w:rPr>
                  <w:rFonts w:ascii="Arial" w:cs="Arial" w:eastAsia="Arial" w:hAnsi="Arial"/>
                  <w:sz w:val="14"/>
                  <w:szCs w:val="14"/>
                  <w:color w:val="0000FF"/>
                  <w:w w:val="90"/>
                </w:rPr>
                <w:t>Statement/Prospectus).</w:t>
              </w:r>
            </w:hyperlink>
          </w:p>
        </w:tc>
        <w:tc>
          <w:tcPr>
            <w:tcW w:w="868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10.7+</w:t>
            </w:r>
          </w:p>
        </w:tc>
        <w:tc>
          <w:tcPr>
            <w:tcW w:w="9520" w:type="dxa"/>
            <w:vAlign w:val="bottom"/>
            <w:tcBorders>
              <w:bottom w:val="single" w:sz="8" w:color="0000FF"/>
            </w:tcBorders>
            <w:gridSpan w:val="15"/>
          </w:tcPr>
          <w:p>
            <w:pPr>
              <w:spacing w:after="0"/>
              <w:rPr>
                <w:rFonts w:ascii="Arial" w:cs="Arial" w:eastAsia="Arial" w:hAnsi="Arial"/>
                <w:sz w:val="14"/>
                <w:szCs w:val="14"/>
                <w:color w:val="0000FF"/>
                <w:w w:val="94"/>
              </w:rPr>
            </w:pPr>
            <w:hyperlink r:id="rId33">
              <w:r>
                <w:rPr>
                  <w:rFonts w:ascii="Arial" w:cs="Arial" w:eastAsia="Arial" w:hAnsi="Arial"/>
                  <w:sz w:val="14"/>
                  <w:szCs w:val="14"/>
                  <w:color w:val="0000FF"/>
                  <w:w w:val="94"/>
                </w:rPr>
                <w:t>Form of Restricted Stock Unit Agreement under the Nautilus Biotechnology, Inc. 2021 Equity Incentive Plan (incorporated by reference to Exhibit 10.8 to the Proxy</w:t>
              </w:r>
            </w:hyperlink>
          </w:p>
        </w:tc>
        <w:tc>
          <w:tcPr>
            <w:tcW w:w="5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360" w:type="dxa"/>
            <w:vAlign w:val="bottom"/>
            <w:tcBorders>
              <w:bottom w:val="single" w:sz="8" w:color="0000FF"/>
            </w:tcBorders>
            <w:gridSpan w:val="3"/>
          </w:tcPr>
          <w:p>
            <w:pPr>
              <w:spacing w:after="0"/>
              <w:rPr>
                <w:rFonts w:ascii="Arial" w:cs="Arial" w:eastAsia="Arial" w:hAnsi="Arial"/>
                <w:sz w:val="14"/>
                <w:szCs w:val="14"/>
                <w:color w:val="0000FF"/>
                <w:w w:val="91"/>
              </w:rPr>
            </w:pPr>
            <w:hyperlink r:id="rId33">
              <w:r>
                <w:rPr>
                  <w:rFonts w:ascii="Arial" w:cs="Arial" w:eastAsia="Arial" w:hAnsi="Arial"/>
                  <w:sz w:val="14"/>
                  <w:szCs w:val="14"/>
                  <w:color w:val="0000FF"/>
                  <w:w w:val="91"/>
                </w:rPr>
                <w:t>Statement/Prospectus).</w:t>
              </w:r>
            </w:hyperlink>
          </w:p>
        </w:tc>
        <w:tc>
          <w:tcPr>
            <w:tcW w:w="866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10.8*+</w:t>
            </w:r>
          </w:p>
        </w:tc>
        <w:tc>
          <w:tcPr>
            <w:tcW w:w="9640" w:type="dxa"/>
            <w:vAlign w:val="bottom"/>
            <w:tcBorders>
              <w:bottom w:val="single" w:sz="8" w:color="0000FF"/>
            </w:tcBorders>
            <w:gridSpan w:val="17"/>
          </w:tcPr>
          <w:p>
            <w:pPr>
              <w:spacing w:after="0"/>
              <w:rPr>
                <w:rFonts w:ascii="Arial" w:cs="Arial" w:eastAsia="Arial" w:hAnsi="Arial"/>
                <w:sz w:val="14"/>
                <w:szCs w:val="14"/>
                <w:color w:val="0000FF"/>
                <w:w w:val="94"/>
              </w:rPr>
            </w:pPr>
            <w:hyperlink r:id="rId34">
              <w:r>
                <w:rPr>
                  <w:rFonts w:ascii="Arial" w:cs="Arial" w:eastAsia="Arial" w:hAnsi="Arial"/>
                  <w:sz w:val="14"/>
                  <w:szCs w:val="14"/>
                  <w:color w:val="0000FF"/>
                  <w:w w:val="94"/>
                </w:rPr>
                <w:t>Form of Restricted Stock Award Agreement under the Nautilus Biotechnology, Inc. 2021 Equity Incentive Plan (incorporated by reference to Exhibit 10.9 to the Proxy</w:t>
              </w:r>
            </w:hyperlink>
          </w:p>
        </w:tc>
        <w:tc>
          <w:tcPr>
            <w:tcW w:w="3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360" w:type="dxa"/>
            <w:vAlign w:val="bottom"/>
            <w:tcBorders>
              <w:bottom w:val="single" w:sz="8" w:color="0000FF"/>
            </w:tcBorders>
            <w:gridSpan w:val="3"/>
          </w:tcPr>
          <w:p>
            <w:pPr>
              <w:spacing w:after="0"/>
              <w:rPr>
                <w:rFonts w:ascii="Arial" w:cs="Arial" w:eastAsia="Arial" w:hAnsi="Arial"/>
                <w:sz w:val="14"/>
                <w:szCs w:val="14"/>
                <w:color w:val="0000FF"/>
                <w:w w:val="91"/>
              </w:rPr>
            </w:pPr>
            <w:hyperlink r:id="rId34">
              <w:r>
                <w:rPr>
                  <w:rFonts w:ascii="Arial" w:cs="Arial" w:eastAsia="Arial" w:hAnsi="Arial"/>
                  <w:sz w:val="14"/>
                  <w:szCs w:val="14"/>
                  <w:color w:val="0000FF"/>
                  <w:w w:val="91"/>
                </w:rPr>
                <w:t>Statement/Prospectus).</w:t>
              </w:r>
            </w:hyperlink>
          </w:p>
        </w:tc>
        <w:tc>
          <w:tcPr>
            <w:tcW w:w="866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10.9+</w:t>
            </w:r>
          </w:p>
        </w:tc>
        <w:tc>
          <w:tcPr>
            <w:tcW w:w="10020" w:type="dxa"/>
            <w:vAlign w:val="bottom"/>
            <w:tcBorders>
              <w:bottom w:val="single" w:sz="8" w:color="0000FF"/>
            </w:tcBorders>
            <w:gridSpan w:val="24"/>
          </w:tcPr>
          <w:p>
            <w:pPr>
              <w:spacing w:after="0"/>
              <w:rPr>
                <w:rFonts w:ascii="Arial" w:cs="Arial" w:eastAsia="Arial" w:hAnsi="Arial"/>
                <w:sz w:val="14"/>
                <w:szCs w:val="14"/>
                <w:color w:val="0000FF"/>
                <w:w w:val="93"/>
              </w:rPr>
            </w:pPr>
            <w:hyperlink r:id="rId35">
              <w:r>
                <w:rPr>
                  <w:rFonts w:ascii="Arial" w:cs="Arial" w:eastAsia="Arial" w:hAnsi="Arial"/>
                  <w:sz w:val="14"/>
                  <w:szCs w:val="14"/>
                  <w:color w:val="0000FF"/>
                  <w:w w:val="93"/>
                </w:rPr>
                <w:t xml:space="preserve">Nautilus Biotechnology, Inc. 2017 Equity Incentive Plan and forms of agreements thereunder (incorporated by reference to Exhibit </w:t>
              </w:r>
            </w:hyperlink>
            <w:r>
              <w:rPr>
                <w:rFonts w:ascii="Arial" w:cs="Arial" w:eastAsia="Arial" w:hAnsi="Arial"/>
                <w:sz w:val="14"/>
                <w:szCs w:val="14"/>
                <w:color w:val="0000FF"/>
                <w:w w:val="93"/>
              </w:rPr>
              <w:t xml:space="preserve">10.11 </w:t>
            </w:r>
            <w:hyperlink r:id="rId35">
              <w:r>
                <w:rPr>
                  <w:rFonts w:ascii="Arial" w:cs="Arial" w:eastAsia="Arial" w:hAnsi="Arial"/>
                  <w:sz w:val="14"/>
                  <w:szCs w:val="14"/>
                  <w:color w:val="0000FF"/>
                  <w:w w:val="93"/>
                </w:rPr>
                <w:t>to the Proxy Statement/Prospectus).</w:t>
              </w:r>
            </w:hyperlink>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10.10+</w:t>
            </w:r>
          </w:p>
        </w:tc>
        <w:tc>
          <w:tcPr>
            <w:tcW w:w="10020" w:type="dxa"/>
            <w:vAlign w:val="bottom"/>
            <w:gridSpan w:val="24"/>
          </w:tcPr>
          <w:p>
            <w:pPr>
              <w:spacing w:after="0"/>
              <w:rPr>
                <w:rFonts w:ascii="Arial" w:cs="Arial" w:eastAsia="Arial" w:hAnsi="Arial"/>
                <w:sz w:val="14"/>
                <w:szCs w:val="14"/>
                <w:color w:val="0000FF"/>
                <w:w w:val="97"/>
              </w:rPr>
            </w:pPr>
            <w:hyperlink r:id="rId36">
              <w:r>
                <w:rPr>
                  <w:rFonts w:ascii="Arial" w:cs="Arial" w:eastAsia="Arial" w:hAnsi="Arial"/>
                  <w:sz w:val="14"/>
                  <w:szCs w:val="14"/>
                  <w:color w:val="0000FF"/>
                  <w:w w:val="97"/>
                </w:rPr>
                <w:t xml:space="preserve">Confirmatory Employment Letter between Nautilus Biotechnology, Inc. and Sujal Patel (incorporated by reference to Exhibit </w:t>
              </w:r>
            </w:hyperlink>
            <w:r>
              <w:rPr>
                <w:rFonts w:ascii="Arial" w:cs="Arial" w:eastAsia="Arial" w:hAnsi="Arial"/>
                <w:sz w:val="14"/>
                <w:szCs w:val="14"/>
                <w:color w:val="0000FF"/>
                <w:w w:val="97"/>
              </w:rPr>
              <w:t xml:space="preserve">10.12 </w:t>
            </w:r>
            <w:hyperlink r:id="rId36">
              <w:r>
                <w:rPr>
                  <w:rFonts w:ascii="Arial" w:cs="Arial" w:eastAsia="Arial" w:hAnsi="Arial"/>
                  <w:sz w:val="14"/>
                  <w:szCs w:val="14"/>
                  <w:color w:val="0000FF"/>
                  <w:w w:val="97"/>
                </w:rPr>
                <w:t>to the Proxy Statement/Prospectus).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4"/>
                <w:szCs w:val="14"/>
                <w:color w:val="auto"/>
              </w:rPr>
              <w:t>10.11+</w:t>
            </w:r>
          </w:p>
        </w:tc>
        <w:tc>
          <w:tcPr>
            <w:tcW w:w="1340" w:type="dxa"/>
            <w:vAlign w:val="bottom"/>
            <w:gridSpan w:val="2"/>
            <w:shd w:val="clear" w:color="auto" w:fill="0000FF"/>
          </w:tcPr>
          <w:p>
            <w:pPr>
              <w:spacing w:after="0" w:line="20" w:lineRule="exact"/>
              <w:rPr>
                <w:sz w:val="1"/>
                <w:szCs w:val="1"/>
                <w:color w:val="auto"/>
              </w:rPr>
            </w:pPr>
          </w:p>
        </w:tc>
        <w:tc>
          <w:tcPr>
            <w:tcW w:w="2520" w:type="dxa"/>
            <w:vAlign w:val="bottom"/>
            <w:gridSpan w:val="7"/>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vMerge w:val="continue"/>
          </w:tcPr>
          <w:p>
            <w:pPr>
              <w:spacing w:after="0"/>
              <w:rPr>
                <w:sz w:val="18"/>
                <w:szCs w:val="18"/>
                <w:color w:val="auto"/>
              </w:rPr>
            </w:pPr>
          </w:p>
        </w:tc>
        <w:tc>
          <w:tcPr>
            <w:tcW w:w="9860" w:type="dxa"/>
            <w:vAlign w:val="bottom"/>
            <w:tcBorders>
              <w:bottom w:val="single" w:sz="8" w:color="0000FF"/>
            </w:tcBorders>
            <w:gridSpan w:val="20"/>
          </w:tcPr>
          <w:p>
            <w:pPr>
              <w:spacing w:after="0"/>
              <w:rPr>
                <w:rFonts w:ascii="Arial" w:cs="Arial" w:eastAsia="Arial" w:hAnsi="Arial"/>
                <w:sz w:val="14"/>
                <w:szCs w:val="14"/>
                <w:color w:val="0000FF"/>
                <w:w w:val="94"/>
              </w:rPr>
            </w:pPr>
            <w:hyperlink r:id="rId37">
              <w:r>
                <w:rPr>
                  <w:rFonts w:ascii="Arial" w:cs="Arial" w:eastAsia="Arial" w:hAnsi="Arial"/>
                  <w:sz w:val="14"/>
                  <w:szCs w:val="14"/>
                  <w:color w:val="0000FF"/>
                  <w:w w:val="94"/>
                </w:rPr>
                <w:t xml:space="preserve">Confirmatory Employment Letter between Nautilus Biotechnology, Inc. and Anna Mowry (incorporated by reference to Exhibit </w:t>
              </w:r>
            </w:hyperlink>
            <w:r>
              <w:rPr>
                <w:rFonts w:ascii="Arial" w:cs="Arial" w:eastAsia="Arial" w:hAnsi="Arial"/>
                <w:sz w:val="14"/>
                <w:szCs w:val="14"/>
                <w:color w:val="0000FF"/>
                <w:w w:val="94"/>
              </w:rPr>
              <w:t xml:space="preserve">10.13 </w:t>
            </w:r>
            <w:hyperlink r:id="rId37">
              <w:r>
                <w:rPr>
                  <w:rFonts w:ascii="Arial" w:cs="Arial" w:eastAsia="Arial" w:hAnsi="Arial"/>
                  <w:sz w:val="14"/>
                  <w:szCs w:val="14"/>
                  <w:color w:val="0000FF"/>
                  <w:w w:val="94"/>
                </w:rPr>
                <w:t>to the Proxy Statement/Prospectus).</w:t>
              </w:r>
            </w:hyperlink>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10.12+</w:t>
            </w:r>
          </w:p>
        </w:tc>
        <w:tc>
          <w:tcPr>
            <w:tcW w:w="9860" w:type="dxa"/>
            <w:vAlign w:val="bottom"/>
            <w:tcBorders>
              <w:bottom w:val="single" w:sz="8" w:color="0000FF"/>
            </w:tcBorders>
            <w:gridSpan w:val="20"/>
          </w:tcPr>
          <w:p>
            <w:pPr>
              <w:spacing w:after="0"/>
              <w:rPr>
                <w:rFonts w:ascii="Arial" w:cs="Arial" w:eastAsia="Arial" w:hAnsi="Arial"/>
                <w:sz w:val="14"/>
                <w:szCs w:val="14"/>
                <w:color w:val="0000FF"/>
                <w:w w:val="93"/>
              </w:rPr>
            </w:pPr>
            <w:hyperlink r:id="rId38">
              <w:r>
                <w:rPr>
                  <w:rFonts w:ascii="Arial" w:cs="Arial" w:eastAsia="Arial" w:hAnsi="Arial"/>
                  <w:sz w:val="14"/>
                  <w:szCs w:val="14"/>
                  <w:color w:val="0000FF"/>
                  <w:w w:val="93"/>
                </w:rPr>
                <w:t xml:space="preserve">Confirmatory Employment Letter between Nautilus Biotechnology, Inc. and Subra Sankar (incorporated by reference to Exhibit </w:t>
              </w:r>
            </w:hyperlink>
            <w:r>
              <w:rPr>
                <w:rFonts w:ascii="Arial" w:cs="Arial" w:eastAsia="Arial" w:hAnsi="Arial"/>
                <w:sz w:val="14"/>
                <w:szCs w:val="14"/>
                <w:color w:val="0000FF"/>
                <w:w w:val="93"/>
              </w:rPr>
              <w:t xml:space="preserve">10.15 </w:t>
            </w:r>
            <w:hyperlink r:id="rId38">
              <w:r>
                <w:rPr>
                  <w:rFonts w:ascii="Arial" w:cs="Arial" w:eastAsia="Arial" w:hAnsi="Arial"/>
                  <w:sz w:val="14"/>
                  <w:szCs w:val="14"/>
                  <w:color w:val="0000FF"/>
                  <w:w w:val="93"/>
                </w:rPr>
                <w:t>to the Proxy Statement/Prospectus).</w:t>
              </w:r>
            </w:hyperlink>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10.13+</w:t>
            </w:r>
          </w:p>
        </w:tc>
        <w:tc>
          <w:tcPr>
            <w:tcW w:w="10020" w:type="dxa"/>
            <w:vAlign w:val="bottom"/>
            <w:gridSpan w:val="24"/>
          </w:tcPr>
          <w:p>
            <w:pPr>
              <w:spacing w:after="0"/>
              <w:rPr>
                <w:rFonts w:ascii="Arial" w:cs="Arial" w:eastAsia="Arial" w:hAnsi="Arial"/>
                <w:sz w:val="14"/>
                <w:szCs w:val="14"/>
                <w:color w:val="0000FF"/>
                <w:w w:val="96"/>
              </w:rPr>
            </w:pPr>
            <w:hyperlink r:id="rId39">
              <w:r>
                <w:rPr>
                  <w:rFonts w:ascii="Arial" w:cs="Arial" w:eastAsia="Arial" w:hAnsi="Arial"/>
                  <w:sz w:val="14"/>
                  <w:szCs w:val="14"/>
                  <w:color w:val="0000FF"/>
                  <w:w w:val="96"/>
                </w:rPr>
                <w:t xml:space="preserve">Confirmatory Employment Letter between Nautilus Biotechnology, Inc. and Nick Nelson (incorporated by reference to Exhibit </w:t>
              </w:r>
            </w:hyperlink>
            <w:r>
              <w:rPr>
                <w:rFonts w:ascii="Arial" w:cs="Arial" w:eastAsia="Arial" w:hAnsi="Arial"/>
                <w:sz w:val="14"/>
                <w:szCs w:val="14"/>
                <w:color w:val="0000FF"/>
                <w:w w:val="96"/>
              </w:rPr>
              <w:t xml:space="preserve">10.14 </w:t>
            </w:r>
            <w:hyperlink r:id="rId39">
              <w:r>
                <w:rPr>
                  <w:rFonts w:ascii="Arial" w:cs="Arial" w:eastAsia="Arial" w:hAnsi="Arial"/>
                  <w:sz w:val="14"/>
                  <w:szCs w:val="14"/>
                  <w:color w:val="0000FF"/>
                  <w:w w:val="96"/>
                </w:rPr>
                <w:t>to the Proxy Statement/Prospectus).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520" w:type="dxa"/>
            <w:vAlign w:val="bottom"/>
            <w:gridSpan w:val="7"/>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10.14+</w:t>
            </w:r>
          </w:p>
        </w:tc>
        <w:tc>
          <w:tcPr>
            <w:tcW w:w="9900" w:type="dxa"/>
            <w:vAlign w:val="bottom"/>
            <w:tcBorders>
              <w:bottom w:val="single" w:sz="8" w:color="0000FF"/>
            </w:tcBorders>
            <w:gridSpan w:val="21"/>
          </w:tcPr>
          <w:p>
            <w:pPr>
              <w:spacing w:after="0"/>
              <w:rPr>
                <w:rFonts w:ascii="Arial" w:cs="Arial" w:eastAsia="Arial" w:hAnsi="Arial"/>
                <w:sz w:val="14"/>
                <w:szCs w:val="14"/>
                <w:color w:val="0000FF"/>
                <w:w w:val="94"/>
              </w:rPr>
            </w:pPr>
            <w:hyperlink r:id="rId40">
              <w:r>
                <w:rPr>
                  <w:rFonts w:ascii="Arial" w:cs="Arial" w:eastAsia="Arial" w:hAnsi="Arial"/>
                  <w:sz w:val="14"/>
                  <w:szCs w:val="14"/>
                  <w:color w:val="0000FF"/>
                  <w:w w:val="94"/>
                </w:rPr>
                <w:t xml:space="preserve">Confirmatory Employment Letter between Nautilus Biotechnology, Inc. and Parag Mallick (incorporated by reference to Exhibit </w:t>
              </w:r>
            </w:hyperlink>
            <w:r>
              <w:rPr>
                <w:rFonts w:ascii="Arial" w:cs="Arial" w:eastAsia="Arial" w:hAnsi="Arial"/>
                <w:sz w:val="14"/>
                <w:szCs w:val="14"/>
                <w:color w:val="0000FF"/>
                <w:w w:val="94"/>
              </w:rPr>
              <w:t xml:space="preserve">10.16 </w:t>
            </w:r>
            <w:hyperlink r:id="rId40">
              <w:r>
                <w:rPr>
                  <w:rFonts w:ascii="Arial" w:cs="Arial" w:eastAsia="Arial" w:hAnsi="Arial"/>
                  <w:sz w:val="14"/>
                  <w:szCs w:val="14"/>
                  <w:color w:val="0000FF"/>
                  <w:w w:val="94"/>
                </w:rPr>
                <w:t>to the Proxy Statement/Prospectus).</w:t>
              </w:r>
            </w:hyperlink>
          </w:p>
        </w:tc>
        <w:tc>
          <w:tcPr>
            <w:tcW w:w="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10.15+</w:t>
            </w:r>
          </w:p>
        </w:tc>
        <w:tc>
          <w:tcPr>
            <w:tcW w:w="9860" w:type="dxa"/>
            <w:vAlign w:val="bottom"/>
            <w:tcBorders>
              <w:bottom w:val="single" w:sz="8" w:color="0000FF"/>
            </w:tcBorders>
            <w:gridSpan w:val="20"/>
          </w:tcPr>
          <w:p>
            <w:pPr>
              <w:spacing w:after="0"/>
              <w:rPr>
                <w:rFonts w:ascii="Arial" w:cs="Arial" w:eastAsia="Arial" w:hAnsi="Arial"/>
                <w:sz w:val="14"/>
                <w:szCs w:val="14"/>
                <w:color w:val="0000FF"/>
                <w:w w:val="94"/>
              </w:rPr>
            </w:pPr>
            <w:hyperlink r:id="rId41">
              <w:r>
                <w:rPr>
                  <w:rFonts w:ascii="Arial" w:cs="Arial" w:eastAsia="Arial" w:hAnsi="Arial"/>
                  <w:sz w:val="14"/>
                  <w:szCs w:val="14"/>
                  <w:color w:val="0000FF"/>
                  <w:w w:val="94"/>
                </w:rPr>
                <w:t xml:space="preserve">Confirmatory Employment Letter between Nautilus Biotechnology, Inc. and Matt Murphy (incorporated by reference to Exhibit </w:t>
              </w:r>
            </w:hyperlink>
            <w:r>
              <w:rPr>
                <w:rFonts w:ascii="Arial" w:cs="Arial" w:eastAsia="Arial" w:hAnsi="Arial"/>
                <w:sz w:val="14"/>
                <w:szCs w:val="14"/>
                <w:color w:val="0000FF"/>
                <w:w w:val="94"/>
              </w:rPr>
              <w:t xml:space="preserve">10.17 </w:t>
            </w:r>
            <w:hyperlink r:id="rId41">
              <w:r>
                <w:rPr>
                  <w:rFonts w:ascii="Arial" w:cs="Arial" w:eastAsia="Arial" w:hAnsi="Arial"/>
                  <w:sz w:val="14"/>
                  <w:szCs w:val="14"/>
                  <w:color w:val="0000FF"/>
                  <w:w w:val="94"/>
                </w:rPr>
                <w:t>to the Proxy Statement/Prospectus).</w:t>
              </w:r>
            </w:hyperlink>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10.16+</w:t>
            </w:r>
          </w:p>
        </w:tc>
        <w:tc>
          <w:tcPr>
            <w:tcW w:w="10020" w:type="dxa"/>
            <w:vAlign w:val="bottom"/>
            <w:gridSpan w:val="24"/>
          </w:tcPr>
          <w:p>
            <w:pPr>
              <w:spacing w:after="0"/>
              <w:rPr>
                <w:rFonts w:ascii="Arial" w:cs="Arial" w:eastAsia="Arial" w:hAnsi="Arial"/>
                <w:sz w:val="14"/>
                <w:szCs w:val="14"/>
                <w:color w:val="0000FF"/>
              </w:rPr>
            </w:pPr>
            <w:hyperlink r:id="rId42">
              <w:r>
                <w:rPr>
                  <w:rFonts w:ascii="Arial" w:cs="Arial" w:eastAsia="Arial" w:hAnsi="Arial"/>
                  <w:sz w:val="14"/>
                  <w:szCs w:val="14"/>
                  <w:color w:val="0000FF"/>
                </w:rPr>
                <w:t>Change in Control and Severance Agreement between Nautilus Biotechnology, Inc. and Sujal Patel (incorporated by reference to Exhibit 10.18 to the Proxy</w:t>
              </w:r>
            </w:hyperlink>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90"/>
              </w:rPr>
            </w:pPr>
            <w:hyperlink r:id="rId42">
              <w:r>
                <w:rPr>
                  <w:rFonts w:ascii="Arial" w:cs="Arial" w:eastAsia="Arial" w:hAnsi="Arial"/>
                  <w:sz w:val="14"/>
                  <w:szCs w:val="14"/>
                  <w:color w:val="0000FF"/>
                  <w:w w:val="90"/>
                </w:rPr>
                <w:t>Statement/Prospectus).</w:t>
              </w:r>
            </w:hyperlink>
          </w:p>
        </w:tc>
        <w:tc>
          <w:tcPr>
            <w:tcW w:w="7660" w:type="dxa"/>
            <w:vAlign w:val="bottom"/>
            <w:tcBorders>
              <w:top w:val="single" w:sz="8" w:color="0000FF"/>
            </w:tcBorders>
            <w:gridSpan w:val="9"/>
          </w:tcPr>
          <w:p>
            <w:pPr>
              <w:spacing w:after="0"/>
              <w:rPr>
                <w:sz w:val="14"/>
                <w:szCs w:val="14"/>
                <w:color w:val="auto"/>
              </w:rPr>
            </w:pPr>
          </w:p>
        </w:tc>
        <w:tc>
          <w:tcPr>
            <w:tcW w:w="10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10.17*+</w:t>
            </w:r>
          </w:p>
        </w:tc>
        <w:tc>
          <w:tcPr>
            <w:tcW w:w="9180" w:type="dxa"/>
            <w:vAlign w:val="bottom"/>
            <w:tcBorders>
              <w:bottom w:val="single" w:sz="8" w:color="0000FF"/>
            </w:tcBorders>
            <w:gridSpan w:val="14"/>
          </w:tcPr>
          <w:p>
            <w:pPr>
              <w:spacing w:after="0"/>
              <w:rPr>
                <w:rFonts w:ascii="Arial" w:cs="Arial" w:eastAsia="Arial" w:hAnsi="Arial"/>
                <w:sz w:val="14"/>
                <w:szCs w:val="14"/>
                <w:color w:val="0000FF"/>
                <w:w w:val="94"/>
              </w:rPr>
            </w:pPr>
            <w:hyperlink r:id="rId43">
              <w:r>
                <w:rPr>
                  <w:rFonts w:ascii="Arial" w:cs="Arial" w:eastAsia="Arial" w:hAnsi="Arial"/>
                  <w:sz w:val="14"/>
                  <w:szCs w:val="14"/>
                  <w:color w:val="0000FF"/>
                  <w:w w:val="94"/>
                </w:rPr>
                <w:t>Change in Control and Severance Agreement between Nautilus Biotechnology, Inc. and Anna Mowry (incorporated by reference to Exhibit 10.19 to the Proxy</w:t>
              </w:r>
            </w:hyperlink>
          </w:p>
        </w:tc>
        <w:tc>
          <w:tcPr>
            <w:tcW w:w="8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340" w:type="dxa"/>
            <w:vAlign w:val="bottom"/>
            <w:tcBorders>
              <w:bottom w:val="single" w:sz="8" w:color="0000FF"/>
            </w:tcBorders>
            <w:gridSpan w:val="2"/>
          </w:tcPr>
          <w:p>
            <w:pPr>
              <w:spacing w:after="0"/>
              <w:rPr>
                <w:rFonts w:ascii="Arial" w:cs="Arial" w:eastAsia="Arial" w:hAnsi="Arial"/>
                <w:sz w:val="14"/>
                <w:szCs w:val="14"/>
                <w:color w:val="0000FF"/>
                <w:w w:val="90"/>
              </w:rPr>
            </w:pPr>
            <w:hyperlink r:id="rId43">
              <w:r>
                <w:rPr>
                  <w:rFonts w:ascii="Arial" w:cs="Arial" w:eastAsia="Arial" w:hAnsi="Arial"/>
                  <w:sz w:val="14"/>
                  <w:szCs w:val="14"/>
                  <w:color w:val="0000FF"/>
                  <w:w w:val="90"/>
                </w:rPr>
                <w:t>Statement/Prospectus).</w:t>
              </w:r>
            </w:hyperlink>
          </w:p>
        </w:tc>
        <w:tc>
          <w:tcPr>
            <w:tcW w:w="868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10.18+</w:t>
            </w:r>
          </w:p>
        </w:tc>
        <w:tc>
          <w:tcPr>
            <w:tcW w:w="10020" w:type="dxa"/>
            <w:vAlign w:val="bottom"/>
            <w:gridSpan w:val="24"/>
          </w:tcPr>
          <w:p>
            <w:pPr>
              <w:spacing w:after="0"/>
              <w:rPr>
                <w:rFonts w:ascii="Arial" w:cs="Arial" w:eastAsia="Arial" w:hAnsi="Arial"/>
                <w:sz w:val="14"/>
                <w:szCs w:val="14"/>
                <w:color w:val="0000FF"/>
              </w:rPr>
            </w:pPr>
            <w:hyperlink r:id="rId44">
              <w:r>
                <w:rPr>
                  <w:rFonts w:ascii="Arial" w:cs="Arial" w:eastAsia="Arial" w:hAnsi="Arial"/>
                  <w:sz w:val="14"/>
                  <w:szCs w:val="14"/>
                  <w:color w:val="0000FF"/>
                </w:rPr>
                <w:t>Change in Control and Severance Agreement between Nautilus Biotechnology, Inc. and Subra Sankar (incorporated by reference to Exhibit 10.21 to the Proxy</w:t>
              </w:r>
            </w:hyperlink>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1"/>
              </w:rPr>
            </w:pPr>
            <w:hyperlink r:id="rId44">
              <w:r>
                <w:rPr>
                  <w:rFonts w:ascii="Arial" w:cs="Arial" w:eastAsia="Arial" w:hAnsi="Arial"/>
                  <w:sz w:val="14"/>
                  <w:szCs w:val="14"/>
                  <w:color w:val="0000FF"/>
                  <w:w w:val="91"/>
                </w:rPr>
                <w:t>Statement/Prospectus).</w:t>
              </w:r>
            </w:hyperlink>
          </w:p>
        </w:tc>
        <w:tc>
          <w:tcPr>
            <w:tcW w:w="7800" w:type="dxa"/>
            <w:vAlign w:val="bottom"/>
            <w:tcBorders>
              <w:top w:val="single" w:sz="8" w:color="0000FF"/>
            </w:tcBorders>
            <w:gridSpan w:val="10"/>
          </w:tcPr>
          <w:p>
            <w:pPr>
              <w:spacing w:after="0"/>
              <w:rPr>
                <w:sz w:val="14"/>
                <w:szCs w:val="14"/>
                <w:color w:val="auto"/>
              </w:rPr>
            </w:pPr>
          </w:p>
        </w:tc>
        <w:tc>
          <w:tcPr>
            <w:tcW w:w="8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00" w:top="1250" w:right="419" w:bottom="1440" w:gutter="0" w:footer="0" w:header="0"/>
        </w:sectPr>
      </w:pPr>
    </w:p>
    <w:bookmarkStart w:id="32" w:name="page33"/>
    <w:bookmarkEnd w:id="3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color w:val="auto"/>
              </w:rPr>
              <w:t>10.19+</w:t>
            </w:r>
          </w:p>
        </w:tc>
        <w:tc>
          <w:tcPr>
            <w:tcW w:w="9120" w:type="dxa"/>
            <w:vAlign w:val="bottom"/>
            <w:tcBorders>
              <w:bottom w:val="single" w:sz="8" w:color="0000FF"/>
            </w:tcBorders>
            <w:gridSpan w:val="8"/>
          </w:tcPr>
          <w:p>
            <w:pPr>
              <w:spacing w:after="0"/>
              <w:rPr>
                <w:rFonts w:ascii="Arial" w:cs="Arial" w:eastAsia="Arial" w:hAnsi="Arial"/>
                <w:sz w:val="14"/>
                <w:szCs w:val="14"/>
                <w:color w:val="0000FF"/>
                <w:w w:val="93"/>
              </w:rPr>
            </w:pPr>
            <w:hyperlink r:id="rId45">
              <w:r>
                <w:rPr>
                  <w:rFonts w:ascii="Arial" w:cs="Arial" w:eastAsia="Arial" w:hAnsi="Arial"/>
                  <w:sz w:val="14"/>
                  <w:szCs w:val="14"/>
                  <w:color w:val="0000FF"/>
                  <w:w w:val="93"/>
                </w:rPr>
                <w:t>Change in Control and Severance Agreement between Nautilus Biotechnology, Inc. and Nick Nelson (incorporated by reference to Exhibit 10.20 to the Proxy</w:t>
              </w:r>
            </w:hyperlink>
          </w:p>
        </w:tc>
        <w:tc>
          <w:tcPr>
            <w:tcW w:w="840" w:type="dxa"/>
            <w:vAlign w:val="bottom"/>
            <w:gridSpan w:val="3"/>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1340" w:type="dxa"/>
            <w:vAlign w:val="bottom"/>
            <w:tcBorders>
              <w:bottom w:val="single" w:sz="8" w:color="0000FF"/>
            </w:tcBorders>
            <w:gridSpan w:val="2"/>
          </w:tcPr>
          <w:p>
            <w:pPr>
              <w:spacing w:after="0"/>
              <w:rPr>
                <w:rFonts w:ascii="Arial" w:cs="Arial" w:eastAsia="Arial" w:hAnsi="Arial"/>
                <w:sz w:val="14"/>
                <w:szCs w:val="14"/>
                <w:color w:val="0000FF"/>
                <w:w w:val="90"/>
              </w:rPr>
            </w:pPr>
            <w:hyperlink r:id="rId45">
              <w:r>
                <w:rPr>
                  <w:rFonts w:ascii="Arial" w:cs="Arial" w:eastAsia="Arial" w:hAnsi="Arial"/>
                  <w:sz w:val="14"/>
                  <w:szCs w:val="14"/>
                  <w:color w:val="0000FF"/>
                  <w:w w:val="90"/>
                </w:rPr>
                <w:t>Statement/Prospectus).</w:t>
              </w:r>
            </w:hyperlink>
          </w:p>
        </w:tc>
        <w:tc>
          <w:tcPr>
            <w:tcW w:w="8620" w:type="dxa"/>
            <w:vAlign w:val="bottom"/>
            <w:gridSpan w:val="9"/>
          </w:tcPr>
          <w:p>
            <w:pPr>
              <w:spacing w:after="0"/>
              <w:rPr>
                <w:sz w:val="14"/>
                <w:szCs w:val="14"/>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10.20+</w:t>
            </w:r>
          </w:p>
        </w:tc>
        <w:tc>
          <w:tcPr>
            <w:tcW w:w="9960" w:type="dxa"/>
            <w:vAlign w:val="bottom"/>
            <w:gridSpan w:val="11"/>
          </w:tcPr>
          <w:p>
            <w:pPr>
              <w:spacing w:after="0"/>
              <w:rPr>
                <w:rFonts w:ascii="Arial" w:cs="Arial" w:eastAsia="Arial" w:hAnsi="Arial"/>
                <w:sz w:val="14"/>
                <w:szCs w:val="14"/>
                <w:color w:val="0000FF"/>
              </w:rPr>
            </w:pPr>
            <w:hyperlink r:id="rId46">
              <w:r>
                <w:rPr>
                  <w:rFonts w:ascii="Arial" w:cs="Arial" w:eastAsia="Arial" w:hAnsi="Arial"/>
                  <w:sz w:val="14"/>
                  <w:szCs w:val="14"/>
                  <w:color w:val="0000FF"/>
                </w:rPr>
                <w:t>Change in Control and Severance Agreement between Nautilus Biotechnology, Inc. and Parag Mallick (incorporated by reference to Exhibit 10.22 to the Proxy</w:t>
              </w:r>
            </w:hyperlink>
          </w:p>
        </w:tc>
      </w:tr>
      <w:tr>
        <w:trPr>
          <w:trHeight w:val="164"/>
        </w:trPr>
        <w:tc>
          <w:tcPr>
            <w:tcW w:w="114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90"/>
              </w:rPr>
            </w:pPr>
            <w:hyperlink r:id="rId46">
              <w:r>
                <w:rPr>
                  <w:rFonts w:ascii="Arial" w:cs="Arial" w:eastAsia="Arial" w:hAnsi="Arial"/>
                  <w:sz w:val="14"/>
                  <w:szCs w:val="14"/>
                  <w:color w:val="0000FF"/>
                  <w:w w:val="90"/>
                </w:rPr>
                <w:t>Statement/Prospectus).</w:t>
              </w:r>
            </w:hyperlink>
          </w:p>
        </w:tc>
        <w:tc>
          <w:tcPr>
            <w:tcW w:w="7860" w:type="dxa"/>
            <w:vAlign w:val="bottom"/>
            <w:tcBorders>
              <w:top w:val="single" w:sz="8" w:color="0000FF"/>
            </w:tcBorders>
            <w:gridSpan w:val="8"/>
          </w:tcPr>
          <w:p>
            <w:pPr>
              <w:spacing w:after="0"/>
              <w:rPr>
                <w:sz w:val="14"/>
                <w:szCs w:val="14"/>
                <w:color w:val="auto"/>
              </w:rPr>
            </w:pPr>
          </w:p>
        </w:tc>
        <w:tc>
          <w:tcPr>
            <w:tcW w:w="760" w:type="dxa"/>
            <w:vAlign w:val="bottom"/>
          </w:tcPr>
          <w:p>
            <w:pPr>
              <w:spacing w:after="0"/>
              <w:rPr>
                <w:sz w:val="14"/>
                <w:szCs w:val="14"/>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10.21+</w:t>
            </w:r>
          </w:p>
        </w:tc>
        <w:tc>
          <w:tcPr>
            <w:tcW w:w="9960" w:type="dxa"/>
            <w:vAlign w:val="bottom"/>
            <w:gridSpan w:val="11"/>
          </w:tcPr>
          <w:p>
            <w:pPr>
              <w:spacing w:after="0"/>
              <w:rPr>
                <w:rFonts w:ascii="Arial" w:cs="Arial" w:eastAsia="Arial" w:hAnsi="Arial"/>
                <w:sz w:val="14"/>
                <w:szCs w:val="14"/>
                <w:color w:val="0000FF"/>
              </w:rPr>
            </w:pPr>
            <w:hyperlink r:id="rId47">
              <w:r>
                <w:rPr>
                  <w:rFonts w:ascii="Arial" w:cs="Arial" w:eastAsia="Arial" w:hAnsi="Arial"/>
                  <w:sz w:val="14"/>
                  <w:szCs w:val="14"/>
                  <w:color w:val="0000FF"/>
                </w:rPr>
                <w:t>Change in Control and Severance Agreement between Nautilus Biotechnology, Inc. and Matt Murphy (incorporated by reference to Exhibit 10.23 to the Proxy</w:t>
              </w:r>
            </w:hyperlink>
          </w:p>
        </w:tc>
      </w:tr>
      <w:tr>
        <w:trPr>
          <w:trHeight w:val="164"/>
        </w:trPr>
        <w:tc>
          <w:tcPr>
            <w:tcW w:w="114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90"/>
              </w:rPr>
            </w:pPr>
            <w:hyperlink r:id="rId47">
              <w:r>
                <w:rPr>
                  <w:rFonts w:ascii="Arial" w:cs="Arial" w:eastAsia="Arial" w:hAnsi="Arial"/>
                  <w:sz w:val="14"/>
                  <w:szCs w:val="14"/>
                  <w:color w:val="0000FF"/>
                  <w:w w:val="90"/>
                </w:rPr>
                <w:t>Statement/Prospectus).</w:t>
              </w:r>
            </w:hyperlink>
          </w:p>
        </w:tc>
        <w:tc>
          <w:tcPr>
            <w:tcW w:w="7820" w:type="dxa"/>
            <w:vAlign w:val="bottom"/>
            <w:tcBorders>
              <w:top w:val="single" w:sz="8" w:color="0000FF"/>
            </w:tcBorders>
            <w:gridSpan w:val="7"/>
          </w:tcPr>
          <w:p>
            <w:pPr>
              <w:spacing w:after="0"/>
              <w:rPr>
                <w:sz w:val="14"/>
                <w:szCs w:val="14"/>
                <w:color w:val="auto"/>
              </w:rPr>
            </w:pPr>
          </w:p>
        </w:tc>
        <w:tc>
          <w:tcPr>
            <w:tcW w:w="800" w:type="dxa"/>
            <w:vAlign w:val="bottom"/>
            <w:gridSpan w:val="2"/>
          </w:tcPr>
          <w:p>
            <w:pPr>
              <w:spacing w:after="0"/>
              <w:rPr>
                <w:sz w:val="14"/>
                <w:szCs w:val="14"/>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10.22</w:t>
            </w:r>
          </w:p>
        </w:tc>
        <w:tc>
          <w:tcPr>
            <w:tcW w:w="9960" w:type="dxa"/>
            <w:vAlign w:val="bottom"/>
            <w:gridSpan w:val="11"/>
          </w:tcPr>
          <w:p>
            <w:pPr>
              <w:spacing w:after="0"/>
              <w:rPr>
                <w:rFonts w:ascii="Arial" w:cs="Arial" w:eastAsia="Arial" w:hAnsi="Arial"/>
                <w:sz w:val="14"/>
                <w:szCs w:val="14"/>
                <w:color w:val="0000FF"/>
              </w:rPr>
            </w:pPr>
            <w:hyperlink r:id="rId48">
              <w:r>
                <w:rPr>
                  <w:rFonts w:ascii="Arial" w:cs="Arial" w:eastAsia="Arial" w:hAnsi="Arial"/>
                  <w:sz w:val="14"/>
                  <w:szCs w:val="14"/>
                  <w:color w:val="0000FF"/>
                </w:rPr>
                <w:t xml:space="preserve">Form of New Nautilus Indemnification Agreement (incorporated by reference to Exhibit </w:t>
              </w:r>
            </w:hyperlink>
            <w:r>
              <w:rPr>
                <w:rFonts w:ascii="Arial" w:cs="Arial" w:eastAsia="Arial" w:hAnsi="Arial"/>
                <w:sz w:val="14"/>
                <w:szCs w:val="14"/>
                <w:color w:val="0000FF"/>
              </w:rPr>
              <w:t xml:space="preserve">10.24 </w:t>
            </w:r>
            <w:hyperlink r:id="rId48">
              <w:r>
                <w:rPr>
                  <w:rFonts w:ascii="Arial" w:cs="Arial" w:eastAsia="Arial" w:hAnsi="Arial"/>
                  <w:sz w:val="14"/>
                  <w:szCs w:val="14"/>
                  <w:color w:val="0000FF"/>
                </w:rPr>
                <w:t>to the Proxy Statement/Prospectus).</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10.23</w:t>
            </w:r>
          </w:p>
        </w:tc>
        <w:tc>
          <w:tcPr>
            <w:tcW w:w="9960" w:type="dxa"/>
            <w:vAlign w:val="bottom"/>
            <w:gridSpan w:val="11"/>
          </w:tcPr>
          <w:p>
            <w:pPr>
              <w:spacing w:after="0"/>
              <w:rPr>
                <w:rFonts w:ascii="Arial" w:cs="Arial" w:eastAsia="Arial" w:hAnsi="Arial"/>
                <w:sz w:val="14"/>
                <w:szCs w:val="14"/>
                <w:color w:val="0000FF"/>
              </w:rPr>
            </w:pPr>
            <w:hyperlink r:id="rId49">
              <w:r>
                <w:rPr>
                  <w:rFonts w:ascii="Arial" w:cs="Arial" w:eastAsia="Arial" w:hAnsi="Arial"/>
                  <w:sz w:val="14"/>
                  <w:szCs w:val="14"/>
                  <w:color w:val="0000FF"/>
                </w:rPr>
                <w:t xml:space="preserve">Nautilus Biotechnology, Inc. Executive Incentive Compensation Plan (incorporated by reference to Exhibit </w:t>
              </w:r>
            </w:hyperlink>
            <w:r>
              <w:rPr>
                <w:rFonts w:ascii="Arial" w:cs="Arial" w:eastAsia="Arial" w:hAnsi="Arial"/>
                <w:sz w:val="14"/>
                <w:szCs w:val="14"/>
                <w:color w:val="0000FF"/>
              </w:rPr>
              <w:t xml:space="preserve">10.25 </w:t>
            </w:r>
            <w:hyperlink r:id="rId49">
              <w:r>
                <w:rPr>
                  <w:rFonts w:ascii="Arial" w:cs="Arial" w:eastAsia="Arial" w:hAnsi="Arial"/>
                  <w:sz w:val="14"/>
                  <w:szCs w:val="14"/>
                  <w:color w:val="0000FF"/>
                </w:rPr>
                <w:t>to the Proxy Statement/Prospectus).</w:t>
              </w:r>
            </w:hyperlink>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16.1</w:t>
            </w:r>
          </w:p>
        </w:tc>
        <w:tc>
          <w:tcPr>
            <w:tcW w:w="406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4"/>
              </w:rPr>
            </w:pPr>
            <w:hyperlink w:anchor="page100">
              <w:r>
                <w:rPr>
                  <w:rFonts w:ascii="Arial" w:cs="Arial" w:eastAsia="Arial" w:hAnsi="Arial"/>
                  <w:sz w:val="14"/>
                  <w:szCs w:val="14"/>
                  <w:color w:val="0000FF"/>
                  <w:w w:val="94"/>
                </w:rPr>
                <w:t xml:space="preserve">Letter from WithumSmith+Brown, PC to the SEC, dated June </w:t>
              </w:r>
            </w:hyperlink>
            <w:r>
              <w:rPr>
                <w:rFonts w:ascii="Arial" w:cs="Arial" w:eastAsia="Arial" w:hAnsi="Arial"/>
                <w:sz w:val="14"/>
                <w:szCs w:val="14"/>
                <w:color w:val="0000FF"/>
                <w:w w:val="94"/>
              </w:rPr>
              <w:t xml:space="preserve">9, </w:t>
            </w:r>
            <w:hyperlink w:anchor="page100">
              <w:r>
                <w:rPr>
                  <w:rFonts w:ascii="Arial" w:cs="Arial" w:eastAsia="Arial" w:hAnsi="Arial"/>
                  <w:sz w:val="14"/>
                  <w:szCs w:val="14"/>
                  <w:color w:val="0000FF"/>
                  <w:w w:val="94"/>
                </w:rPr>
                <w:t>2021</w:t>
              </w:r>
            </w:hyperlink>
          </w:p>
        </w:tc>
        <w:tc>
          <w:tcPr>
            <w:tcW w:w="4580" w:type="dxa"/>
            <w:vAlign w:val="bottom"/>
            <w:tcBorders>
              <w:top w:val="single" w:sz="8" w:color="0000FF"/>
            </w:tcBorders>
            <w:gridSpan w:val="4"/>
          </w:tcPr>
          <w:p>
            <w:pPr>
              <w:spacing w:after="0"/>
              <w:rPr>
                <w:sz w:val="18"/>
                <w:szCs w:val="18"/>
                <w:color w:val="auto"/>
              </w:rPr>
            </w:pPr>
          </w:p>
        </w:tc>
        <w:tc>
          <w:tcPr>
            <w:tcW w:w="1320" w:type="dxa"/>
            <w:vAlign w:val="bottom"/>
            <w:gridSpan w:val="4"/>
          </w:tcPr>
          <w:p>
            <w:pPr>
              <w:spacing w:after="0"/>
              <w:rPr>
                <w:sz w:val="18"/>
                <w:szCs w:val="18"/>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99.1</w:t>
            </w:r>
          </w:p>
        </w:tc>
        <w:tc>
          <w:tcPr>
            <w:tcW w:w="9960" w:type="dxa"/>
            <w:vAlign w:val="bottom"/>
            <w:gridSpan w:val="11"/>
          </w:tcPr>
          <w:p>
            <w:pPr>
              <w:spacing w:after="0"/>
              <w:rPr>
                <w:rFonts w:ascii="Arial" w:cs="Arial" w:eastAsia="Arial" w:hAnsi="Arial"/>
                <w:sz w:val="14"/>
                <w:szCs w:val="14"/>
                <w:color w:val="0000FF"/>
              </w:rPr>
            </w:pPr>
            <w:hyperlink w:anchor="page101">
              <w:r>
                <w:rPr>
                  <w:rFonts w:ascii="Arial" w:cs="Arial" w:eastAsia="Arial" w:hAnsi="Arial"/>
                  <w:sz w:val="14"/>
                  <w:szCs w:val="14"/>
                  <w:color w:val="0000FF"/>
                </w:rPr>
                <w:t>Unaudited condensed financial statements of Old Nautilus as of and for the three months ended March 31, 2021 and 2020.</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99.2</w:t>
            </w:r>
          </w:p>
        </w:tc>
        <w:tc>
          <w:tcPr>
            <w:tcW w:w="9960" w:type="dxa"/>
            <w:vAlign w:val="bottom"/>
            <w:tcBorders>
              <w:bottom w:val="single" w:sz="8" w:color="0000FF"/>
            </w:tcBorders>
            <w:gridSpan w:val="11"/>
          </w:tcPr>
          <w:p>
            <w:pPr>
              <w:spacing w:after="0"/>
              <w:rPr>
                <w:rFonts w:ascii="Arial" w:cs="Arial" w:eastAsia="Arial" w:hAnsi="Arial"/>
                <w:sz w:val="14"/>
                <w:szCs w:val="14"/>
                <w:color w:val="0000FF"/>
                <w:w w:val="93"/>
              </w:rPr>
            </w:pPr>
            <w:hyperlink w:anchor="page123">
              <w:r>
                <w:rPr>
                  <w:rFonts w:ascii="Arial" w:cs="Arial" w:eastAsia="Arial" w:hAnsi="Arial"/>
                  <w:sz w:val="14"/>
                  <w:szCs w:val="14"/>
                  <w:color w:val="0000FF"/>
                  <w:w w:val="93"/>
                </w:rPr>
                <w:t>Unaudited pro forma condensed combined financial information of the Company for the year ended December 31, 2020 and as of and for the three months ended March 31,</w:t>
              </w:r>
            </w:hyperlink>
          </w:p>
        </w:tc>
      </w:tr>
      <w:tr>
        <w:trPr>
          <w:trHeight w:val="164"/>
        </w:trPr>
        <w:tc>
          <w:tcPr>
            <w:tcW w:w="1140" w:type="dxa"/>
            <w:vAlign w:val="bottom"/>
          </w:tcPr>
          <w:p>
            <w:pPr>
              <w:spacing w:after="0"/>
              <w:rPr>
                <w:sz w:val="14"/>
                <w:szCs w:val="14"/>
                <w:color w:val="auto"/>
              </w:rPr>
            </w:pPr>
          </w:p>
        </w:tc>
        <w:tc>
          <w:tcPr>
            <w:tcW w:w="340" w:type="dxa"/>
            <w:vAlign w:val="bottom"/>
            <w:tcBorders>
              <w:bottom w:val="single" w:sz="8" w:color="0000FF"/>
            </w:tcBorders>
          </w:tcPr>
          <w:p>
            <w:pPr>
              <w:spacing w:after="0"/>
              <w:rPr>
                <w:rFonts w:ascii="Arial" w:cs="Arial" w:eastAsia="Arial" w:hAnsi="Arial"/>
                <w:sz w:val="14"/>
                <w:szCs w:val="14"/>
                <w:color w:val="0000FF"/>
                <w:w w:val="91"/>
              </w:rPr>
            </w:pPr>
            <w:hyperlink w:anchor="page123">
              <w:r>
                <w:rPr>
                  <w:rFonts w:ascii="Arial" w:cs="Arial" w:eastAsia="Arial" w:hAnsi="Arial"/>
                  <w:sz w:val="14"/>
                  <w:szCs w:val="14"/>
                  <w:color w:val="0000FF"/>
                  <w:w w:val="91"/>
                </w:rPr>
                <w:t>2021.</w:t>
              </w:r>
            </w:hyperlink>
          </w:p>
        </w:tc>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7"/>
        </w:trPr>
        <w:tc>
          <w:tcPr>
            <w:tcW w:w="1140" w:type="dxa"/>
            <w:vAlign w:val="bottom"/>
          </w:tcPr>
          <w:p>
            <w:pPr>
              <w:spacing w:after="0"/>
              <w:rPr>
                <w:sz w:val="20"/>
                <w:szCs w:val="20"/>
                <w:color w:val="auto"/>
              </w:rPr>
            </w:pPr>
            <w:r>
              <w:rPr>
                <w:rFonts w:ascii="Arial" w:cs="Arial" w:eastAsia="Arial" w:hAnsi="Arial"/>
                <w:sz w:val="14"/>
                <w:szCs w:val="14"/>
                <w:color w:val="auto"/>
              </w:rPr>
              <w:t>99.3</w:t>
            </w:r>
          </w:p>
        </w:tc>
        <w:tc>
          <w:tcPr>
            <w:tcW w:w="9960" w:type="dxa"/>
            <w:vAlign w:val="bottom"/>
            <w:gridSpan w:val="11"/>
          </w:tcPr>
          <w:p>
            <w:pPr>
              <w:spacing w:after="0"/>
              <w:rPr>
                <w:rFonts w:ascii="Arial" w:cs="Arial" w:eastAsia="Arial" w:hAnsi="Arial"/>
                <w:sz w:val="14"/>
                <w:szCs w:val="14"/>
                <w:color w:val="0000FF"/>
              </w:rPr>
            </w:pPr>
            <w:hyperlink w:anchor="page133">
              <w:r>
                <w:rPr>
                  <w:rFonts w:ascii="Arial" w:cs="Arial" w:eastAsia="Arial" w:hAnsi="Arial"/>
                  <w:sz w:val="14"/>
                  <w:szCs w:val="14"/>
                  <w:color w:val="0000FF"/>
                </w:rPr>
                <w:t>Press release dated June 9, 2021 announcing the closing of the business combination.</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2" w:lineRule="exact"/>
        <w:rPr>
          <w:sz w:val="20"/>
          <w:szCs w:val="20"/>
          <w:color w:val="auto"/>
        </w:rPr>
      </w:pPr>
    </w:p>
    <w:p>
      <w:pPr>
        <w:ind w:firstLine="7"/>
        <w:spacing w:after="0" w:line="276" w:lineRule="auto"/>
        <w:tabs>
          <w:tab w:leader="none" w:pos="108" w:val="left"/>
        </w:tabs>
        <w:numPr>
          <w:ilvl w:val="0"/>
          <w:numId w:val="22"/>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The Registrant agrees to furnish supplementally a copy of any omitted schedule or exhibit to the SEC upon request.</w:t>
      </w:r>
    </w:p>
    <w:p>
      <w:pPr>
        <w:sectPr>
          <w:pgSz w:w="11900" w:h="16838" w:orient="portrait"/>
          <w:cols w:equalWidth="0" w:num="1">
            <w:col w:w="11200"/>
          </w:cols>
          <w:pgMar w:left="300" w:top="1212" w:right="39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SIGNATURES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Dated: June 9, 2021</w:t>
      </w:r>
    </w:p>
    <w:p>
      <w:pPr>
        <w:spacing w:after="0" w:line="200" w:lineRule="exact"/>
        <w:rPr>
          <w:sz w:val="20"/>
          <w:szCs w:val="20"/>
          <w:color w:val="auto"/>
        </w:rPr>
      </w:pPr>
    </w:p>
    <w:p>
      <w:pPr>
        <w:spacing w:after="0" w:line="252"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NAUTILUS BIOTECHNOLOGY, INC.</w:t>
      </w:r>
    </w:p>
    <w:p>
      <w:pPr>
        <w:spacing w:after="0" w:line="287" w:lineRule="exact"/>
        <w:rPr>
          <w:sz w:val="20"/>
          <w:szCs w:val="20"/>
          <w:color w:val="auto"/>
        </w:rPr>
      </w:pPr>
    </w:p>
    <w:tbl>
      <w:tblPr>
        <w:tblLayout w:type="fixed"/>
        <w:tblInd w:w="6660" w:type="dxa"/>
        <w:tblCellMar>
          <w:top w:w="0" w:type="dxa"/>
          <w:left w:w="0" w:type="dxa"/>
          <w:bottom w:w="0" w:type="dxa"/>
          <w:right w:w="0" w:type="dxa"/>
        </w:tblCellMar>
      </w:tblPr>
      <w:tr>
        <w:trPr>
          <w:trHeight w:val="183"/>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3860" w:type="dxa"/>
            <w:vAlign w:val="bottom"/>
          </w:tcPr>
          <w:p>
            <w:pPr>
              <w:ind w:left="120"/>
              <w:spacing w:after="0"/>
              <w:rPr>
                <w:sz w:val="20"/>
                <w:szCs w:val="20"/>
                <w:color w:val="auto"/>
              </w:rPr>
            </w:pPr>
            <w:r>
              <w:rPr>
                <w:rFonts w:ascii="Arial" w:cs="Arial" w:eastAsia="Arial" w:hAnsi="Arial"/>
                <w:sz w:val="14"/>
                <w:szCs w:val="14"/>
                <w:color w:val="auto"/>
              </w:rPr>
              <w:t>/s/ Sujal Patel</w:t>
            </w:r>
          </w:p>
        </w:tc>
        <w:tc>
          <w:tcPr>
            <w:tcW w:w="0" w:type="dxa"/>
            <w:vAlign w:val="bottom"/>
          </w:tcPr>
          <w:p>
            <w:pPr>
              <w:spacing w:after="0"/>
              <w:rPr>
                <w:sz w:val="1"/>
                <w:szCs w:val="1"/>
                <w:color w:val="auto"/>
              </w:rPr>
            </w:pPr>
          </w:p>
        </w:tc>
      </w:tr>
      <w:tr>
        <w:trPr>
          <w:trHeight w:val="23"/>
        </w:trPr>
        <w:tc>
          <w:tcPr>
            <w:tcW w:w="76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3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60" w:type="dxa"/>
            <w:vAlign w:val="bottom"/>
            <w:vMerge w:val="continue"/>
          </w:tcPr>
          <w:p>
            <w:pPr>
              <w:spacing w:after="0"/>
              <w:rPr>
                <w:sz w:val="16"/>
                <w:szCs w:val="16"/>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Sujal Patel</w:t>
            </w:r>
          </w:p>
        </w:tc>
        <w:tc>
          <w:tcPr>
            <w:tcW w:w="0" w:type="dxa"/>
            <w:vAlign w:val="bottom"/>
          </w:tcPr>
          <w:p>
            <w:pPr>
              <w:spacing w:after="0"/>
              <w:rPr>
                <w:sz w:val="1"/>
                <w:szCs w:val="1"/>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4"/>
                <w:szCs w:val="14"/>
                <w:color w:val="auto"/>
              </w:rPr>
              <w:t>Title:</w:t>
            </w:r>
          </w:p>
        </w:tc>
        <w:tc>
          <w:tcPr>
            <w:tcW w:w="3860" w:type="dxa"/>
            <w:vAlign w:val="bottom"/>
          </w:tcPr>
          <w:p>
            <w:pPr>
              <w:ind w:left="12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64"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INCORPORATION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NAUTILUS BIOTECHNOLOGY,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Delaware corporation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name of this corporation is Nautilus Biotechnology, Inc. (the “</w:t>
      </w:r>
      <w:r>
        <w:rPr>
          <w:rFonts w:ascii="Arial" w:cs="Arial" w:eastAsia="Arial" w:hAnsi="Arial"/>
          <w:sz w:val="14"/>
          <w:szCs w:val="14"/>
          <w:b w:val="1"/>
          <w:bCs w:val="1"/>
          <w:color w:val="auto"/>
        </w:rPr>
        <w:t>Company</w:t>
      </w:r>
      <w:r>
        <w:rPr>
          <w:rFonts w:ascii="Arial" w:cs="Arial" w:eastAsia="Arial" w:hAnsi="Arial"/>
          <w:sz w:val="14"/>
          <w:szCs w:val="14"/>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46" w:lineRule="exact"/>
        <w:rPr>
          <w:sz w:val="20"/>
          <w:szCs w:val="20"/>
          <w:color w:val="auto"/>
        </w:rPr>
      </w:pPr>
    </w:p>
    <w:p>
      <w:pPr>
        <w:jc w:val="both"/>
        <w:ind w:firstLine="260"/>
        <w:spacing w:after="0" w:line="290" w:lineRule="auto"/>
        <w:rPr>
          <w:sz w:val="20"/>
          <w:szCs w:val="20"/>
          <w:color w:val="auto"/>
        </w:rPr>
      </w:pPr>
      <w:r>
        <w:rPr>
          <w:rFonts w:ascii="Arial" w:cs="Arial" w:eastAsia="Arial" w:hAnsi="Arial"/>
          <w:sz w:val="14"/>
          <w:szCs w:val="14"/>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146" w:lineRule="exact"/>
        <w:rPr>
          <w:sz w:val="20"/>
          <w:szCs w:val="20"/>
          <w:color w:val="auto"/>
        </w:rPr>
      </w:pPr>
    </w:p>
    <w:p>
      <w:pPr>
        <w:ind w:right="280" w:firstLine="260"/>
        <w:spacing w:after="0" w:line="290" w:lineRule="auto"/>
        <w:rPr>
          <w:sz w:val="20"/>
          <w:szCs w:val="20"/>
          <w:color w:val="auto"/>
        </w:rPr>
      </w:pPr>
      <w:r>
        <w:rPr>
          <w:rFonts w:ascii="Arial" w:cs="Arial" w:eastAsia="Arial" w:hAnsi="Arial"/>
          <w:sz w:val="14"/>
          <w:szCs w:val="14"/>
          <w:color w:val="auto"/>
        </w:rPr>
        <w:t>The nature of the business or purposes to be conducted or promoted by the Company is to engage in any lawful act or activity for which corporations may be organized under the General Corporation Law of the State of Delaware (the “</w:t>
      </w:r>
      <w:r>
        <w:rPr>
          <w:rFonts w:ascii="Arial" w:cs="Arial" w:eastAsia="Arial" w:hAnsi="Arial"/>
          <w:sz w:val="14"/>
          <w:szCs w:val="14"/>
          <w:b w:val="1"/>
          <w:bCs w:val="1"/>
          <w:color w:val="auto"/>
        </w:rPr>
        <w:t>DGCL</w:t>
      </w:r>
      <w:r>
        <w:rPr>
          <w:rFonts w:ascii="Arial" w:cs="Arial" w:eastAsia="Arial" w:hAnsi="Arial"/>
          <w:sz w:val="14"/>
          <w:szCs w:val="14"/>
          <w:color w:val="auto"/>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w:t>
      </w:r>
    </w:p>
    <w:p>
      <w:pPr>
        <w:spacing w:after="0" w:line="146" w:lineRule="exact"/>
        <w:rPr>
          <w:sz w:val="20"/>
          <w:szCs w:val="20"/>
          <w:color w:val="auto"/>
        </w:rPr>
      </w:pPr>
    </w:p>
    <w:p>
      <w:pPr>
        <w:jc w:val="both"/>
        <w:ind w:firstLine="260"/>
        <w:spacing w:after="0" w:line="274" w:lineRule="auto"/>
        <w:rPr>
          <w:sz w:val="20"/>
          <w:szCs w:val="20"/>
          <w:color w:val="auto"/>
        </w:rPr>
      </w:pPr>
      <w:r>
        <w:rPr>
          <w:rFonts w:ascii="Arial" w:cs="Arial" w:eastAsia="Arial" w:hAnsi="Arial"/>
          <w:sz w:val="14"/>
          <w:szCs w:val="14"/>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98" w:lineRule="exact"/>
        <w:rPr>
          <w:sz w:val="20"/>
          <w:szCs w:val="20"/>
          <w:color w:val="auto"/>
        </w:rPr>
      </w:pPr>
    </w:p>
    <w:p>
      <w:pPr>
        <w:jc w:val="both"/>
        <w:ind w:firstLine="260"/>
        <w:spacing w:after="0" w:line="290" w:lineRule="auto"/>
        <w:rPr>
          <w:sz w:val="20"/>
          <w:szCs w:val="20"/>
          <w:color w:val="auto"/>
        </w:rPr>
      </w:pPr>
      <w:r>
        <w:rPr>
          <w:rFonts w:ascii="Arial" w:cs="Arial" w:eastAsia="Arial" w:hAnsi="Arial"/>
          <w:sz w:val="14"/>
          <w:szCs w:val="14"/>
          <w:color w:val="auto"/>
        </w:rPr>
        <w:t>Section 2. Each share of Common Stock outstanding as of the applicable record date shall entitle the holder thereof to one (1) vote on any matter submitted to a vote at a meeting of stockholders.</w:t>
      </w:r>
    </w:p>
    <w:p>
      <w:pPr>
        <w:spacing w:after="0" w:line="87" w:lineRule="exact"/>
        <w:rPr>
          <w:sz w:val="20"/>
          <w:szCs w:val="20"/>
          <w:color w:val="auto"/>
        </w:rPr>
      </w:pPr>
    </w:p>
    <w:p>
      <w:pPr>
        <w:jc w:val="both"/>
        <w:ind w:firstLine="260"/>
        <w:spacing w:after="0" w:line="283" w:lineRule="auto"/>
        <w:rPr>
          <w:sz w:val="20"/>
          <w:szCs w:val="20"/>
          <w:color w:val="auto"/>
        </w:rPr>
      </w:pPr>
      <w:r>
        <w:rPr>
          <w:rFonts w:ascii="Arial" w:cs="Arial" w:eastAsia="Arial" w:hAnsi="Arial"/>
          <w:sz w:val="13"/>
          <w:szCs w:val="13"/>
          <w:color w:val="auto"/>
        </w:rPr>
        <w:t>Section 3. The Preferred Stock may be issued from time to time in one or more series pursuant to a resolution or resolutions providing for such issue duly adopted by the Board of Directors of the Company (the “</w:t>
      </w:r>
      <w:r>
        <w:rPr>
          <w:rFonts w:ascii="Arial" w:cs="Arial" w:eastAsia="Arial" w:hAnsi="Arial"/>
          <w:sz w:val="13"/>
          <w:szCs w:val="13"/>
          <w:b w:val="1"/>
          <w:bCs w:val="1"/>
          <w:color w:val="auto"/>
        </w:rPr>
        <w:t>Board of Directors</w:t>
      </w:r>
      <w:r>
        <w:rPr>
          <w:rFonts w:ascii="Arial" w:cs="Arial" w:eastAsia="Arial" w:hAnsi="Arial"/>
          <w:sz w:val="13"/>
          <w:szCs w:val="13"/>
          <w:color w:val="auto"/>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98" w:lineRule="exact"/>
        <w:rPr>
          <w:sz w:val="20"/>
          <w:szCs w:val="20"/>
          <w:color w:val="auto"/>
        </w:rPr>
      </w:pPr>
    </w:p>
    <w:p>
      <w:pPr>
        <w:jc w:val="both"/>
        <w:ind w:firstLine="260"/>
        <w:spacing w:after="0" w:line="268" w:lineRule="auto"/>
        <w:rPr>
          <w:sz w:val="20"/>
          <w:szCs w:val="20"/>
          <w:color w:val="auto"/>
        </w:rPr>
      </w:pPr>
      <w:r>
        <w:rPr>
          <w:rFonts w:ascii="Arial" w:cs="Arial" w:eastAsia="Arial" w:hAnsi="Arial"/>
          <w:sz w:val="14"/>
          <w:szCs w:val="14"/>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36" w:right="319" w:bottom="1440" w:gutter="0" w:footer="0" w:header="0"/>
        </w:sectPr>
      </w:pPr>
    </w:p>
    <w:bookmarkStart w:id="35" w:name="page36"/>
    <w:bookmarkEnd w:id="35"/>
    <w:p>
      <w:pPr>
        <w:jc w:val="both"/>
        <w:ind w:firstLine="260"/>
        <w:spacing w:after="0" w:line="268" w:lineRule="auto"/>
        <w:rPr>
          <w:sz w:val="20"/>
          <w:szCs w:val="20"/>
          <w:color w:val="auto"/>
        </w:rPr>
      </w:pPr>
      <w:r>
        <w:rPr>
          <w:rFonts w:ascii="Arial" w:cs="Arial" w:eastAsia="Arial" w:hAnsi="Arial"/>
          <w:sz w:val="14"/>
          <w:szCs w:val="14"/>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146" w:lineRule="exact"/>
        <w:rPr>
          <w:sz w:val="20"/>
          <w:szCs w:val="20"/>
          <w:color w:val="auto"/>
        </w:rPr>
      </w:pPr>
    </w:p>
    <w:p>
      <w:pPr>
        <w:jc w:val="both"/>
        <w:ind w:firstLine="260"/>
        <w:spacing w:after="0" w:line="291" w:lineRule="auto"/>
        <w:rPr>
          <w:sz w:val="20"/>
          <w:szCs w:val="20"/>
          <w:color w:val="auto"/>
        </w:rPr>
      </w:pPr>
      <w:r>
        <w:rPr>
          <w:rFonts w:ascii="Arial" w:cs="Arial" w:eastAsia="Arial" w:hAnsi="Arial"/>
          <w:sz w:val="13"/>
          <w:szCs w:val="13"/>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Arial" w:cs="Arial" w:eastAsia="Arial" w:hAnsi="Arial"/>
          <w:sz w:val="13"/>
          <w:szCs w:val="13"/>
          <w:b w:val="1"/>
          <w:bCs w:val="1"/>
          <w:color w:val="auto"/>
        </w:rPr>
        <w:t>Whole Board</w:t>
      </w:r>
      <w:r>
        <w:rPr>
          <w:rFonts w:ascii="Arial" w:cs="Arial" w:eastAsia="Arial" w:hAnsi="Arial"/>
          <w:sz w:val="13"/>
          <w:szCs w:val="13"/>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89" w:lineRule="exact"/>
        <w:rPr>
          <w:sz w:val="20"/>
          <w:szCs w:val="20"/>
          <w:color w:val="auto"/>
        </w:rPr>
      </w:pPr>
    </w:p>
    <w:p>
      <w:pPr>
        <w:jc w:val="both"/>
        <w:ind w:firstLine="260"/>
        <w:spacing w:after="0" w:line="283" w:lineRule="auto"/>
        <w:rPr>
          <w:sz w:val="20"/>
          <w:szCs w:val="20"/>
          <w:color w:val="auto"/>
        </w:rPr>
      </w:pPr>
      <w:r>
        <w:rPr>
          <w:rFonts w:ascii="Arial" w:cs="Arial" w:eastAsia="Arial" w:hAnsi="Arial"/>
          <w:sz w:val="13"/>
          <w:szCs w:val="13"/>
          <w:color w:val="auto"/>
        </w:rPr>
        <w:t>Section 2. 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3"/>
          <w:szCs w:val="13"/>
          <w:b w:val="1"/>
          <w:bCs w:val="1"/>
          <w:color w:val="auto"/>
        </w:rPr>
        <w:t>Business Combination Agreement</w:t>
      </w:r>
      <w:r>
        <w:rPr>
          <w:rFonts w:ascii="Arial" w:cs="Arial" w:eastAsia="Arial" w:hAnsi="Arial"/>
          <w:sz w:val="13"/>
          <w:szCs w:val="13"/>
          <w:color w:val="auto"/>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no decrease in the number of directors constituting the Board of Directors shall shorten the term of any incumbent director.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w:t>
      </w:r>
    </w:p>
    <w:p>
      <w:pPr>
        <w:spacing w:after="0" w:line="146" w:lineRule="exact"/>
        <w:rPr>
          <w:sz w:val="20"/>
          <w:szCs w:val="20"/>
          <w:color w:val="auto"/>
        </w:rPr>
      </w:pPr>
    </w:p>
    <w:p>
      <w:pPr>
        <w:jc w:val="both"/>
        <w:ind w:firstLine="260"/>
        <w:spacing w:after="0" w:line="274" w:lineRule="auto"/>
        <w:rPr>
          <w:sz w:val="20"/>
          <w:szCs w:val="20"/>
          <w:color w:val="auto"/>
        </w:rPr>
      </w:pPr>
      <w:r>
        <w:rPr>
          <w:rFonts w:ascii="Arial" w:cs="Arial" w:eastAsia="Arial" w:hAnsi="Arial"/>
          <w:sz w:val="14"/>
          <w:szCs w:val="14"/>
          <w:color w:val="auto"/>
        </w:rPr>
        <w:t>Section 1. 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98" w:lineRule="exact"/>
        <w:rPr>
          <w:sz w:val="20"/>
          <w:szCs w:val="20"/>
          <w:color w:val="auto"/>
        </w:rPr>
      </w:pPr>
    </w:p>
    <w:p>
      <w:pPr>
        <w:jc w:val="both"/>
        <w:ind w:firstLine="260"/>
        <w:spacing w:after="0" w:line="291" w:lineRule="auto"/>
        <w:rPr>
          <w:sz w:val="20"/>
          <w:szCs w:val="20"/>
          <w:color w:val="auto"/>
        </w:rPr>
      </w:pPr>
      <w:r>
        <w:rPr>
          <w:rFonts w:ascii="Arial" w:cs="Arial" w:eastAsia="Arial" w:hAnsi="Arial"/>
          <w:sz w:val="13"/>
          <w:szCs w:val="13"/>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68" w:right="319" w:bottom="1440" w:gutter="0" w:footer="0" w:header="0"/>
        </w:sectPr>
      </w:pPr>
    </w:p>
    <w:bookmarkStart w:id="36" w:name="page37"/>
    <w:bookmarkEnd w:id="36"/>
    <w:p>
      <w:pPr>
        <w:jc w:val="both"/>
        <w:spacing w:after="0" w:line="290" w:lineRule="auto"/>
        <w:rPr>
          <w:sz w:val="20"/>
          <w:szCs w:val="20"/>
          <w:color w:val="auto"/>
        </w:rPr>
      </w:pPr>
      <w:r>
        <w:rPr>
          <w:rFonts w:ascii="Arial" w:cs="Arial" w:eastAsia="Arial" w:hAnsi="Arial"/>
          <w:sz w:val="14"/>
          <w:szCs w:val="14"/>
          <w:color w:val="auto"/>
        </w:rPr>
        <w:t>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w:t>
      </w:r>
    </w:p>
    <w:p>
      <w:pPr>
        <w:spacing w:after="0" w:line="146"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2"/>
          <w:szCs w:val="12"/>
          <w:color w:val="auto"/>
        </w:rPr>
        <w:t>The Company is to have perpetual existence.</w:t>
      </w:r>
    </w:p>
    <w:p>
      <w:pPr>
        <w:spacing w:after="0" w:line="142" w:lineRule="exact"/>
        <w:rPr>
          <w:sz w:val="20"/>
          <w:szCs w:val="20"/>
          <w:color w:val="auto"/>
        </w:rPr>
      </w:pPr>
    </w:p>
    <w:p>
      <w:pPr>
        <w:jc w:val="both"/>
        <w:ind w:firstLine="260"/>
        <w:spacing w:after="0" w:line="274" w:lineRule="auto"/>
        <w:rPr>
          <w:sz w:val="20"/>
          <w:szCs w:val="20"/>
          <w:color w:val="auto"/>
        </w:rPr>
      </w:pPr>
      <w:r>
        <w:rPr>
          <w:rFonts w:ascii="Arial" w:cs="Arial" w:eastAsia="Arial" w:hAnsi="Arial"/>
          <w:sz w:val="14"/>
          <w:szCs w:val="14"/>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98"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4"/>
          <w:szCs w:val="14"/>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06"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3"/>
          <w:szCs w:val="13"/>
          <w:color w:val="auto"/>
        </w:rPr>
        <w:t>The election of directors need not be by written ballot unless the Bylaws of the Company shall so provide.</w:t>
      </w:r>
    </w:p>
    <w:p>
      <w:pPr>
        <w:spacing w:after="0" w:line="142"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3"/>
          <w:szCs w:val="13"/>
          <w:color w:val="auto"/>
        </w:rPr>
        <w:t>No stockholder will be permitted to cumulate votes at any election of directors.</w:t>
      </w:r>
    </w:p>
    <w:p>
      <w:pPr>
        <w:spacing w:after="0" w:line="138"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ARTICLE VIII</w:t>
      </w:r>
    </w:p>
    <w:p>
      <w:pPr>
        <w:spacing w:after="0" w:line="146" w:lineRule="exact"/>
        <w:rPr>
          <w:sz w:val="20"/>
          <w:szCs w:val="20"/>
          <w:color w:val="auto"/>
        </w:rPr>
      </w:pPr>
    </w:p>
    <w:p>
      <w:pPr>
        <w:jc w:val="both"/>
        <w:ind w:firstLine="260"/>
        <w:spacing w:after="0" w:line="330" w:lineRule="auto"/>
        <w:rPr>
          <w:sz w:val="20"/>
          <w:szCs w:val="20"/>
          <w:color w:val="auto"/>
        </w:rPr>
      </w:pPr>
      <w:r>
        <w:rPr>
          <w:rFonts w:ascii="Arial" w:cs="Arial" w:eastAsia="Arial" w:hAnsi="Arial"/>
          <w:sz w:val="13"/>
          <w:szCs w:val="13"/>
          <w:color w:val="auto"/>
        </w:rPr>
        <w:t>Section 1. 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65" w:lineRule="exact"/>
        <w:rPr>
          <w:sz w:val="20"/>
          <w:szCs w:val="20"/>
          <w:color w:val="auto"/>
        </w:rPr>
      </w:pPr>
    </w:p>
    <w:p>
      <w:pPr>
        <w:jc w:val="both"/>
        <w:ind w:firstLine="260"/>
        <w:spacing w:after="0" w:line="268" w:lineRule="auto"/>
        <w:rPr>
          <w:sz w:val="20"/>
          <w:szCs w:val="20"/>
          <w:color w:val="auto"/>
        </w:rPr>
      </w:pPr>
      <w:r>
        <w:rPr>
          <w:rFonts w:ascii="Arial" w:cs="Arial" w:eastAsia="Arial" w:hAnsi="Arial"/>
          <w:sz w:val="14"/>
          <w:szCs w:val="14"/>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03" w:lineRule="exact"/>
        <w:rPr>
          <w:sz w:val="20"/>
          <w:szCs w:val="20"/>
          <w:color w:val="auto"/>
        </w:rPr>
      </w:pPr>
    </w:p>
    <w:p>
      <w:pPr>
        <w:jc w:val="both"/>
        <w:ind w:firstLine="260"/>
        <w:spacing w:after="0" w:line="290" w:lineRule="auto"/>
        <w:rPr>
          <w:sz w:val="20"/>
          <w:szCs w:val="20"/>
          <w:color w:val="auto"/>
        </w:rPr>
      </w:pPr>
      <w:r>
        <w:rPr>
          <w:rFonts w:ascii="Arial" w:cs="Arial" w:eastAsia="Arial" w:hAnsi="Arial"/>
          <w:sz w:val="14"/>
          <w:szCs w:val="14"/>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IX</w:t>
      </w:r>
    </w:p>
    <w:p>
      <w:pPr>
        <w:spacing w:after="0" w:line="146" w:lineRule="exact"/>
        <w:rPr>
          <w:sz w:val="20"/>
          <w:szCs w:val="20"/>
          <w:color w:val="auto"/>
        </w:rPr>
      </w:pPr>
    </w:p>
    <w:p>
      <w:pPr>
        <w:jc w:val="both"/>
        <w:ind w:firstLine="260"/>
        <w:spacing w:after="0" w:line="274" w:lineRule="auto"/>
        <w:rPr>
          <w:sz w:val="20"/>
          <w:szCs w:val="20"/>
          <w:color w:val="auto"/>
        </w:rPr>
      </w:pPr>
      <w:r>
        <w:rPr>
          <w:rFonts w:ascii="Arial" w:cs="Arial" w:eastAsia="Arial" w:hAnsi="Arial"/>
          <w:sz w:val="14"/>
          <w:szCs w:val="14"/>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98" w:lineRule="exact"/>
        <w:rPr>
          <w:sz w:val="20"/>
          <w:szCs w:val="20"/>
          <w:color w:val="auto"/>
        </w:rPr>
      </w:pPr>
    </w:p>
    <w:p>
      <w:pPr>
        <w:jc w:val="both"/>
        <w:ind w:firstLine="260"/>
        <w:spacing w:after="0" w:line="290" w:lineRule="auto"/>
        <w:rPr>
          <w:sz w:val="20"/>
          <w:szCs w:val="20"/>
          <w:color w:val="auto"/>
        </w:rPr>
      </w:pPr>
      <w:r>
        <w:rPr>
          <w:rFonts w:ascii="Arial" w:cs="Arial" w:eastAsia="Arial" w:hAnsi="Arial"/>
          <w:sz w:val="14"/>
          <w:szCs w:val="14"/>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68" w:right="319" w:bottom="1440" w:gutter="0" w:footer="0" w:header="0"/>
        </w:sectPr>
      </w:pPr>
    </w:p>
    <w:bookmarkStart w:id="37" w:name="page38"/>
    <w:bookmarkEnd w:id="37"/>
    <w:p>
      <w:pPr>
        <w:jc w:val="both"/>
        <w:spacing w:after="0" w:line="267" w:lineRule="auto"/>
        <w:rPr>
          <w:sz w:val="20"/>
          <w:szCs w:val="20"/>
          <w:color w:val="auto"/>
        </w:rPr>
      </w:pPr>
      <w:r>
        <w:rPr>
          <w:rFonts w:ascii="Arial" w:cs="Arial" w:eastAsia="Arial" w:hAnsi="Arial"/>
          <w:sz w:val="14"/>
          <w:szCs w:val="14"/>
          <w:color w:val="auto"/>
        </w:rPr>
        <w:t>suit or proceeding, whether civil, criminal, administrative or investigative (a “</w:t>
      </w:r>
      <w:r>
        <w:rPr>
          <w:rFonts w:ascii="Arial" w:cs="Arial" w:eastAsia="Arial" w:hAnsi="Arial"/>
          <w:sz w:val="14"/>
          <w:szCs w:val="14"/>
          <w:b w:val="1"/>
          <w:bCs w:val="1"/>
          <w:color w:val="auto"/>
        </w:rPr>
        <w:t>Proceeding</w:t>
      </w:r>
      <w:r>
        <w:rPr>
          <w:rFonts w:ascii="Arial" w:cs="Arial" w:eastAsia="Arial" w:hAnsi="Arial"/>
          <w:sz w:val="14"/>
          <w:szCs w:val="14"/>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04" w:lineRule="exact"/>
        <w:rPr>
          <w:sz w:val="20"/>
          <w:szCs w:val="20"/>
          <w:color w:val="auto"/>
        </w:rPr>
      </w:pPr>
    </w:p>
    <w:p>
      <w:pPr>
        <w:jc w:val="both"/>
        <w:ind w:firstLine="260"/>
        <w:spacing w:after="0" w:line="295" w:lineRule="auto"/>
        <w:rPr>
          <w:sz w:val="20"/>
          <w:szCs w:val="20"/>
          <w:color w:val="auto"/>
        </w:rPr>
      </w:pPr>
      <w:r>
        <w:rPr>
          <w:rFonts w:ascii="Arial" w:cs="Arial" w:eastAsia="Arial" w:hAnsi="Arial"/>
          <w:sz w:val="13"/>
          <w:szCs w:val="13"/>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87" w:lineRule="exact"/>
        <w:rPr>
          <w:sz w:val="20"/>
          <w:szCs w:val="20"/>
          <w:color w:val="auto"/>
        </w:rPr>
      </w:pPr>
    </w:p>
    <w:p>
      <w:pPr>
        <w:jc w:val="both"/>
        <w:ind w:firstLine="260"/>
        <w:spacing w:after="0" w:line="274" w:lineRule="auto"/>
        <w:rPr>
          <w:sz w:val="20"/>
          <w:szCs w:val="20"/>
          <w:color w:val="auto"/>
        </w:rPr>
      </w:pPr>
      <w:r>
        <w:rPr>
          <w:rFonts w:ascii="Arial" w:cs="Arial" w:eastAsia="Arial" w:hAnsi="Arial"/>
          <w:sz w:val="14"/>
          <w:szCs w:val="14"/>
          <w:color w:val="auto"/>
        </w:rPr>
        <w:t>Section 4. 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w:t>
      </w:r>
    </w:p>
    <w:p>
      <w:pPr>
        <w:spacing w:after="0" w:line="146" w:lineRule="exact"/>
        <w:rPr>
          <w:sz w:val="20"/>
          <w:szCs w:val="20"/>
          <w:color w:val="auto"/>
        </w:rPr>
      </w:pPr>
    </w:p>
    <w:p>
      <w:pPr>
        <w:jc w:val="both"/>
        <w:ind w:firstLine="260"/>
        <w:spacing w:after="0" w:line="330" w:lineRule="auto"/>
        <w:rPr>
          <w:sz w:val="20"/>
          <w:szCs w:val="20"/>
          <w:color w:val="auto"/>
        </w:rPr>
      </w:pPr>
      <w:r>
        <w:rPr>
          <w:rFonts w:ascii="Arial" w:cs="Arial" w:eastAsia="Arial" w:hAnsi="Arial"/>
          <w:sz w:val="13"/>
          <w:szCs w:val="13"/>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w:t>
      </w:r>
    </w:p>
    <w:p>
      <w:pPr>
        <w:spacing w:after="0" w:line="146"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4"/>
          <w:szCs w:val="14"/>
          <w:color w:val="auto"/>
        </w:rPr>
        <w:t xml:space="preserve">The Company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XII</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name and mailing address of the incorporator are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Cindy R. Reilly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Kirkland &amp; Ellis LLP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601 Lexington Avenue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New York, NY 10022</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certificate of incorporation shall be effective at 10:15 a.m. Eastern Time on June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64"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I, the undersigned, as the sole incorporator of the Company, have signed this Certificate of Incorporation on this 9th day of June 2021.</w:t>
      </w:r>
    </w:p>
    <w:p>
      <w:pPr>
        <w:spacing w:after="0" w:line="185" w:lineRule="exact"/>
        <w:rPr>
          <w:sz w:val="20"/>
          <w:szCs w:val="20"/>
          <w:color w:val="auto"/>
        </w:rPr>
      </w:pPr>
    </w:p>
    <w:tbl>
      <w:tblPr>
        <w:tblLayout w:type="fixed"/>
        <w:tblInd w:w="5180" w:type="dxa"/>
        <w:tblCellMar>
          <w:top w:w="0" w:type="dxa"/>
          <w:left w:w="0" w:type="dxa"/>
          <w:bottom w:w="0" w:type="dxa"/>
          <w:right w:w="0" w:type="dxa"/>
        </w:tblCellMar>
      </w:tblPr>
      <w:tr>
        <w:trPr>
          <w:trHeight w:val="183"/>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5340" w:type="dxa"/>
            <w:vAlign w:val="bottom"/>
          </w:tcPr>
          <w:p>
            <w:pPr>
              <w:ind w:left="20"/>
              <w:spacing w:after="0"/>
              <w:rPr>
                <w:sz w:val="20"/>
                <w:szCs w:val="20"/>
                <w:color w:val="auto"/>
              </w:rPr>
            </w:pPr>
            <w:r>
              <w:rPr>
                <w:rFonts w:ascii="Arial" w:cs="Arial" w:eastAsia="Arial" w:hAnsi="Arial"/>
                <w:sz w:val="14"/>
                <w:szCs w:val="14"/>
                <w:color w:val="auto"/>
              </w:rPr>
              <w:t>/s/ Cindy R. Reilly</w:t>
            </w:r>
          </w:p>
        </w:tc>
      </w:tr>
      <w:tr>
        <w:trPr>
          <w:trHeight w:val="23"/>
        </w:trPr>
        <w:tc>
          <w:tcPr>
            <w:tcW w:w="76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6"/>
                <w:szCs w:val="16"/>
                <w:color w:val="auto"/>
              </w:rPr>
            </w:pPr>
          </w:p>
        </w:tc>
        <w:tc>
          <w:tcPr>
            <w:tcW w:w="5340" w:type="dxa"/>
            <w:vAlign w:val="bottom"/>
          </w:tcPr>
          <w:p>
            <w:pPr>
              <w:ind w:left="20"/>
              <w:spacing w:after="0"/>
              <w:rPr>
                <w:sz w:val="20"/>
                <w:szCs w:val="20"/>
                <w:color w:val="auto"/>
              </w:rPr>
            </w:pPr>
            <w:r>
              <w:rPr>
                <w:rFonts w:ascii="Arial" w:cs="Arial" w:eastAsia="Arial" w:hAnsi="Arial"/>
                <w:sz w:val="14"/>
                <w:szCs w:val="14"/>
                <w:color w:val="auto"/>
              </w:rPr>
              <w:t>Name: Cindy R. Reilly</w:t>
            </w:r>
          </w:p>
        </w:tc>
      </w:tr>
      <w:tr>
        <w:trPr>
          <w:trHeight w:val="216"/>
        </w:trPr>
        <w:tc>
          <w:tcPr>
            <w:tcW w:w="76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4"/>
                <w:szCs w:val="14"/>
                <w:color w:val="auto"/>
              </w:rPr>
              <w:t>Sole Incorporator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68"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BYLAWS OF</w:t>
      </w:r>
    </w:p>
    <w:p>
      <w:pPr>
        <w:spacing w:after="0" w:line="14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NAUTILUS BIOTECHNOLOGY, INC.</w:t>
      </w:r>
    </w:p>
    <w:p>
      <w:pPr>
        <w:spacing w:after="0" w:line="146"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(initially adopted on June 9, 2021)</w:t>
      </w:r>
    </w:p>
    <w:p>
      <w:pPr>
        <w:sectPr>
          <w:pgSz w:w="11900" w:h="16838" w:orient="portrait"/>
          <w:cols w:equalWidth="0" w:num="1">
            <w:col w:w="10140"/>
          </w:cols>
          <w:pgMar w:left="1440" w:top="136" w:right="319" w:bottom="1440" w:gutter="0" w:footer="0" w:header="0"/>
        </w:sectPr>
      </w:pPr>
    </w:p>
    <w:bookmarkStart w:id="40" w:name="page41"/>
    <w:bookmarkEnd w:id="40"/>
    <w:p>
      <w:pPr>
        <w:jc w:val="center"/>
        <w:ind w:right="-19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500" w:type="dxa"/>
            <w:vAlign w:val="bottom"/>
          </w:tcPr>
          <w:p>
            <w:pPr>
              <w:ind w:left="2220"/>
              <w:spacing w:after="0"/>
              <w:rPr>
                <w:sz w:val="20"/>
                <w:szCs w:val="20"/>
                <w:color w:val="auto"/>
              </w:rPr>
            </w:pPr>
            <w:r>
              <w:rPr>
                <w:rFonts w:ascii="Arial" w:cs="Arial" w:eastAsia="Arial" w:hAnsi="Arial"/>
                <w:sz w:val="14"/>
                <w:szCs w:val="14"/>
                <w:b w:val="1"/>
                <w:bCs w:val="1"/>
                <w:i w:val="1"/>
                <w:iCs w:val="1"/>
                <w:color w:val="auto"/>
                <w:w w:val="77"/>
              </w:rPr>
              <w:t>Page</w:t>
            </w:r>
          </w:p>
        </w:tc>
      </w:tr>
      <w:tr>
        <w:trPr>
          <w:trHeight w:val="216"/>
        </w:trPr>
        <w:tc>
          <w:tcPr>
            <w:tcW w:w="8540" w:type="dxa"/>
            <w:vAlign w:val="bottom"/>
            <w:gridSpan w:val="2"/>
          </w:tcPr>
          <w:p>
            <w:pPr>
              <w:spacing w:after="0"/>
              <w:rPr>
                <w:sz w:val="20"/>
                <w:szCs w:val="20"/>
                <w:color w:val="auto"/>
              </w:rPr>
            </w:pPr>
            <w:r>
              <w:rPr>
                <w:rFonts w:ascii="Arial" w:cs="Arial" w:eastAsia="Arial" w:hAnsi="Arial"/>
                <w:sz w:val="14"/>
                <w:szCs w:val="14"/>
                <w:color w:val="auto"/>
              </w:rPr>
              <w:t>ARTICLE I - CORPORATE OFFICES</w:t>
            </w:r>
          </w:p>
        </w:tc>
        <w:tc>
          <w:tcPr>
            <w:tcW w:w="2500" w:type="dxa"/>
            <w:vAlign w:val="bottom"/>
          </w:tcPr>
          <w:p>
            <w:pPr>
              <w:spacing w:after="0"/>
              <w:rPr>
                <w:sz w:val="18"/>
                <w:szCs w:val="18"/>
                <w:color w:val="auto"/>
              </w:rPr>
            </w:pP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1.1</w:t>
            </w:r>
          </w:p>
        </w:tc>
        <w:tc>
          <w:tcPr>
            <w:tcW w:w="7000" w:type="dxa"/>
            <w:vAlign w:val="bottom"/>
          </w:tcPr>
          <w:p>
            <w:pPr>
              <w:spacing w:after="0"/>
              <w:rPr>
                <w:sz w:val="20"/>
                <w:szCs w:val="20"/>
                <w:color w:val="auto"/>
              </w:rPr>
            </w:pPr>
            <w:r>
              <w:rPr>
                <w:rFonts w:ascii="Arial" w:cs="Arial" w:eastAsia="Arial" w:hAnsi="Arial"/>
                <w:sz w:val="14"/>
                <w:szCs w:val="14"/>
                <w:color w:val="auto"/>
              </w:rPr>
              <w:t>REGISTERED OFFICE</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1.2</w:t>
            </w:r>
          </w:p>
        </w:tc>
        <w:tc>
          <w:tcPr>
            <w:tcW w:w="7000" w:type="dxa"/>
            <w:vAlign w:val="bottom"/>
          </w:tcPr>
          <w:p>
            <w:pPr>
              <w:spacing w:after="0"/>
              <w:rPr>
                <w:sz w:val="20"/>
                <w:szCs w:val="20"/>
                <w:color w:val="auto"/>
              </w:rPr>
            </w:pPr>
            <w:r>
              <w:rPr>
                <w:rFonts w:ascii="Arial" w:cs="Arial" w:eastAsia="Arial" w:hAnsi="Arial"/>
                <w:sz w:val="14"/>
                <w:szCs w:val="14"/>
                <w:color w:val="auto"/>
              </w:rPr>
              <w:t>OTHER OFFICES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w:t>
            </w:r>
          </w:p>
        </w:tc>
      </w:tr>
      <w:tr>
        <w:trPr>
          <w:trHeight w:val="260"/>
        </w:trPr>
        <w:tc>
          <w:tcPr>
            <w:tcW w:w="8540" w:type="dxa"/>
            <w:vAlign w:val="bottom"/>
            <w:gridSpan w:val="2"/>
          </w:tcPr>
          <w:p>
            <w:pPr>
              <w:spacing w:after="0"/>
              <w:rPr>
                <w:sz w:val="20"/>
                <w:szCs w:val="20"/>
                <w:color w:val="auto"/>
              </w:rPr>
            </w:pPr>
            <w:r>
              <w:rPr>
                <w:rFonts w:ascii="Arial" w:cs="Arial" w:eastAsia="Arial" w:hAnsi="Arial"/>
                <w:sz w:val="14"/>
                <w:szCs w:val="14"/>
                <w:color w:val="auto"/>
              </w:rPr>
              <w:t>ARTICLE II - MEETINGS OF STOCKHOLDERS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w:t>
            </w:r>
          </w:p>
        </w:tc>
      </w:tr>
      <w:tr>
        <w:trPr>
          <w:trHeight w:val="260"/>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2.1</w:t>
            </w:r>
          </w:p>
        </w:tc>
        <w:tc>
          <w:tcPr>
            <w:tcW w:w="7000" w:type="dxa"/>
            <w:vAlign w:val="bottom"/>
          </w:tcPr>
          <w:p>
            <w:pPr>
              <w:spacing w:after="0"/>
              <w:rPr>
                <w:sz w:val="20"/>
                <w:szCs w:val="20"/>
                <w:color w:val="auto"/>
              </w:rPr>
            </w:pPr>
            <w:r>
              <w:rPr>
                <w:rFonts w:ascii="Arial" w:cs="Arial" w:eastAsia="Arial" w:hAnsi="Arial"/>
                <w:sz w:val="14"/>
                <w:szCs w:val="14"/>
                <w:color w:val="auto"/>
              </w:rPr>
              <w:t>PLACE OF MEETINGS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2.2</w:t>
            </w:r>
          </w:p>
        </w:tc>
        <w:tc>
          <w:tcPr>
            <w:tcW w:w="7000" w:type="dxa"/>
            <w:vAlign w:val="bottom"/>
          </w:tcPr>
          <w:p>
            <w:pPr>
              <w:spacing w:after="0"/>
              <w:rPr>
                <w:sz w:val="20"/>
                <w:szCs w:val="20"/>
                <w:color w:val="auto"/>
              </w:rPr>
            </w:pPr>
            <w:r>
              <w:rPr>
                <w:rFonts w:ascii="Arial" w:cs="Arial" w:eastAsia="Arial" w:hAnsi="Arial"/>
                <w:sz w:val="14"/>
                <w:szCs w:val="14"/>
                <w:color w:val="auto"/>
              </w:rPr>
              <w:t>ANNUAL MEETING</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2.3</w:t>
            </w:r>
          </w:p>
        </w:tc>
        <w:tc>
          <w:tcPr>
            <w:tcW w:w="7000" w:type="dxa"/>
            <w:vAlign w:val="bottom"/>
          </w:tcPr>
          <w:p>
            <w:pPr>
              <w:spacing w:after="0"/>
              <w:rPr>
                <w:sz w:val="20"/>
                <w:szCs w:val="20"/>
                <w:color w:val="auto"/>
              </w:rPr>
            </w:pPr>
            <w:r>
              <w:rPr>
                <w:rFonts w:ascii="Arial" w:cs="Arial" w:eastAsia="Arial" w:hAnsi="Arial"/>
                <w:sz w:val="14"/>
                <w:szCs w:val="14"/>
                <w:color w:val="auto"/>
              </w:rPr>
              <w:t>SPECIAL MEETING</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2.4</w:t>
            </w:r>
          </w:p>
        </w:tc>
        <w:tc>
          <w:tcPr>
            <w:tcW w:w="7000" w:type="dxa"/>
            <w:vAlign w:val="bottom"/>
          </w:tcPr>
          <w:p>
            <w:pPr>
              <w:spacing w:after="0"/>
              <w:rPr>
                <w:sz w:val="20"/>
                <w:szCs w:val="20"/>
                <w:color w:val="auto"/>
              </w:rPr>
            </w:pPr>
            <w:r>
              <w:rPr>
                <w:rFonts w:ascii="Arial" w:cs="Arial" w:eastAsia="Arial" w:hAnsi="Arial"/>
                <w:sz w:val="14"/>
                <w:szCs w:val="14"/>
                <w:color w:val="auto"/>
              </w:rPr>
              <w:t>ADVANCE NOTICE PROCEDURES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2</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2.5</w:t>
            </w:r>
          </w:p>
        </w:tc>
        <w:tc>
          <w:tcPr>
            <w:tcW w:w="7000" w:type="dxa"/>
            <w:vAlign w:val="bottom"/>
          </w:tcPr>
          <w:p>
            <w:pPr>
              <w:spacing w:after="0"/>
              <w:rPr>
                <w:sz w:val="20"/>
                <w:szCs w:val="20"/>
                <w:color w:val="auto"/>
              </w:rPr>
            </w:pPr>
            <w:r>
              <w:rPr>
                <w:rFonts w:ascii="Arial" w:cs="Arial" w:eastAsia="Arial" w:hAnsi="Arial"/>
                <w:sz w:val="14"/>
                <w:szCs w:val="14"/>
                <w:color w:val="auto"/>
              </w:rPr>
              <w:t>NOTICE OF STOCKHOLDERS’ MEETINGS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6</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2.6</w:t>
            </w:r>
          </w:p>
        </w:tc>
        <w:tc>
          <w:tcPr>
            <w:tcW w:w="7000" w:type="dxa"/>
            <w:vAlign w:val="bottom"/>
          </w:tcPr>
          <w:p>
            <w:pPr>
              <w:spacing w:after="0"/>
              <w:rPr>
                <w:sz w:val="20"/>
                <w:szCs w:val="20"/>
                <w:color w:val="auto"/>
              </w:rPr>
            </w:pPr>
            <w:r>
              <w:rPr>
                <w:rFonts w:ascii="Arial" w:cs="Arial" w:eastAsia="Arial" w:hAnsi="Arial"/>
                <w:sz w:val="14"/>
                <w:szCs w:val="14"/>
                <w:color w:val="auto"/>
              </w:rPr>
              <w:t>QUORUM</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6</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2.7</w:t>
            </w:r>
          </w:p>
        </w:tc>
        <w:tc>
          <w:tcPr>
            <w:tcW w:w="7000" w:type="dxa"/>
            <w:vAlign w:val="bottom"/>
          </w:tcPr>
          <w:p>
            <w:pPr>
              <w:spacing w:after="0"/>
              <w:rPr>
                <w:sz w:val="20"/>
                <w:szCs w:val="20"/>
                <w:color w:val="auto"/>
              </w:rPr>
            </w:pPr>
            <w:r>
              <w:rPr>
                <w:rFonts w:ascii="Arial" w:cs="Arial" w:eastAsia="Arial" w:hAnsi="Arial"/>
                <w:sz w:val="14"/>
                <w:szCs w:val="14"/>
                <w:color w:val="auto"/>
              </w:rPr>
              <w:t>ADJOURNED MEETING; NOTICE</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7</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2.8</w:t>
            </w:r>
          </w:p>
        </w:tc>
        <w:tc>
          <w:tcPr>
            <w:tcW w:w="7000" w:type="dxa"/>
            <w:vAlign w:val="bottom"/>
          </w:tcPr>
          <w:p>
            <w:pPr>
              <w:spacing w:after="0"/>
              <w:rPr>
                <w:sz w:val="20"/>
                <w:szCs w:val="20"/>
                <w:color w:val="auto"/>
              </w:rPr>
            </w:pPr>
            <w:r>
              <w:rPr>
                <w:rFonts w:ascii="Arial" w:cs="Arial" w:eastAsia="Arial" w:hAnsi="Arial"/>
                <w:sz w:val="14"/>
                <w:szCs w:val="14"/>
                <w:color w:val="auto"/>
              </w:rPr>
              <w:t>CONDUCT OF BUSINESS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7</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2.9</w:t>
            </w:r>
          </w:p>
        </w:tc>
        <w:tc>
          <w:tcPr>
            <w:tcW w:w="7000" w:type="dxa"/>
            <w:vAlign w:val="bottom"/>
          </w:tcPr>
          <w:p>
            <w:pPr>
              <w:spacing w:after="0"/>
              <w:rPr>
                <w:sz w:val="20"/>
                <w:szCs w:val="20"/>
                <w:color w:val="auto"/>
              </w:rPr>
            </w:pPr>
            <w:r>
              <w:rPr>
                <w:rFonts w:ascii="Arial" w:cs="Arial" w:eastAsia="Arial" w:hAnsi="Arial"/>
                <w:sz w:val="14"/>
                <w:szCs w:val="14"/>
                <w:color w:val="auto"/>
              </w:rPr>
              <w:t>VOTING</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7</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2.10</w:t>
            </w:r>
          </w:p>
        </w:tc>
        <w:tc>
          <w:tcPr>
            <w:tcW w:w="7000" w:type="dxa"/>
            <w:vAlign w:val="bottom"/>
          </w:tcPr>
          <w:p>
            <w:pPr>
              <w:spacing w:after="0"/>
              <w:rPr>
                <w:sz w:val="20"/>
                <w:szCs w:val="20"/>
                <w:color w:val="auto"/>
              </w:rPr>
            </w:pPr>
            <w:r>
              <w:rPr>
                <w:rFonts w:ascii="Arial" w:cs="Arial" w:eastAsia="Arial" w:hAnsi="Arial"/>
                <w:sz w:val="14"/>
                <w:szCs w:val="14"/>
                <w:color w:val="auto"/>
              </w:rPr>
              <w:t>STOCKHOLDER ACTION BY WRITTEN CONSENT WITHOUT A MEETING</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8</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2.11</w:t>
            </w:r>
          </w:p>
        </w:tc>
        <w:tc>
          <w:tcPr>
            <w:tcW w:w="7000" w:type="dxa"/>
            <w:vAlign w:val="bottom"/>
          </w:tcPr>
          <w:p>
            <w:pPr>
              <w:spacing w:after="0"/>
              <w:rPr>
                <w:sz w:val="20"/>
                <w:szCs w:val="20"/>
                <w:color w:val="auto"/>
              </w:rPr>
            </w:pPr>
            <w:r>
              <w:rPr>
                <w:rFonts w:ascii="Arial" w:cs="Arial" w:eastAsia="Arial" w:hAnsi="Arial"/>
                <w:sz w:val="14"/>
                <w:szCs w:val="14"/>
                <w:color w:val="auto"/>
              </w:rPr>
              <w:t>RECORD DATES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8</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2.12</w:t>
            </w:r>
          </w:p>
        </w:tc>
        <w:tc>
          <w:tcPr>
            <w:tcW w:w="7000" w:type="dxa"/>
            <w:vAlign w:val="bottom"/>
          </w:tcPr>
          <w:p>
            <w:pPr>
              <w:spacing w:after="0"/>
              <w:rPr>
                <w:sz w:val="20"/>
                <w:szCs w:val="20"/>
                <w:color w:val="auto"/>
              </w:rPr>
            </w:pPr>
            <w:r>
              <w:rPr>
                <w:rFonts w:ascii="Arial" w:cs="Arial" w:eastAsia="Arial" w:hAnsi="Arial"/>
                <w:sz w:val="14"/>
                <w:szCs w:val="14"/>
                <w:color w:val="auto"/>
              </w:rPr>
              <w:t>PROXIES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8</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2.13</w:t>
            </w:r>
          </w:p>
        </w:tc>
        <w:tc>
          <w:tcPr>
            <w:tcW w:w="7000" w:type="dxa"/>
            <w:vAlign w:val="bottom"/>
          </w:tcPr>
          <w:p>
            <w:pPr>
              <w:spacing w:after="0"/>
              <w:rPr>
                <w:sz w:val="20"/>
                <w:szCs w:val="20"/>
                <w:color w:val="auto"/>
              </w:rPr>
            </w:pPr>
            <w:r>
              <w:rPr>
                <w:rFonts w:ascii="Arial" w:cs="Arial" w:eastAsia="Arial" w:hAnsi="Arial"/>
                <w:sz w:val="14"/>
                <w:szCs w:val="14"/>
                <w:color w:val="auto"/>
              </w:rPr>
              <w:t>LIST OF STOCKHOLDERS ENTITLED TO VOTE</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8</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2.14</w:t>
            </w:r>
          </w:p>
        </w:tc>
        <w:tc>
          <w:tcPr>
            <w:tcW w:w="7000" w:type="dxa"/>
            <w:vAlign w:val="bottom"/>
          </w:tcPr>
          <w:p>
            <w:pPr>
              <w:spacing w:after="0"/>
              <w:rPr>
                <w:sz w:val="20"/>
                <w:szCs w:val="20"/>
                <w:color w:val="auto"/>
              </w:rPr>
            </w:pPr>
            <w:r>
              <w:rPr>
                <w:rFonts w:ascii="Arial" w:cs="Arial" w:eastAsia="Arial" w:hAnsi="Arial"/>
                <w:sz w:val="14"/>
                <w:szCs w:val="14"/>
                <w:color w:val="auto"/>
              </w:rPr>
              <w:t>INSPECTORS OF ELECTION</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9</w:t>
            </w:r>
          </w:p>
        </w:tc>
      </w:tr>
      <w:tr>
        <w:trPr>
          <w:trHeight w:val="260"/>
        </w:trPr>
        <w:tc>
          <w:tcPr>
            <w:tcW w:w="8540" w:type="dxa"/>
            <w:vAlign w:val="bottom"/>
            <w:gridSpan w:val="2"/>
          </w:tcPr>
          <w:p>
            <w:pPr>
              <w:spacing w:after="0"/>
              <w:rPr>
                <w:sz w:val="20"/>
                <w:szCs w:val="20"/>
                <w:color w:val="auto"/>
              </w:rPr>
            </w:pPr>
            <w:r>
              <w:rPr>
                <w:rFonts w:ascii="Arial" w:cs="Arial" w:eastAsia="Arial" w:hAnsi="Arial"/>
                <w:sz w:val="14"/>
                <w:szCs w:val="14"/>
                <w:color w:val="auto"/>
              </w:rPr>
              <w:t>ARTICLE III - DIRECTORS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9</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3.1</w:t>
            </w:r>
          </w:p>
        </w:tc>
        <w:tc>
          <w:tcPr>
            <w:tcW w:w="7000" w:type="dxa"/>
            <w:vAlign w:val="bottom"/>
          </w:tcPr>
          <w:p>
            <w:pPr>
              <w:spacing w:after="0"/>
              <w:rPr>
                <w:sz w:val="20"/>
                <w:szCs w:val="20"/>
                <w:color w:val="auto"/>
              </w:rPr>
            </w:pPr>
            <w:r>
              <w:rPr>
                <w:rFonts w:ascii="Arial" w:cs="Arial" w:eastAsia="Arial" w:hAnsi="Arial"/>
                <w:sz w:val="14"/>
                <w:szCs w:val="14"/>
                <w:color w:val="auto"/>
              </w:rPr>
              <w:t>POWERS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9</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3.2</w:t>
            </w:r>
          </w:p>
        </w:tc>
        <w:tc>
          <w:tcPr>
            <w:tcW w:w="7000" w:type="dxa"/>
            <w:vAlign w:val="bottom"/>
          </w:tcPr>
          <w:p>
            <w:pPr>
              <w:spacing w:after="0"/>
              <w:rPr>
                <w:sz w:val="20"/>
                <w:szCs w:val="20"/>
                <w:color w:val="auto"/>
              </w:rPr>
            </w:pPr>
            <w:r>
              <w:rPr>
                <w:rFonts w:ascii="Arial" w:cs="Arial" w:eastAsia="Arial" w:hAnsi="Arial"/>
                <w:sz w:val="14"/>
                <w:szCs w:val="14"/>
                <w:color w:val="auto"/>
              </w:rPr>
              <w:t>NUMBER OF DIRECTORS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9</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3.3</w:t>
            </w:r>
          </w:p>
        </w:tc>
        <w:tc>
          <w:tcPr>
            <w:tcW w:w="7000" w:type="dxa"/>
            <w:vAlign w:val="bottom"/>
          </w:tcPr>
          <w:p>
            <w:pPr>
              <w:spacing w:after="0"/>
              <w:rPr>
                <w:sz w:val="20"/>
                <w:szCs w:val="20"/>
                <w:color w:val="auto"/>
              </w:rPr>
            </w:pPr>
            <w:r>
              <w:rPr>
                <w:rFonts w:ascii="Arial" w:cs="Arial" w:eastAsia="Arial" w:hAnsi="Arial"/>
                <w:sz w:val="14"/>
                <w:szCs w:val="14"/>
                <w:color w:val="auto"/>
              </w:rPr>
              <w:t>ELECTION, QUALIFICATION AND TERM OF OFFICE OF DIRECTORS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9</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3.4</w:t>
            </w:r>
          </w:p>
        </w:tc>
        <w:tc>
          <w:tcPr>
            <w:tcW w:w="7000" w:type="dxa"/>
            <w:vAlign w:val="bottom"/>
          </w:tcPr>
          <w:p>
            <w:pPr>
              <w:spacing w:after="0"/>
              <w:rPr>
                <w:sz w:val="20"/>
                <w:szCs w:val="20"/>
                <w:color w:val="auto"/>
              </w:rPr>
            </w:pPr>
            <w:r>
              <w:rPr>
                <w:rFonts w:ascii="Arial" w:cs="Arial" w:eastAsia="Arial" w:hAnsi="Arial"/>
                <w:sz w:val="14"/>
                <w:szCs w:val="14"/>
                <w:color w:val="auto"/>
              </w:rPr>
              <w:t>RESIGNATION AND VACANCIES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10</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3.5</w:t>
            </w:r>
          </w:p>
        </w:tc>
        <w:tc>
          <w:tcPr>
            <w:tcW w:w="7000" w:type="dxa"/>
            <w:vAlign w:val="bottom"/>
          </w:tcPr>
          <w:p>
            <w:pPr>
              <w:spacing w:after="0"/>
              <w:rPr>
                <w:sz w:val="20"/>
                <w:szCs w:val="20"/>
                <w:color w:val="auto"/>
              </w:rPr>
            </w:pPr>
            <w:r>
              <w:rPr>
                <w:rFonts w:ascii="Arial" w:cs="Arial" w:eastAsia="Arial" w:hAnsi="Arial"/>
                <w:sz w:val="14"/>
                <w:szCs w:val="14"/>
                <w:color w:val="auto"/>
              </w:rPr>
              <w:t>PLACE OF MEETINGS; MEETINGS BY TELEPHONE</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10</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3.6</w:t>
            </w:r>
          </w:p>
        </w:tc>
        <w:tc>
          <w:tcPr>
            <w:tcW w:w="7000" w:type="dxa"/>
            <w:vAlign w:val="bottom"/>
          </w:tcPr>
          <w:p>
            <w:pPr>
              <w:spacing w:after="0"/>
              <w:rPr>
                <w:sz w:val="20"/>
                <w:szCs w:val="20"/>
                <w:color w:val="auto"/>
              </w:rPr>
            </w:pPr>
            <w:r>
              <w:rPr>
                <w:rFonts w:ascii="Arial" w:cs="Arial" w:eastAsia="Arial" w:hAnsi="Arial"/>
                <w:sz w:val="14"/>
                <w:szCs w:val="14"/>
                <w:color w:val="auto"/>
              </w:rPr>
              <w:t>REGULAR MEETINGS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10</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3.7</w:t>
            </w:r>
          </w:p>
        </w:tc>
        <w:tc>
          <w:tcPr>
            <w:tcW w:w="7000" w:type="dxa"/>
            <w:vAlign w:val="bottom"/>
          </w:tcPr>
          <w:p>
            <w:pPr>
              <w:spacing w:after="0"/>
              <w:rPr>
                <w:sz w:val="20"/>
                <w:szCs w:val="20"/>
                <w:color w:val="auto"/>
              </w:rPr>
            </w:pPr>
            <w:r>
              <w:rPr>
                <w:rFonts w:ascii="Arial" w:cs="Arial" w:eastAsia="Arial" w:hAnsi="Arial"/>
                <w:sz w:val="14"/>
                <w:szCs w:val="14"/>
                <w:color w:val="auto"/>
              </w:rPr>
              <w:t>SPECIAL MEETINGS; NOTICE</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10</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3.8</w:t>
            </w:r>
          </w:p>
        </w:tc>
        <w:tc>
          <w:tcPr>
            <w:tcW w:w="7000" w:type="dxa"/>
            <w:vAlign w:val="bottom"/>
          </w:tcPr>
          <w:p>
            <w:pPr>
              <w:spacing w:after="0"/>
              <w:rPr>
                <w:sz w:val="20"/>
                <w:szCs w:val="20"/>
                <w:color w:val="auto"/>
              </w:rPr>
            </w:pPr>
            <w:r>
              <w:rPr>
                <w:rFonts w:ascii="Arial" w:cs="Arial" w:eastAsia="Arial" w:hAnsi="Arial"/>
                <w:sz w:val="14"/>
                <w:szCs w:val="14"/>
                <w:color w:val="auto"/>
              </w:rPr>
              <w:t>QUORUM; VOTING</w:t>
            </w:r>
          </w:p>
        </w:tc>
        <w:tc>
          <w:tcPr>
            <w:tcW w:w="2500" w:type="dxa"/>
            <w:vAlign w:val="bottom"/>
          </w:tcPr>
          <w:p>
            <w:pPr>
              <w:jc w:val="center"/>
              <w:ind w:left="2128"/>
              <w:spacing w:after="0"/>
              <w:rPr>
                <w:sz w:val="20"/>
                <w:szCs w:val="20"/>
                <w:color w:val="auto"/>
              </w:rPr>
            </w:pPr>
            <w:r>
              <w:rPr>
                <w:rFonts w:ascii="Arial" w:cs="Arial" w:eastAsia="Arial" w:hAnsi="Arial"/>
                <w:sz w:val="14"/>
                <w:szCs w:val="14"/>
                <w:color w:val="auto"/>
                <w:w w:val="89"/>
              </w:rPr>
              <w:t>11</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3.9</w:t>
            </w:r>
          </w:p>
        </w:tc>
        <w:tc>
          <w:tcPr>
            <w:tcW w:w="7000" w:type="dxa"/>
            <w:vAlign w:val="bottom"/>
          </w:tcPr>
          <w:p>
            <w:pPr>
              <w:spacing w:after="0"/>
              <w:rPr>
                <w:sz w:val="20"/>
                <w:szCs w:val="20"/>
                <w:color w:val="auto"/>
              </w:rPr>
            </w:pPr>
            <w:r>
              <w:rPr>
                <w:rFonts w:ascii="Arial" w:cs="Arial" w:eastAsia="Arial" w:hAnsi="Arial"/>
                <w:sz w:val="14"/>
                <w:szCs w:val="14"/>
                <w:color w:val="auto"/>
              </w:rPr>
              <w:t>BOARD ACTION BY WRITTEN CONSENT WITHOUT A MEETING</w:t>
            </w:r>
          </w:p>
        </w:tc>
        <w:tc>
          <w:tcPr>
            <w:tcW w:w="2500" w:type="dxa"/>
            <w:vAlign w:val="bottom"/>
          </w:tcPr>
          <w:p>
            <w:pPr>
              <w:jc w:val="center"/>
              <w:ind w:left="2128"/>
              <w:spacing w:after="0"/>
              <w:rPr>
                <w:sz w:val="20"/>
                <w:szCs w:val="20"/>
                <w:color w:val="auto"/>
              </w:rPr>
            </w:pPr>
            <w:r>
              <w:rPr>
                <w:rFonts w:ascii="Arial" w:cs="Arial" w:eastAsia="Arial" w:hAnsi="Arial"/>
                <w:sz w:val="14"/>
                <w:szCs w:val="14"/>
                <w:color w:val="auto"/>
                <w:w w:val="89"/>
              </w:rPr>
              <w:t>11</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3.10</w:t>
            </w:r>
          </w:p>
        </w:tc>
        <w:tc>
          <w:tcPr>
            <w:tcW w:w="7000" w:type="dxa"/>
            <w:vAlign w:val="bottom"/>
          </w:tcPr>
          <w:p>
            <w:pPr>
              <w:spacing w:after="0"/>
              <w:rPr>
                <w:sz w:val="20"/>
                <w:szCs w:val="20"/>
                <w:color w:val="auto"/>
              </w:rPr>
            </w:pPr>
            <w:r>
              <w:rPr>
                <w:rFonts w:ascii="Arial" w:cs="Arial" w:eastAsia="Arial" w:hAnsi="Arial"/>
                <w:sz w:val="14"/>
                <w:szCs w:val="14"/>
                <w:color w:val="auto"/>
              </w:rPr>
              <w:t>FEES AND COMPENSATION OF DIRECTORS</w:t>
            </w:r>
          </w:p>
        </w:tc>
        <w:tc>
          <w:tcPr>
            <w:tcW w:w="2500" w:type="dxa"/>
            <w:vAlign w:val="bottom"/>
          </w:tcPr>
          <w:p>
            <w:pPr>
              <w:jc w:val="center"/>
              <w:ind w:left="2128"/>
              <w:spacing w:after="0"/>
              <w:rPr>
                <w:sz w:val="20"/>
                <w:szCs w:val="20"/>
                <w:color w:val="auto"/>
              </w:rPr>
            </w:pPr>
            <w:r>
              <w:rPr>
                <w:rFonts w:ascii="Arial" w:cs="Arial" w:eastAsia="Arial" w:hAnsi="Arial"/>
                <w:sz w:val="14"/>
                <w:szCs w:val="14"/>
                <w:color w:val="auto"/>
                <w:w w:val="89"/>
              </w:rPr>
              <w:t>11</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3.11</w:t>
            </w:r>
          </w:p>
        </w:tc>
        <w:tc>
          <w:tcPr>
            <w:tcW w:w="7000" w:type="dxa"/>
            <w:vAlign w:val="bottom"/>
          </w:tcPr>
          <w:p>
            <w:pPr>
              <w:spacing w:after="0"/>
              <w:rPr>
                <w:sz w:val="20"/>
                <w:szCs w:val="20"/>
                <w:color w:val="auto"/>
              </w:rPr>
            </w:pPr>
            <w:r>
              <w:rPr>
                <w:rFonts w:ascii="Arial" w:cs="Arial" w:eastAsia="Arial" w:hAnsi="Arial"/>
                <w:sz w:val="14"/>
                <w:szCs w:val="14"/>
                <w:color w:val="auto"/>
              </w:rPr>
              <w:t>REMOVAL OF DIRECTORS</w:t>
            </w:r>
          </w:p>
        </w:tc>
        <w:tc>
          <w:tcPr>
            <w:tcW w:w="2500" w:type="dxa"/>
            <w:vAlign w:val="bottom"/>
          </w:tcPr>
          <w:p>
            <w:pPr>
              <w:jc w:val="center"/>
              <w:ind w:left="2128"/>
              <w:spacing w:after="0"/>
              <w:rPr>
                <w:sz w:val="20"/>
                <w:szCs w:val="20"/>
                <w:color w:val="auto"/>
              </w:rPr>
            </w:pPr>
            <w:r>
              <w:rPr>
                <w:rFonts w:ascii="Arial" w:cs="Arial" w:eastAsia="Arial" w:hAnsi="Arial"/>
                <w:sz w:val="14"/>
                <w:szCs w:val="14"/>
                <w:color w:val="auto"/>
                <w:w w:val="89"/>
              </w:rPr>
              <w:t>11</w:t>
            </w:r>
          </w:p>
        </w:tc>
      </w:tr>
      <w:tr>
        <w:trPr>
          <w:trHeight w:val="260"/>
        </w:trPr>
        <w:tc>
          <w:tcPr>
            <w:tcW w:w="8540" w:type="dxa"/>
            <w:vAlign w:val="bottom"/>
            <w:gridSpan w:val="2"/>
          </w:tcPr>
          <w:p>
            <w:pPr>
              <w:spacing w:after="0"/>
              <w:rPr>
                <w:sz w:val="20"/>
                <w:szCs w:val="20"/>
                <w:color w:val="auto"/>
              </w:rPr>
            </w:pPr>
            <w:r>
              <w:rPr>
                <w:rFonts w:ascii="Arial" w:cs="Arial" w:eastAsia="Arial" w:hAnsi="Arial"/>
                <w:sz w:val="14"/>
                <w:szCs w:val="14"/>
                <w:color w:val="auto"/>
              </w:rPr>
              <w:t>ARTICLE IV - COMMITTEES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12</w:t>
            </w:r>
          </w:p>
        </w:tc>
      </w:tr>
      <w:tr>
        <w:trPr>
          <w:trHeight w:val="260"/>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4.1</w:t>
            </w:r>
          </w:p>
        </w:tc>
        <w:tc>
          <w:tcPr>
            <w:tcW w:w="7000" w:type="dxa"/>
            <w:vAlign w:val="bottom"/>
          </w:tcPr>
          <w:p>
            <w:pPr>
              <w:spacing w:after="0"/>
              <w:rPr>
                <w:sz w:val="20"/>
                <w:szCs w:val="20"/>
                <w:color w:val="auto"/>
              </w:rPr>
            </w:pPr>
            <w:r>
              <w:rPr>
                <w:rFonts w:ascii="Arial" w:cs="Arial" w:eastAsia="Arial" w:hAnsi="Arial"/>
                <w:sz w:val="14"/>
                <w:szCs w:val="14"/>
                <w:color w:val="auto"/>
              </w:rPr>
              <w:t>COMMITTEES OF DIRECTORS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12</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4.2</w:t>
            </w:r>
          </w:p>
        </w:tc>
        <w:tc>
          <w:tcPr>
            <w:tcW w:w="7000" w:type="dxa"/>
            <w:vAlign w:val="bottom"/>
          </w:tcPr>
          <w:p>
            <w:pPr>
              <w:spacing w:after="0"/>
              <w:rPr>
                <w:sz w:val="20"/>
                <w:szCs w:val="20"/>
                <w:color w:val="auto"/>
              </w:rPr>
            </w:pPr>
            <w:r>
              <w:rPr>
                <w:rFonts w:ascii="Arial" w:cs="Arial" w:eastAsia="Arial" w:hAnsi="Arial"/>
                <w:sz w:val="14"/>
                <w:szCs w:val="14"/>
                <w:color w:val="auto"/>
              </w:rPr>
              <w:t>COMMITTEE MINUTES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12</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4.3</w:t>
            </w:r>
          </w:p>
        </w:tc>
        <w:tc>
          <w:tcPr>
            <w:tcW w:w="7000" w:type="dxa"/>
            <w:vAlign w:val="bottom"/>
          </w:tcPr>
          <w:p>
            <w:pPr>
              <w:spacing w:after="0"/>
              <w:rPr>
                <w:sz w:val="20"/>
                <w:szCs w:val="20"/>
                <w:color w:val="auto"/>
              </w:rPr>
            </w:pPr>
            <w:r>
              <w:rPr>
                <w:rFonts w:ascii="Arial" w:cs="Arial" w:eastAsia="Arial" w:hAnsi="Arial"/>
                <w:sz w:val="14"/>
                <w:szCs w:val="14"/>
                <w:color w:val="auto"/>
              </w:rPr>
              <w:t>MEETINGS AND ACTION OF COMMITTEES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12</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4.4</w:t>
            </w:r>
          </w:p>
        </w:tc>
        <w:tc>
          <w:tcPr>
            <w:tcW w:w="7000" w:type="dxa"/>
            <w:vAlign w:val="bottom"/>
          </w:tcPr>
          <w:p>
            <w:pPr>
              <w:spacing w:after="0"/>
              <w:rPr>
                <w:sz w:val="20"/>
                <w:szCs w:val="20"/>
                <w:color w:val="auto"/>
              </w:rPr>
            </w:pPr>
            <w:r>
              <w:rPr>
                <w:rFonts w:ascii="Arial" w:cs="Arial" w:eastAsia="Arial" w:hAnsi="Arial"/>
                <w:sz w:val="14"/>
                <w:szCs w:val="14"/>
                <w:color w:val="auto"/>
              </w:rPr>
              <w:t>SUBCOMMITTEES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12</w:t>
            </w:r>
          </w:p>
        </w:tc>
      </w:tr>
      <w:tr>
        <w:trPr>
          <w:trHeight w:val="260"/>
        </w:trPr>
        <w:tc>
          <w:tcPr>
            <w:tcW w:w="1540" w:type="dxa"/>
            <w:vAlign w:val="bottom"/>
          </w:tcPr>
          <w:p>
            <w:pPr>
              <w:spacing w:after="0"/>
              <w:rPr>
                <w:sz w:val="20"/>
                <w:szCs w:val="20"/>
                <w:color w:val="auto"/>
              </w:rPr>
            </w:pPr>
            <w:r>
              <w:rPr>
                <w:rFonts w:ascii="Arial" w:cs="Arial" w:eastAsia="Arial" w:hAnsi="Arial"/>
                <w:sz w:val="14"/>
                <w:szCs w:val="14"/>
                <w:color w:val="auto"/>
                <w:w w:val="97"/>
              </w:rPr>
              <w:t>ARTICLE V - OFFICERS</w:t>
            </w:r>
          </w:p>
        </w:tc>
        <w:tc>
          <w:tcPr>
            <w:tcW w:w="7000" w:type="dxa"/>
            <w:vAlign w:val="bottom"/>
          </w:tcPr>
          <w:p>
            <w:pPr>
              <w:spacing w:after="0"/>
              <w:rPr>
                <w:sz w:val="22"/>
                <w:szCs w:val="22"/>
                <w:color w:val="auto"/>
              </w:rPr>
            </w:pP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13</w:t>
            </w:r>
          </w:p>
        </w:tc>
      </w:tr>
      <w:tr>
        <w:trPr>
          <w:trHeight w:val="260"/>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5.1</w:t>
            </w:r>
          </w:p>
        </w:tc>
        <w:tc>
          <w:tcPr>
            <w:tcW w:w="7000" w:type="dxa"/>
            <w:vAlign w:val="bottom"/>
          </w:tcPr>
          <w:p>
            <w:pPr>
              <w:spacing w:after="0"/>
              <w:rPr>
                <w:sz w:val="20"/>
                <w:szCs w:val="20"/>
                <w:color w:val="auto"/>
              </w:rPr>
            </w:pPr>
            <w:r>
              <w:rPr>
                <w:rFonts w:ascii="Arial" w:cs="Arial" w:eastAsia="Arial" w:hAnsi="Arial"/>
                <w:sz w:val="14"/>
                <w:szCs w:val="14"/>
                <w:color w:val="auto"/>
              </w:rPr>
              <w:t>OFFICERS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13</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5.2</w:t>
            </w:r>
          </w:p>
        </w:tc>
        <w:tc>
          <w:tcPr>
            <w:tcW w:w="7000" w:type="dxa"/>
            <w:vAlign w:val="bottom"/>
          </w:tcPr>
          <w:p>
            <w:pPr>
              <w:spacing w:after="0"/>
              <w:rPr>
                <w:sz w:val="20"/>
                <w:szCs w:val="20"/>
                <w:color w:val="auto"/>
              </w:rPr>
            </w:pPr>
            <w:r>
              <w:rPr>
                <w:rFonts w:ascii="Arial" w:cs="Arial" w:eastAsia="Arial" w:hAnsi="Arial"/>
                <w:sz w:val="14"/>
                <w:szCs w:val="14"/>
                <w:color w:val="auto"/>
              </w:rPr>
              <w:t>APPOINTMENT OF OFFICERS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13</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5.3</w:t>
            </w:r>
          </w:p>
        </w:tc>
        <w:tc>
          <w:tcPr>
            <w:tcW w:w="7000" w:type="dxa"/>
            <w:vAlign w:val="bottom"/>
          </w:tcPr>
          <w:p>
            <w:pPr>
              <w:spacing w:after="0"/>
              <w:rPr>
                <w:sz w:val="20"/>
                <w:szCs w:val="20"/>
                <w:color w:val="auto"/>
              </w:rPr>
            </w:pPr>
            <w:r>
              <w:rPr>
                <w:rFonts w:ascii="Arial" w:cs="Arial" w:eastAsia="Arial" w:hAnsi="Arial"/>
                <w:sz w:val="14"/>
                <w:szCs w:val="14"/>
                <w:color w:val="auto"/>
              </w:rPr>
              <w:t>SUBORDINATE OFFICERS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13</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5.4</w:t>
            </w:r>
          </w:p>
        </w:tc>
        <w:tc>
          <w:tcPr>
            <w:tcW w:w="7000" w:type="dxa"/>
            <w:vAlign w:val="bottom"/>
          </w:tcPr>
          <w:p>
            <w:pPr>
              <w:spacing w:after="0"/>
              <w:rPr>
                <w:sz w:val="20"/>
                <w:szCs w:val="20"/>
                <w:color w:val="auto"/>
              </w:rPr>
            </w:pPr>
            <w:r>
              <w:rPr>
                <w:rFonts w:ascii="Arial" w:cs="Arial" w:eastAsia="Arial" w:hAnsi="Arial"/>
                <w:sz w:val="14"/>
                <w:szCs w:val="14"/>
                <w:color w:val="auto"/>
              </w:rPr>
              <w:t>REMOVAL AND RESIGNATION OF OFFICERS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13</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5.5</w:t>
            </w:r>
          </w:p>
        </w:tc>
        <w:tc>
          <w:tcPr>
            <w:tcW w:w="7000" w:type="dxa"/>
            <w:vAlign w:val="bottom"/>
          </w:tcPr>
          <w:p>
            <w:pPr>
              <w:spacing w:after="0"/>
              <w:rPr>
                <w:sz w:val="20"/>
                <w:szCs w:val="20"/>
                <w:color w:val="auto"/>
              </w:rPr>
            </w:pPr>
            <w:r>
              <w:rPr>
                <w:rFonts w:ascii="Arial" w:cs="Arial" w:eastAsia="Arial" w:hAnsi="Arial"/>
                <w:sz w:val="14"/>
                <w:szCs w:val="14"/>
                <w:color w:val="auto"/>
              </w:rPr>
              <w:t>VACANCIES IN OFFICES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13</w:t>
            </w:r>
          </w:p>
        </w:tc>
      </w:tr>
      <w:tr>
        <w:trPr>
          <w:trHeight w:val="216"/>
        </w:trPr>
        <w:tc>
          <w:tcPr>
            <w:tcW w:w="1540" w:type="dxa"/>
            <w:vAlign w:val="bottom"/>
          </w:tcPr>
          <w:p>
            <w:pPr>
              <w:jc w:val="right"/>
              <w:ind w:right="548"/>
              <w:spacing w:after="0"/>
              <w:rPr>
                <w:sz w:val="20"/>
                <w:szCs w:val="20"/>
                <w:color w:val="auto"/>
              </w:rPr>
            </w:pPr>
            <w:r>
              <w:rPr>
                <w:rFonts w:ascii="Arial" w:cs="Arial" w:eastAsia="Arial" w:hAnsi="Arial"/>
                <w:sz w:val="14"/>
                <w:szCs w:val="14"/>
                <w:color w:val="auto"/>
              </w:rPr>
              <w:t>5.6</w:t>
            </w:r>
          </w:p>
        </w:tc>
        <w:tc>
          <w:tcPr>
            <w:tcW w:w="7000" w:type="dxa"/>
            <w:vAlign w:val="bottom"/>
          </w:tcPr>
          <w:p>
            <w:pPr>
              <w:spacing w:after="0"/>
              <w:rPr>
                <w:sz w:val="20"/>
                <w:szCs w:val="20"/>
                <w:color w:val="auto"/>
              </w:rPr>
            </w:pPr>
            <w:r>
              <w:rPr>
                <w:rFonts w:ascii="Arial" w:cs="Arial" w:eastAsia="Arial" w:hAnsi="Arial"/>
                <w:sz w:val="14"/>
                <w:szCs w:val="14"/>
                <w:color w:val="auto"/>
              </w:rPr>
              <w:t>REPRESENTATION OF SECURITIES OF OTHER ENTITIES</w:t>
            </w:r>
          </w:p>
        </w:tc>
        <w:tc>
          <w:tcPr>
            <w:tcW w:w="2500" w:type="dxa"/>
            <w:vAlign w:val="bottom"/>
          </w:tcPr>
          <w:p>
            <w:pPr>
              <w:jc w:val="center"/>
              <w:ind w:left="2148"/>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040"/>
          </w:cols>
          <w:pgMar w:left="320" w:top="136" w:right="5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7160" w:type="dxa"/>
            <w:vAlign w:val="bottom"/>
          </w:tcPr>
          <w:p>
            <w:pPr>
              <w:ind w:left="3400"/>
              <w:spacing w:after="0"/>
              <w:rPr>
                <w:sz w:val="20"/>
                <w:szCs w:val="20"/>
                <w:color w:val="auto"/>
              </w:rPr>
            </w:pPr>
            <w:r>
              <w:rPr>
                <w:rFonts w:ascii="Arial" w:cs="Arial" w:eastAsia="Arial" w:hAnsi="Arial"/>
                <w:sz w:val="14"/>
                <w:szCs w:val="14"/>
                <w:b w:val="1"/>
                <w:bCs w:val="1"/>
                <w:color w:val="auto"/>
              </w:rPr>
              <w:t>TABLE OF CONTENTS</w:t>
            </w:r>
          </w:p>
        </w:tc>
        <w:tc>
          <w:tcPr>
            <w:tcW w:w="2360" w:type="dxa"/>
            <w:vAlign w:val="bottom"/>
          </w:tcPr>
          <w:p>
            <w:pPr>
              <w:spacing w:after="0"/>
              <w:rPr>
                <w:sz w:val="16"/>
                <w:szCs w:val="16"/>
                <w:color w:val="auto"/>
              </w:rPr>
            </w:pPr>
          </w:p>
        </w:tc>
      </w:tr>
      <w:tr>
        <w:trPr>
          <w:trHeight w:val="195"/>
        </w:trPr>
        <w:tc>
          <w:tcPr>
            <w:tcW w:w="1460" w:type="dxa"/>
            <w:vAlign w:val="bottom"/>
          </w:tcPr>
          <w:p>
            <w:pPr>
              <w:spacing w:after="0"/>
              <w:rPr>
                <w:sz w:val="16"/>
                <w:szCs w:val="16"/>
                <w:color w:val="auto"/>
              </w:rPr>
            </w:pPr>
          </w:p>
        </w:tc>
        <w:tc>
          <w:tcPr>
            <w:tcW w:w="7160" w:type="dxa"/>
            <w:vAlign w:val="bottom"/>
          </w:tcPr>
          <w:p>
            <w:pPr>
              <w:ind w:left="3820"/>
              <w:spacing w:after="0"/>
              <w:rPr>
                <w:sz w:val="20"/>
                <w:szCs w:val="20"/>
                <w:color w:val="auto"/>
              </w:rPr>
            </w:pPr>
            <w:r>
              <w:rPr>
                <w:rFonts w:ascii="Arial" w:cs="Arial" w:eastAsia="Arial" w:hAnsi="Arial"/>
                <w:sz w:val="14"/>
                <w:szCs w:val="14"/>
                <w:b w:val="1"/>
                <w:bCs w:val="1"/>
                <w:color w:val="auto"/>
              </w:rPr>
              <w:t>(continued)</w:t>
            </w:r>
          </w:p>
        </w:tc>
        <w:tc>
          <w:tcPr>
            <w:tcW w:w="2360" w:type="dxa"/>
            <w:vAlign w:val="bottom"/>
          </w:tcPr>
          <w:p>
            <w:pPr>
              <w:spacing w:after="0"/>
              <w:rPr>
                <w:sz w:val="16"/>
                <w:szCs w:val="16"/>
                <w:color w:val="auto"/>
              </w:rPr>
            </w:pPr>
          </w:p>
        </w:tc>
      </w:tr>
      <w:tr>
        <w:trPr>
          <w:trHeight w:val="87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5.7</w:t>
            </w:r>
          </w:p>
        </w:tc>
        <w:tc>
          <w:tcPr>
            <w:tcW w:w="7160" w:type="dxa"/>
            <w:vAlign w:val="bottom"/>
          </w:tcPr>
          <w:p>
            <w:pPr>
              <w:ind w:left="80"/>
              <w:spacing w:after="0"/>
              <w:rPr>
                <w:sz w:val="20"/>
                <w:szCs w:val="20"/>
                <w:color w:val="auto"/>
              </w:rPr>
            </w:pPr>
            <w:r>
              <w:rPr>
                <w:rFonts w:ascii="Arial" w:cs="Arial" w:eastAsia="Arial" w:hAnsi="Arial"/>
                <w:sz w:val="14"/>
                <w:szCs w:val="14"/>
                <w:color w:val="auto"/>
              </w:rPr>
              <w:t>AUTHORITY AND DUTIES OF OFFICERS</w:t>
            </w:r>
          </w:p>
        </w:tc>
        <w:tc>
          <w:tcPr>
            <w:tcW w:w="23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60"/>
        </w:trPr>
        <w:tc>
          <w:tcPr>
            <w:tcW w:w="1460" w:type="dxa"/>
            <w:vAlign w:val="bottom"/>
          </w:tcPr>
          <w:p>
            <w:pPr>
              <w:spacing w:after="0"/>
              <w:rPr>
                <w:sz w:val="20"/>
                <w:szCs w:val="20"/>
                <w:color w:val="auto"/>
              </w:rPr>
            </w:pPr>
            <w:r>
              <w:rPr>
                <w:rFonts w:ascii="Arial" w:cs="Arial" w:eastAsia="Arial" w:hAnsi="Arial"/>
                <w:sz w:val="14"/>
                <w:szCs w:val="14"/>
                <w:color w:val="auto"/>
              </w:rPr>
              <w:t>ARTICLE VI - STOCK</w:t>
            </w:r>
          </w:p>
        </w:tc>
        <w:tc>
          <w:tcPr>
            <w:tcW w:w="7160" w:type="dxa"/>
            <w:vAlign w:val="bottom"/>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60"/>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6.1</w:t>
            </w:r>
          </w:p>
        </w:tc>
        <w:tc>
          <w:tcPr>
            <w:tcW w:w="7160" w:type="dxa"/>
            <w:vAlign w:val="bottom"/>
          </w:tcPr>
          <w:p>
            <w:pPr>
              <w:ind w:left="80"/>
              <w:spacing w:after="0"/>
              <w:rPr>
                <w:sz w:val="20"/>
                <w:szCs w:val="20"/>
                <w:color w:val="auto"/>
              </w:rPr>
            </w:pPr>
            <w:r>
              <w:rPr>
                <w:rFonts w:ascii="Arial" w:cs="Arial" w:eastAsia="Arial" w:hAnsi="Arial"/>
                <w:sz w:val="14"/>
                <w:szCs w:val="14"/>
                <w:color w:val="auto"/>
              </w:rPr>
              <w:t>STOCK CERTIFICATES; PARTLY PAID SHARES</w:t>
            </w:r>
          </w:p>
        </w:tc>
        <w:tc>
          <w:tcPr>
            <w:tcW w:w="23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6.2</w:t>
            </w:r>
          </w:p>
        </w:tc>
        <w:tc>
          <w:tcPr>
            <w:tcW w:w="7160" w:type="dxa"/>
            <w:vAlign w:val="bottom"/>
          </w:tcPr>
          <w:p>
            <w:pPr>
              <w:ind w:left="80"/>
              <w:spacing w:after="0"/>
              <w:rPr>
                <w:sz w:val="20"/>
                <w:szCs w:val="20"/>
                <w:color w:val="auto"/>
              </w:rPr>
            </w:pPr>
            <w:r>
              <w:rPr>
                <w:rFonts w:ascii="Arial" w:cs="Arial" w:eastAsia="Arial" w:hAnsi="Arial"/>
                <w:sz w:val="14"/>
                <w:szCs w:val="14"/>
                <w:color w:val="auto"/>
              </w:rPr>
              <w:t>SPECIAL DESIGNATION ON CERTIFICATES</w:t>
            </w:r>
          </w:p>
        </w:tc>
        <w:tc>
          <w:tcPr>
            <w:tcW w:w="23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6.3</w:t>
            </w:r>
          </w:p>
        </w:tc>
        <w:tc>
          <w:tcPr>
            <w:tcW w:w="7160" w:type="dxa"/>
            <w:vAlign w:val="bottom"/>
          </w:tcPr>
          <w:p>
            <w:pPr>
              <w:ind w:left="80"/>
              <w:spacing w:after="0"/>
              <w:rPr>
                <w:sz w:val="20"/>
                <w:szCs w:val="20"/>
                <w:color w:val="auto"/>
              </w:rPr>
            </w:pPr>
            <w:r>
              <w:rPr>
                <w:rFonts w:ascii="Arial" w:cs="Arial" w:eastAsia="Arial" w:hAnsi="Arial"/>
                <w:sz w:val="14"/>
                <w:szCs w:val="14"/>
                <w:color w:val="auto"/>
              </w:rPr>
              <w:t>LOST CERTIFICATES</w:t>
            </w:r>
          </w:p>
        </w:tc>
        <w:tc>
          <w:tcPr>
            <w:tcW w:w="23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6.4</w:t>
            </w:r>
          </w:p>
        </w:tc>
        <w:tc>
          <w:tcPr>
            <w:tcW w:w="7160" w:type="dxa"/>
            <w:vAlign w:val="bottom"/>
          </w:tcPr>
          <w:p>
            <w:pPr>
              <w:ind w:left="80"/>
              <w:spacing w:after="0"/>
              <w:rPr>
                <w:sz w:val="20"/>
                <w:szCs w:val="20"/>
                <w:color w:val="auto"/>
              </w:rPr>
            </w:pPr>
            <w:r>
              <w:rPr>
                <w:rFonts w:ascii="Arial" w:cs="Arial" w:eastAsia="Arial" w:hAnsi="Arial"/>
                <w:sz w:val="14"/>
                <w:szCs w:val="14"/>
                <w:color w:val="auto"/>
              </w:rPr>
              <w:t>DIVIDENDS</w:t>
            </w:r>
          </w:p>
        </w:tc>
        <w:tc>
          <w:tcPr>
            <w:tcW w:w="23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6.5</w:t>
            </w:r>
          </w:p>
        </w:tc>
        <w:tc>
          <w:tcPr>
            <w:tcW w:w="7160" w:type="dxa"/>
            <w:vAlign w:val="bottom"/>
          </w:tcPr>
          <w:p>
            <w:pPr>
              <w:ind w:left="80"/>
              <w:spacing w:after="0"/>
              <w:rPr>
                <w:sz w:val="20"/>
                <w:szCs w:val="20"/>
                <w:color w:val="auto"/>
              </w:rPr>
            </w:pPr>
            <w:r>
              <w:rPr>
                <w:rFonts w:ascii="Arial" w:cs="Arial" w:eastAsia="Arial" w:hAnsi="Arial"/>
                <w:sz w:val="14"/>
                <w:szCs w:val="14"/>
                <w:color w:val="auto"/>
              </w:rPr>
              <w:t>TRANSFER OF STOCK</w:t>
            </w:r>
          </w:p>
        </w:tc>
        <w:tc>
          <w:tcPr>
            <w:tcW w:w="23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6.6</w:t>
            </w:r>
          </w:p>
        </w:tc>
        <w:tc>
          <w:tcPr>
            <w:tcW w:w="7160" w:type="dxa"/>
            <w:vAlign w:val="bottom"/>
          </w:tcPr>
          <w:p>
            <w:pPr>
              <w:ind w:left="80"/>
              <w:spacing w:after="0"/>
              <w:rPr>
                <w:sz w:val="20"/>
                <w:szCs w:val="20"/>
                <w:color w:val="auto"/>
              </w:rPr>
            </w:pPr>
            <w:r>
              <w:rPr>
                <w:rFonts w:ascii="Arial" w:cs="Arial" w:eastAsia="Arial" w:hAnsi="Arial"/>
                <w:sz w:val="14"/>
                <w:szCs w:val="14"/>
                <w:color w:val="auto"/>
              </w:rPr>
              <w:t>STOCK TRANSFER AGREEMENTS</w:t>
            </w:r>
          </w:p>
        </w:tc>
        <w:tc>
          <w:tcPr>
            <w:tcW w:w="23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6.7</w:t>
            </w:r>
          </w:p>
        </w:tc>
        <w:tc>
          <w:tcPr>
            <w:tcW w:w="7160" w:type="dxa"/>
            <w:vAlign w:val="bottom"/>
          </w:tcPr>
          <w:p>
            <w:pPr>
              <w:ind w:left="80"/>
              <w:spacing w:after="0"/>
              <w:rPr>
                <w:sz w:val="20"/>
                <w:szCs w:val="20"/>
                <w:color w:val="auto"/>
              </w:rPr>
            </w:pPr>
            <w:r>
              <w:rPr>
                <w:rFonts w:ascii="Arial" w:cs="Arial" w:eastAsia="Arial" w:hAnsi="Arial"/>
                <w:sz w:val="14"/>
                <w:szCs w:val="14"/>
                <w:color w:val="auto"/>
              </w:rPr>
              <w:t>REGISTERED STOCKHOLDERS</w:t>
            </w:r>
          </w:p>
        </w:tc>
        <w:tc>
          <w:tcPr>
            <w:tcW w:w="23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6.8</w:t>
            </w:r>
          </w:p>
        </w:tc>
        <w:tc>
          <w:tcPr>
            <w:tcW w:w="7160" w:type="dxa"/>
            <w:vAlign w:val="bottom"/>
          </w:tcPr>
          <w:p>
            <w:pPr>
              <w:ind w:left="80"/>
              <w:spacing w:after="0"/>
              <w:rPr>
                <w:sz w:val="20"/>
                <w:szCs w:val="20"/>
                <w:color w:val="auto"/>
              </w:rPr>
            </w:pPr>
            <w:r>
              <w:rPr>
                <w:rFonts w:ascii="Arial" w:cs="Arial" w:eastAsia="Arial" w:hAnsi="Arial"/>
                <w:sz w:val="14"/>
                <w:szCs w:val="14"/>
                <w:color w:val="auto"/>
              </w:rPr>
              <w:t>LOCK-UP</w:t>
            </w:r>
          </w:p>
        </w:tc>
        <w:tc>
          <w:tcPr>
            <w:tcW w:w="23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60"/>
        </w:trPr>
        <w:tc>
          <w:tcPr>
            <w:tcW w:w="8620" w:type="dxa"/>
            <w:vAlign w:val="bottom"/>
            <w:gridSpan w:val="2"/>
          </w:tcPr>
          <w:p>
            <w:pPr>
              <w:spacing w:after="0"/>
              <w:rPr>
                <w:sz w:val="20"/>
                <w:szCs w:val="20"/>
                <w:color w:val="auto"/>
              </w:rPr>
            </w:pPr>
            <w:r>
              <w:rPr>
                <w:rFonts w:ascii="Arial" w:cs="Arial" w:eastAsia="Arial" w:hAnsi="Arial"/>
                <w:sz w:val="14"/>
                <w:szCs w:val="14"/>
                <w:color w:val="auto"/>
              </w:rPr>
              <w:t>ARTICLE VII - MANNER OF GIVING NOTICE AND WAIVER</w:t>
            </w:r>
          </w:p>
        </w:tc>
        <w:tc>
          <w:tcPr>
            <w:tcW w:w="2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60"/>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7.1</w:t>
            </w:r>
          </w:p>
        </w:tc>
        <w:tc>
          <w:tcPr>
            <w:tcW w:w="7160" w:type="dxa"/>
            <w:vAlign w:val="bottom"/>
          </w:tcPr>
          <w:p>
            <w:pPr>
              <w:ind w:left="80"/>
              <w:spacing w:after="0"/>
              <w:rPr>
                <w:sz w:val="20"/>
                <w:szCs w:val="20"/>
                <w:color w:val="auto"/>
              </w:rPr>
            </w:pPr>
            <w:r>
              <w:rPr>
                <w:rFonts w:ascii="Arial" w:cs="Arial" w:eastAsia="Arial" w:hAnsi="Arial"/>
                <w:sz w:val="14"/>
                <w:szCs w:val="14"/>
                <w:color w:val="auto"/>
              </w:rPr>
              <w:t>NOTICE OF STOCKHOLDERS’ MEETINGS</w:t>
            </w:r>
          </w:p>
        </w:tc>
        <w:tc>
          <w:tcPr>
            <w:tcW w:w="2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7.2</w:t>
            </w:r>
          </w:p>
        </w:tc>
        <w:tc>
          <w:tcPr>
            <w:tcW w:w="7160" w:type="dxa"/>
            <w:vAlign w:val="bottom"/>
          </w:tcPr>
          <w:p>
            <w:pPr>
              <w:ind w:left="80"/>
              <w:spacing w:after="0"/>
              <w:rPr>
                <w:sz w:val="20"/>
                <w:szCs w:val="20"/>
                <w:color w:val="auto"/>
              </w:rPr>
            </w:pPr>
            <w:r>
              <w:rPr>
                <w:rFonts w:ascii="Arial" w:cs="Arial" w:eastAsia="Arial" w:hAnsi="Arial"/>
                <w:sz w:val="14"/>
                <w:szCs w:val="14"/>
                <w:color w:val="auto"/>
              </w:rPr>
              <w:t>NOTICE TO STOCKHOLDERS SHARING AN ADDRESS</w:t>
            </w:r>
          </w:p>
        </w:tc>
        <w:tc>
          <w:tcPr>
            <w:tcW w:w="2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7.3</w:t>
            </w:r>
          </w:p>
        </w:tc>
        <w:tc>
          <w:tcPr>
            <w:tcW w:w="7160" w:type="dxa"/>
            <w:vAlign w:val="bottom"/>
          </w:tcPr>
          <w:p>
            <w:pPr>
              <w:ind w:left="80"/>
              <w:spacing w:after="0"/>
              <w:rPr>
                <w:sz w:val="20"/>
                <w:szCs w:val="20"/>
                <w:color w:val="auto"/>
              </w:rPr>
            </w:pPr>
            <w:r>
              <w:rPr>
                <w:rFonts w:ascii="Arial" w:cs="Arial" w:eastAsia="Arial" w:hAnsi="Arial"/>
                <w:sz w:val="14"/>
                <w:szCs w:val="14"/>
                <w:color w:val="auto"/>
              </w:rPr>
              <w:t>NOTICE TO PERSON WITH WHOM COMMUNICATION IS UNLAWFUL</w:t>
            </w:r>
          </w:p>
        </w:tc>
        <w:tc>
          <w:tcPr>
            <w:tcW w:w="2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7.4</w:t>
            </w:r>
          </w:p>
        </w:tc>
        <w:tc>
          <w:tcPr>
            <w:tcW w:w="7160" w:type="dxa"/>
            <w:vAlign w:val="bottom"/>
          </w:tcPr>
          <w:p>
            <w:pPr>
              <w:ind w:left="80"/>
              <w:spacing w:after="0"/>
              <w:rPr>
                <w:sz w:val="20"/>
                <w:szCs w:val="20"/>
                <w:color w:val="auto"/>
              </w:rPr>
            </w:pPr>
            <w:r>
              <w:rPr>
                <w:rFonts w:ascii="Arial" w:cs="Arial" w:eastAsia="Arial" w:hAnsi="Arial"/>
                <w:sz w:val="14"/>
                <w:szCs w:val="14"/>
                <w:color w:val="auto"/>
              </w:rPr>
              <w:t>WAIVER OF NOTICE</w:t>
            </w:r>
          </w:p>
        </w:tc>
        <w:tc>
          <w:tcPr>
            <w:tcW w:w="2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60"/>
        </w:trPr>
        <w:tc>
          <w:tcPr>
            <w:tcW w:w="8620" w:type="dxa"/>
            <w:vAlign w:val="bottom"/>
            <w:gridSpan w:val="2"/>
          </w:tcPr>
          <w:p>
            <w:pPr>
              <w:spacing w:after="0"/>
              <w:rPr>
                <w:sz w:val="20"/>
                <w:szCs w:val="20"/>
                <w:color w:val="auto"/>
              </w:rPr>
            </w:pPr>
            <w:r>
              <w:rPr>
                <w:rFonts w:ascii="Arial" w:cs="Arial" w:eastAsia="Arial" w:hAnsi="Arial"/>
                <w:sz w:val="14"/>
                <w:szCs w:val="14"/>
                <w:color w:val="auto"/>
              </w:rPr>
              <w:t>ARTICLE VIII - INDEMNIFICATION</w:t>
            </w:r>
          </w:p>
        </w:tc>
        <w:tc>
          <w:tcPr>
            <w:tcW w:w="2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60"/>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8.1</w:t>
            </w:r>
          </w:p>
        </w:tc>
        <w:tc>
          <w:tcPr>
            <w:tcW w:w="7160" w:type="dxa"/>
            <w:vAlign w:val="bottom"/>
          </w:tcPr>
          <w:p>
            <w:pPr>
              <w:ind w:left="80"/>
              <w:spacing w:after="0"/>
              <w:rPr>
                <w:sz w:val="20"/>
                <w:szCs w:val="20"/>
                <w:color w:val="auto"/>
              </w:rPr>
            </w:pPr>
            <w:r>
              <w:rPr>
                <w:rFonts w:ascii="Arial" w:cs="Arial" w:eastAsia="Arial" w:hAnsi="Arial"/>
                <w:sz w:val="14"/>
                <w:szCs w:val="14"/>
                <w:color w:val="auto"/>
              </w:rPr>
              <w:t>Indemnification of Directors and Officers in Third Party Proceedings</w:t>
            </w:r>
          </w:p>
        </w:tc>
        <w:tc>
          <w:tcPr>
            <w:tcW w:w="23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8.2</w:t>
            </w:r>
          </w:p>
        </w:tc>
        <w:tc>
          <w:tcPr>
            <w:tcW w:w="7160" w:type="dxa"/>
            <w:vAlign w:val="bottom"/>
          </w:tcPr>
          <w:p>
            <w:pPr>
              <w:ind w:left="80"/>
              <w:spacing w:after="0"/>
              <w:rPr>
                <w:sz w:val="20"/>
                <w:szCs w:val="20"/>
                <w:color w:val="auto"/>
              </w:rPr>
            </w:pPr>
            <w:r>
              <w:rPr>
                <w:rFonts w:ascii="Arial" w:cs="Arial" w:eastAsia="Arial" w:hAnsi="Arial"/>
                <w:sz w:val="14"/>
                <w:szCs w:val="14"/>
                <w:color w:val="auto"/>
              </w:rPr>
              <w:t>Successful Defense</w:t>
            </w:r>
          </w:p>
        </w:tc>
        <w:tc>
          <w:tcPr>
            <w:tcW w:w="23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8.3</w:t>
            </w:r>
          </w:p>
        </w:tc>
        <w:tc>
          <w:tcPr>
            <w:tcW w:w="7160" w:type="dxa"/>
            <w:vAlign w:val="bottom"/>
          </w:tcPr>
          <w:p>
            <w:pPr>
              <w:ind w:left="80"/>
              <w:spacing w:after="0"/>
              <w:rPr>
                <w:sz w:val="20"/>
                <w:szCs w:val="20"/>
                <w:color w:val="auto"/>
              </w:rPr>
            </w:pPr>
            <w:r>
              <w:rPr>
                <w:rFonts w:ascii="Arial" w:cs="Arial" w:eastAsia="Arial" w:hAnsi="Arial"/>
                <w:sz w:val="14"/>
                <w:szCs w:val="14"/>
                <w:color w:val="auto"/>
              </w:rPr>
              <w:t>Indemnification of Others</w:t>
            </w:r>
          </w:p>
        </w:tc>
        <w:tc>
          <w:tcPr>
            <w:tcW w:w="23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8.4</w:t>
            </w:r>
          </w:p>
        </w:tc>
        <w:tc>
          <w:tcPr>
            <w:tcW w:w="7160" w:type="dxa"/>
            <w:vAlign w:val="bottom"/>
          </w:tcPr>
          <w:p>
            <w:pPr>
              <w:ind w:left="80"/>
              <w:spacing w:after="0"/>
              <w:rPr>
                <w:sz w:val="20"/>
                <w:szCs w:val="20"/>
                <w:color w:val="auto"/>
              </w:rPr>
            </w:pPr>
            <w:r>
              <w:rPr>
                <w:rFonts w:ascii="Arial" w:cs="Arial" w:eastAsia="Arial" w:hAnsi="Arial"/>
                <w:sz w:val="14"/>
                <w:szCs w:val="14"/>
                <w:color w:val="auto"/>
              </w:rPr>
              <w:t>Advanced Payment of Expenses</w:t>
            </w:r>
          </w:p>
        </w:tc>
        <w:tc>
          <w:tcPr>
            <w:tcW w:w="23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8.5</w:t>
            </w:r>
          </w:p>
        </w:tc>
        <w:tc>
          <w:tcPr>
            <w:tcW w:w="7160" w:type="dxa"/>
            <w:vAlign w:val="bottom"/>
          </w:tcPr>
          <w:p>
            <w:pPr>
              <w:ind w:left="80"/>
              <w:spacing w:after="0"/>
              <w:rPr>
                <w:sz w:val="20"/>
                <w:szCs w:val="20"/>
                <w:color w:val="auto"/>
              </w:rPr>
            </w:pPr>
            <w:r>
              <w:rPr>
                <w:rFonts w:ascii="Arial" w:cs="Arial" w:eastAsia="Arial" w:hAnsi="Arial"/>
                <w:sz w:val="14"/>
                <w:szCs w:val="14"/>
                <w:color w:val="auto"/>
              </w:rPr>
              <w:t>Advanced Payment of Expenses</w:t>
            </w:r>
          </w:p>
        </w:tc>
        <w:tc>
          <w:tcPr>
            <w:tcW w:w="23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8.6</w:t>
            </w:r>
          </w:p>
        </w:tc>
        <w:tc>
          <w:tcPr>
            <w:tcW w:w="7160" w:type="dxa"/>
            <w:vAlign w:val="bottom"/>
          </w:tcPr>
          <w:p>
            <w:pPr>
              <w:ind w:left="80"/>
              <w:spacing w:after="0"/>
              <w:rPr>
                <w:sz w:val="20"/>
                <w:szCs w:val="20"/>
                <w:color w:val="auto"/>
              </w:rPr>
            </w:pPr>
            <w:r>
              <w:rPr>
                <w:rFonts w:ascii="Arial" w:cs="Arial" w:eastAsia="Arial" w:hAnsi="Arial"/>
                <w:sz w:val="14"/>
                <w:szCs w:val="14"/>
                <w:color w:val="auto"/>
              </w:rPr>
              <w:t>Limitation on Indemnification</w:t>
            </w:r>
          </w:p>
        </w:tc>
        <w:tc>
          <w:tcPr>
            <w:tcW w:w="23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8.7</w:t>
            </w:r>
          </w:p>
        </w:tc>
        <w:tc>
          <w:tcPr>
            <w:tcW w:w="7160" w:type="dxa"/>
            <w:vAlign w:val="bottom"/>
          </w:tcPr>
          <w:p>
            <w:pPr>
              <w:ind w:left="80"/>
              <w:spacing w:after="0"/>
              <w:rPr>
                <w:sz w:val="20"/>
                <w:szCs w:val="20"/>
                <w:color w:val="auto"/>
              </w:rPr>
            </w:pPr>
            <w:r>
              <w:rPr>
                <w:rFonts w:ascii="Arial" w:cs="Arial" w:eastAsia="Arial" w:hAnsi="Arial"/>
                <w:sz w:val="14"/>
                <w:szCs w:val="14"/>
                <w:color w:val="auto"/>
              </w:rPr>
              <w:t>Determination; Claim</w:t>
            </w:r>
          </w:p>
        </w:tc>
        <w:tc>
          <w:tcPr>
            <w:tcW w:w="23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8.8</w:t>
            </w:r>
          </w:p>
        </w:tc>
        <w:tc>
          <w:tcPr>
            <w:tcW w:w="7160" w:type="dxa"/>
            <w:vAlign w:val="bottom"/>
          </w:tcPr>
          <w:p>
            <w:pPr>
              <w:ind w:left="80"/>
              <w:spacing w:after="0"/>
              <w:rPr>
                <w:sz w:val="20"/>
                <w:szCs w:val="20"/>
                <w:color w:val="auto"/>
              </w:rPr>
            </w:pPr>
            <w:r>
              <w:rPr>
                <w:rFonts w:ascii="Arial" w:cs="Arial" w:eastAsia="Arial" w:hAnsi="Arial"/>
                <w:sz w:val="14"/>
                <w:szCs w:val="14"/>
                <w:color w:val="auto"/>
              </w:rPr>
              <w:t>Non-Exclusivity of Rights</w:t>
            </w:r>
          </w:p>
        </w:tc>
        <w:tc>
          <w:tcPr>
            <w:tcW w:w="23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8.9</w:t>
            </w:r>
          </w:p>
        </w:tc>
        <w:tc>
          <w:tcPr>
            <w:tcW w:w="7160" w:type="dxa"/>
            <w:vAlign w:val="bottom"/>
          </w:tcPr>
          <w:p>
            <w:pPr>
              <w:ind w:left="80"/>
              <w:spacing w:after="0"/>
              <w:rPr>
                <w:sz w:val="20"/>
                <w:szCs w:val="20"/>
                <w:color w:val="auto"/>
              </w:rPr>
            </w:pPr>
            <w:r>
              <w:rPr>
                <w:rFonts w:ascii="Arial" w:cs="Arial" w:eastAsia="Arial" w:hAnsi="Arial"/>
                <w:sz w:val="14"/>
                <w:szCs w:val="14"/>
                <w:color w:val="auto"/>
              </w:rPr>
              <w:t>Insurance</w:t>
            </w:r>
          </w:p>
        </w:tc>
        <w:tc>
          <w:tcPr>
            <w:tcW w:w="2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8.10</w:t>
            </w:r>
          </w:p>
        </w:tc>
        <w:tc>
          <w:tcPr>
            <w:tcW w:w="7160" w:type="dxa"/>
            <w:vAlign w:val="bottom"/>
          </w:tcPr>
          <w:p>
            <w:pPr>
              <w:ind w:left="80"/>
              <w:spacing w:after="0"/>
              <w:rPr>
                <w:sz w:val="20"/>
                <w:szCs w:val="20"/>
                <w:color w:val="auto"/>
              </w:rPr>
            </w:pPr>
            <w:r>
              <w:rPr>
                <w:rFonts w:ascii="Arial" w:cs="Arial" w:eastAsia="Arial" w:hAnsi="Arial"/>
                <w:sz w:val="14"/>
                <w:szCs w:val="14"/>
                <w:color w:val="auto"/>
              </w:rPr>
              <w:t>Survival</w:t>
            </w:r>
          </w:p>
        </w:tc>
        <w:tc>
          <w:tcPr>
            <w:tcW w:w="2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8.11</w:t>
            </w:r>
          </w:p>
        </w:tc>
        <w:tc>
          <w:tcPr>
            <w:tcW w:w="7160" w:type="dxa"/>
            <w:vAlign w:val="bottom"/>
          </w:tcPr>
          <w:p>
            <w:pPr>
              <w:ind w:left="80"/>
              <w:spacing w:after="0"/>
              <w:rPr>
                <w:sz w:val="20"/>
                <w:szCs w:val="20"/>
                <w:color w:val="auto"/>
              </w:rPr>
            </w:pPr>
            <w:r>
              <w:rPr>
                <w:rFonts w:ascii="Arial" w:cs="Arial" w:eastAsia="Arial" w:hAnsi="Arial"/>
                <w:sz w:val="14"/>
                <w:szCs w:val="14"/>
                <w:color w:val="auto"/>
              </w:rPr>
              <w:t>Effect of Repeal or Modification</w:t>
            </w:r>
          </w:p>
        </w:tc>
        <w:tc>
          <w:tcPr>
            <w:tcW w:w="2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8.12</w:t>
            </w:r>
          </w:p>
        </w:tc>
        <w:tc>
          <w:tcPr>
            <w:tcW w:w="7160" w:type="dxa"/>
            <w:vAlign w:val="bottom"/>
          </w:tcPr>
          <w:p>
            <w:pPr>
              <w:ind w:left="80"/>
              <w:spacing w:after="0"/>
              <w:rPr>
                <w:sz w:val="20"/>
                <w:szCs w:val="20"/>
                <w:color w:val="auto"/>
              </w:rPr>
            </w:pPr>
            <w:r>
              <w:rPr>
                <w:rFonts w:ascii="Arial" w:cs="Arial" w:eastAsia="Arial" w:hAnsi="Arial"/>
                <w:sz w:val="14"/>
                <w:szCs w:val="14"/>
                <w:color w:val="auto"/>
              </w:rPr>
              <w:t>Certain Definitions</w:t>
            </w:r>
          </w:p>
        </w:tc>
        <w:tc>
          <w:tcPr>
            <w:tcW w:w="2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60"/>
        </w:trPr>
        <w:tc>
          <w:tcPr>
            <w:tcW w:w="8620" w:type="dxa"/>
            <w:vAlign w:val="bottom"/>
            <w:gridSpan w:val="2"/>
          </w:tcPr>
          <w:p>
            <w:pPr>
              <w:spacing w:after="0"/>
              <w:rPr>
                <w:sz w:val="20"/>
                <w:szCs w:val="20"/>
                <w:color w:val="auto"/>
              </w:rPr>
            </w:pPr>
            <w:r>
              <w:rPr>
                <w:rFonts w:ascii="Arial" w:cs="Arial" w:eastAsia="Arial" w:hAnsi="Arial"/>
                <w:sz w:val="14"/>
                <w:szCs w:val="14"/>
                <w:color w:val="auto"/>
              </w:rPr>
              <w:t>ARTICLE IX - GENERAL MATTERS</w:t>
            </w:r>
          </w:p>
        </w:tc>
        <w:tc>
          <w:tcPr>
            <w:tcW w:w="2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60"/>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9.1</w:t>
            </w:r>
          </w:p>
        </w:tc>
        <w:tc>
          <w:tcPr>
            <w:tcW w:w="7160" w:type="dxa"/>
            <w:vAlign w:val="bottom"/>
          </w:tcPr>
          <w:p>
            <w:pPr>
              <w:ind w:left="80"/>
              <w:spacing w:after="0"/>
              <w:rPr>
                <w:sz w:val="20"/>
                <w:szCs w:val="20"/>
                <w:color w:val="auto"/>
              </w:rPr>
            </w:pPr>
            <w:r>
              <w:rPr>
                <w:rFonts w:ascii="Arial" w:cs="Arial" w:eastAsia="Arial" w:hAnsi="Arial"/>
                <w:sz w:val="14"/>
                <w:szCs w:val="14"/>
                <w:color w:val="auto"/>
              </w:rPr>
              <w:t>EXECUTION OF CORPORATE CONTRACTS AND INSTRUMENTS</w:t>
            </w:r>
          </w:p>
        </w:tc>
        <w:tc>
          <w:tcPr>
            <w:tcW w:w="2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9.2</w:t>
            </w:r>
          </w:p>
        </w:tc>
        <w:tc>
          <w:tcPr>
            <w:tcW w:w="7160" w:type="dxa"/>
            <w:vAlign w:val="bottom"/>
          </w:tcPr>
          <w:p>
            <w:pPr>
              <w:ind w:left="80"/>
              <w:spacing w:after="0"/>
              <w:rPr>
                <w:sz w:val="20"/>
                <w:szCs w:val="20"/>
                <w:color w:val="auto"/>
              </w:rPr>
            </w:pPr>
            <w:r>
              <w:rPr>
                <w:rFonts w:ascii="Arial" w:cs="Arial" w:eastAsia="Arial" w:hAnsi="Arial"/>
                <w:sz w:val="14"/>
                <w:szCs w:val="14"/>
                <w:color w:val="auto"/>
              </w:rPr>
              <w:t>FISCAL YEAR</w:t>
            </w:r>
          </w:p>
        </w:tc>
        <w:tc>
          <w:tcPr>
            <w:tcW w:w="23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9.3</w:t>
            </w:r>
          </w:p>
        </w:tc>
        <w:tc>
          <w:tcPr>
            <w:tcW w:w="7160" w:type="dxa"/>
            <w:vAlign w:val="bottom"/>
          </w:tcPr>
          <w:p>
            <w:pPr>
              <w:ind w:left="80"/>
              <w:spacing w:after="0"/>
              <w:rPr>
                <w:sz w:val="20"/>
                <w:szCs w:val="20"/>
                <w:color w:val="auto"/>
              </w:rPr>
            </w:pPr>
            <w:r>
              <w:rPr>
                <w:rFonts w:ascii="Arial" w:cs="Arial" w:eastAsia="Arial" w:hAnsi="Arial"/>
                <w:sz w:val="14"/>
                <w:szCs w:val="14"/>
                <w:color w:val="auto"/>
              </w:rPr>
              <w:t>SEAL</w:t>
            </w:r>
          </w:p>
        </w:tc>
        <w:tc>
          <w:tcPr>
            <w:tcW w:w="23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9.4</w:t>
            </w:r>
          </w:p>
        </w:tc>
        <w:tc>
          <w:tcPr>
            <w:tcW w:w="7160" w:type="dxa"/>
            <w:vAlign w:val="bottom"/>
          </w:tcPr>
          <w:p>
            <w:pPr>
              <w:ind w:left="80"/>
              <w:spacing w:after="0"/>
              <w:rPr>
                <w:sz w:val="20"/>
                <w:szCs w:val="20"/>
                <w:color w:val="auto"/>
              </w:rPr>
            </w:pPr>
            <w:r>
              <w:rPr>
                <w:rFonts w:ascii="Arial" w:cs="Arial" w:eastAsia="Arial" w:hAnsi="Arial"/>
                <w:sz w:val="14"/>
                <w:szCs w:val="14"/>
                <w:color w:val="auto"/>
              </w:rPr>
              <w:t>CONSTRUCTION; DEFINITIONS</w:t>
            </w:r>
          </w:p>
        </w:tc>
        <w:tc>
          <w:tcPr>
            <w:tcW w:w="23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6"/>
        </w:trPr>
        <w:tc>
          <w:tcPr>
            <w:tcW w:w="1460" w:type="dxa"/>
            <w:vAlign w:val="bottom"/>
          </w:tcPr>
          <w:p>
            <w:pPr>
              <w:jc w:val="right"/>
              <w:ind w:right="468"/>
              <w:spacing w:after="0"/>
              <w:rPr>
                <w:sz w:val="20"/>
                <w:szCs w:val="20"/>
                <w:color w:val="auto"/>
              </w:rPr>
            </w:pPr>
            <w:r>
              <w:rPr>
                <w:rFonts w:ascii="Arial" w:cs="Arial" w:eastAsia="Arial" w:hAnsi="Arial"/>
                <w:sz w:val="14"/>
                <w:szCs w:val="14"/>
                <w:color w:val="auto"/>
              </w:rPr>
              <w:t>9.5</w:t>
            </w:r>
          </w:p>
        </w:tc>
        <w:tc>
          <w:tcPr>
            <w:tcW w:w="7160" w:type="dxa"/>
            <w:vAlign w:val="bottom"/>
          </w:tcPr>
          <w:p>
            <w:pPr>
              <w:ind w:left="80"/>
              <w:spacing w:after="0"/>
              <w:rPr>
                <w:sz w:val="20"/>
                <w:szCs w:val="20"/>
                <w:color w:val="auto"/>
              </w:rPr>
            </w:pPr>
            <w:r>
              <w:rPr>
                <w:rFonts w:ascii="Arial" w:cs="Arial" w:eastAsia="Arial" w:hAnsi="Arial"/>
                <w:sz w:val="14"/>
                <w:szCs w:val="14"/>
                <w:color w:val="auto"/>
              </w:rPr>
              <w:t>FORUM SELECTION</w:t>
            </w:r>
          </w:p>
        </w:tc>
        <w:tc>
          <w:tcPr>
            <w:tcW w:w="23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60"/>
        </w:trPr>
        <w:tc>
          <w:tcPr>
            <w:tcW w:w="8620" w:type="dxa"/>
            <w:vAlign w:val="bottom"/>
            <w:gridSpan w:val="2"/>
          </w:tcPr>
          <w:p>
            <w:pPr>
              <w:spacing w:after="0"/>
              <w:rPr>
                <w:sz w:val="20"/>
                <w:szCs w:val="20"/>
                <w:color w:val="auto"/>
              </w:rPr>
            </w:pPr>
            <w:r>
              <w:rPr>
                <w:rFonts w:ascii="Arial" w:cs="Arial" w:eastAsia="Arial" w:hAnsi="Arial"/>
                <w:sz w:val="14"/>
                <w:szCs w:val="14"/>
                <w:color w:val="auto"/>
              </w:rPr>
              <w:t>ARTICLE X - AMENDMENTS</w:t>
            </w:r>
          </w:p>
        </w:tc>
        <w:tc>
          <w:tcPr>
            <w:tcW w:w="2360" w:type="dxa"/>
            <w:vAlign w:val="bottom"/>
          </w:tcPr>
          <w:p>
            <w:pPr>
              <w:jc w:val="right"/>
              <w:spacing w:after="0"/>
              <w:rPr>
                <w:sz w:val="20"/>
                <w:szCs w:val="20"/>
                <w:color w:val="auto"/>
              </w:rPr>
            </w:pPr>
            <w:r>
              <w:rPr>
                <w:rFonts w:ascii="Arial" w:cs="Arial" w:eastAsia="Arial" w:hAnsi="Arial"/>
                <w:sz w:val="14"/>
                <w:szCs w:val="14"/>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980"/>
          </w:cols>
          <w:pgMar w:left="320" w:top="136" w:right="59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BYLAWS OF 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140970</wp:posOffset>
            </wp:positionV>
            <wp:extent cx="40811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extLst>
                    </a:blip>
                    <a:srcRect/>
                    <a:stretch>
                      <a:fillRect/>
                    </a:stretch>
                  </pic:blipFill>
                  <pic:spPr bwMode="auto">
                    <a:xfrm>
                      <a:off x="0" y="0"/>
                      <a:ext cx="4081145" cy="6985"/>
                    </a:xfrm>
                    <a:prstGeom prst="rect">
                      <a:avLst/>
                    </a:prstGeom>
                    <a:noFill/>
                  </pic:spPr>
                </pic:pic>
              </a:graphicData>
            </a:graphic>
          </wp:anchor>
        </w:drawing>
        <w:drawing>
          <wp:anchor simplePos="0" relativeHeight="251657728" behindDoc="1" locked="0" layoutInCell="0" allowOverlap="1">
            <wp:simplePos x="0" y="0"/>
            <wp:positionH relativeFrom="column">
              <wp:posOffset>1543050</wp:posOffset>
            </wp:positionH>
            <wp:positionV relativeFrom="paragraph">
              <wp:posOffset>113030</wp:posOffset>
            </wp:positionV>
            <wp:extent cx="40811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 - CORPORATE OFFICES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color w:val="auto"/>
        </w:rPr>
        <w:t>REGISTERED OFFICE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registered office of Nautilus Biotechnology, Inc. (the “</w:t>
      </w:r>
      <w:r>
        <w:rPr>
          <w:rFonts w:ascii="Arial" w:cs="Arial" w:eastAsia="Arial" w:hAnsi="Arial"/>
          <w:sz w:val="13"/>
          <w:szCs w:val="13"/>
          <w:b w:val="1"/>
          <w:bCs w:val="1"/>
          <w:color w:val="auto"/>
        </w:rPr>
        <w:t>Company</w:t>
      </w:r>
      <w:r>
        <w:rPr>
          <w:rFonts w:ascii="Arial" w:cs="Arial" w:eastAsia="Arial" w:hAnsi="Arial"/>
          <w:sz w:val="13"/>
          <w:szCs w:val="13"/>
          <w:color w:val="auto"/>
        </w:rPr>
        <w:t>”) shall be fixed in the Company’s certificate of incorporation, as the same may be amended from time to time.</w:t>
      </w:r>
    </w:p>
    <w:p>
      <w:pPr>
        <w:spacing w:after="0" w:line="15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3"/>
          <w:szCs w:val="13"/>
          <w:color w:val="auto"/>
        </w:rPr>
        <w:t>OTHER OFFICES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may at any time establish other offices.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 - MEETINGS OF STOCKHOLDERS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3"/>
          <w:szCs w:val="13"/>
          <w:color w:val="auto"/>
        </w:rPr>
        <w:t>PLACE OF MEETINGS</w:t>
      </w:r>
    </w:p>
    <w:p>
      <w:pPr>
        <w:spacing w:after="0" w:line="142"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Meetings of stockholders shall be held at a place, if any, within or outside the State of Delaware, determined by the board of directors of the Company (the “</w:t>
      </w:r>
      <w:r>
        <w:rPr>
          <w:rFonts w:ascii="Arial" w:cs="Arial" w:eastAsia="Arial" w:hAnsi="Arial"/>
          <w:sz w:val="14"/>
          <w:szCs w:val="14"/>
          <w:b w:val="1"/>
          <w:bCs w:val="1"/>
          <w:color w:val="auto"/>
        </w:rPr>
        <w:t>Board of Directors</w:t>
      </w:r>
      <w:r>
        <w:rPr>
          <w:rFonts w:ascii="Arial" w:cs="Arial" w:eastAsia="Arial" w:hAnsi="Arial"/>
          <w:sz w:val="14"/>
          <w:szCs w:val="14"/>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4"/>
          <w:szCs w:val="14"/>
          <w:b w:val="1"/>
          <w:bCs w:val="1"/>
          <w:color w:val="auto"/>
        </w:rPr>
        <w:t>DGCL</w:t>
      </w:r>
      <w:r>
        <w:rPr>
          <w:rFonts w:ascii="Arial" w:cs="Arial" w:eastAsia="Arial" w:hAnsi="Arial"/>
          <w:sz w:val="14"/>
          <w:szCs w:val="14"/>
          <w:color w:val="auto"/>
        </w:rPr>
        <w:t>”). In the absence of any such designation or determination, stockholders’ meetings shall be held at the Company’s principal executive office.</w:t>
      </w:r>
    </w:p>
    <w:p>
      <w:pPr>
        <w:spacing w:after="0" w:line="9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color w:val="auto"/>
        </w:rPr>
        <w:t>ANNUAL MEETING</w:t>
      </w:r>
    </w:p>
    <w:p>
      <w:pPr>
        <w:spacing w:after="0" w:line="146"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4"/>
          <w:szCs w:val="14"/>
          <w:b w:val="1"/>
          <w:bCs w:val="1"/>
          <w:color w:val="auto"/>
        </w:rPr>
        <w:t>Whole Board</w:t>
      </w:r>
      <w:r>
        <w:rPr>
          <w:rFonts w:ascii="Arial" w:cs="Arial" w:eastAsia="Arial" w:hAnsi="Arial"/>
          <w:sz w:val="14"/>
          <w:szCs w:val="14"/>
          <w:color w:val="auto"/>
        </w:rPr>
        <w:t>” shall mean the total number of authorized directorships whether or not there exist any vacancies or other unfilled seats in previously authorized directorships.</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SPECIAL MEETING</w:t>
      </w:r>
    </w:p>
    <w:p>
      <w:pPr>
        <w:spacing w:after="0" w:line="146" w:lineRule="exact"/>
        <w:rPr>
          <w:sz w:val="20"/>
          <w:szCs w:val="20"/>
          <w:color w:val="auto"/>
        </w:rPr>
      </w:pPr>
    </w:p>
    <w:p>
      <w:pPr>
        <w:jc w:val="both"/>
        <w:ind w:firstLine="1045"/>
        <w:spacing w:after="0" w:line="295" w:lineRule="auto"/>
        <w:tabs>
          <w:tab w:leader="none" w:pos="1553"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87" w:lineRule="exact"/>
        <w:rPr>
          <w:rFonts w:ascii="Arial" w:cs="Arial" w:eastAsia="Arial" w:hAnsi="Arial"/>
          <w:sz w:val="13"/>
          <w:szCs w:val="13"/>
          <w:b w:val="1"/>
          <w:bCs w:val="1"/>
          <w:color w:val="auto"/>
        </w:rPr>
      </w:pPr>
    </w:p>
    <w:p>
      <w:pPr>
        <w:jc w:val="both"/>
        <w:ind w:firstLine="1045"/>
        <w:spacing w:after="0" w:line="304" w:lineRule="auto"/>
        <w:tabs>
          <w:tab w:leader="none" w:pos="155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77"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3"/>
          <w:szCs w:val="13"/>
          <w:color w:val="auto"/>
        </w:rPr>
        <w:t>ADVANCE NOTICE PROCEDURES</w:t>
      </w:r>
    </w:p>
    <w:p>
      <w:pPr>
        <w:spacing w:after="0" w:line="146" w:lineRule="exact"/>
        <w:rPr>
          <w:sz w:val="20"/>
          <w:szCs w:val="20"/>
          <w:color w:val="auto"/>
        </w:rPr>
      </w:pPr>
    </w:p>
    <w:p>
      <w:pPr>
        <w:ind w:left="1560" w:hanging="515"/>
        <w:spacing w:after="0"/>
        <w:tabs>
          <w:tab w:leader="none" w:pos="1560" w:val="left"/>
        </w:tabs>
        <w:numPr>
          <w:ilvl w:val="0"/>
          <w:numId w:val="24"/>
        </w:numPr>
        <w:rPr>
          <w:rFonts w:ascii="Arial" w:cs="Arial" w:eastAsia="Arial" w:hAnsi="Arial"/>
          <w:sz w:val="14"/>
          <w:szCs w:val="14"/>
          <w:b w:val="1"/>
          <w:bCs w:val="1"/>
          <w:color w:val="auto"/>
        </w:rPr>
      </w:pPr>
      <w:r>
        <w:rPr>
          <w:rFonts w:ascii="Arial" w:cs="Arial" w:eastAsia="Arial" w:hAnsi="Arial"/>
          <w:sz w:val="14"/>
          <w:szCs w:val="14"/>
          <w:i w:val="1"/>
          <w:iCs w:val="1"/>
          <w:color w:val="auto"/>
        </w:rPr>
        <w:t>Annual Meetings of Stockholders.</w:t>
      </w:r>
    </w:p>
    <w:p>
      <w:pPr>
        <w:spacing w:after="0" w:line="141" w:lineRule="exact"/>
        <w:rPr>
          <w:rFonts w:ascii="Arial" w:cs="Arial" w:eastAsia="Arial" w:hAnsi="Arial"/>
          <w:sz w:val="14"/>
          <w:szCs w:val="14"/>
          <w:b w:val="1"/>
          <w:bCs w:val="1"/>
          <w:color w:val="auto"/>
        </w:rPr>
      </w:pPr>
    </w:p>
    <w:p>
      <w:pPr>
        <w:ind w:left="2080" w:hanging="515"/>
        <w:spacing w:after="0"/>
        <w:tabs>
          <w:tab w:leader="none" w:pos="2080" w:val="left"/>
        </w:tabs>
        <w:numPr>
          <w:ilvl w:val="1"/>
          <w:numId w:val="24"/>
        </w:numPr>
        <w:rPr>
          <w:rFonts w:ascii="Arial" w:cs="Arial" w:eastAsia="Arial" w:hAnsi="Arial"/>
          <w:sz w:val="13"/>
          <w:szCs w:val="13"/>
          <w:b w:val="1"/>
          <w:bCs w:val="1"/>
          <w:color w:val="auto"/>
        </w:rPr>
      </w:pPr>
      <w:r>
        <w:rPr>
          <w:rFonts w:ascii="Arial" w:cs="Arial" w:eastAsia="Arial" w:hAnsi="Arial"/>
          <w:sz w:val="13"/>
          <w:szCs w:val="13"/>
          <w:color w:val="auto"/>
        </w:rPr>
        <w:t>Nominations of persons for election to the Board of Directors or the proposal of other business to be transacted by the stockholders at an annual meeting of</w:t>
      </w:r>
    </w:p>
    <w:p>
      <w:pPr>
        <w:spacing w:after="0" w:line="33"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stockholders may be made only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164" w:right="319" w:bottom="1440" w:gutter="0" w:footer="0" w:header="0"/>
        </w:sectPr>
      </w:pPr>
    </w:p>
    <w:bookmarkStart w:id="43" w:name="page44"/>
    <w:bookmarkEnd w:id="43"/>
    <w:p>
      <w:pPr>
        <w:jc w:val="both"/>
        <w:spacing w:after="0" w:line="295" w:lineRule="auto"/>
        <w:rPr>
          <w:sz w:val="20"/>
          <w:szCs w:val="20"/>
          <w:color w:val="auto"/>
        </w:rPr>
      </w:pPr>
      <w:r>
        <w:rPr>
          <w:rFonts w:ascii="Arial" w:cs="Arial" w:eastAsia="Arial" w:hAnsi="Arial"/>
          <w:sz w:val="13"/>
          <w:szCs w:val="13"/>
          <w:color w:val="auto"/>
        </w:rPr>
        <w:t>pursuant to the Company’s notice of meeting (or any supplement thereto); (2) by or at the direction of the Board of Directors;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87" w:lineRule="exact"/>
        <w:rPr>
          <w:sz w:val="20"/>
          <w:szCs w:val="20"/>
          <w:color w:val="auto"/>
        </w:rPr>
      </w:pPr>
    </w:p>
    <w:p>
      <w:pPr>
        <w:jc w:val="both"/>
        <w:ind w:firstLine="1565"/>
        <w:spacing w:after="0" w:line="282" w:lineRule="auto"/>
        <w:tabs>
          <w:tab w:leader="none" w:pos="2070" w:val="left"/>
        </w:tabs>
        <w:numPr>
          <w:ilvl w:val="0"/>
          <w:numId w:val="25"/>
        </w:numPr>
        <w:rPr>
          <w:rFonts w:ascii="Arial" w:cs="Arial" w:eastAsia="Arial" w:hAnsi="Arial"/>
          <w:sz w:val="13"/>
          <w:szCs w:val="13"/>
          <w:b w:val="1"/>
          <w:bCs w:val="1"/>
          <w:color w:val="auto"/>
        </w:rPr>
      </w:pPr>
      <w:r>
        <w:rPr>
          <w:rFonts w:ascii="Arial" w:cs="Arial" w:eastAsia="Arial" w:hAnsi="Arial"/>
          <w:sz w:val="13"/>
          <w:szCs w:val="13"/>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Arial" w:cs="Arial" w:eastAsia="Arial" w:hAnsi="Arial"/>
          <w:sz w:val="13"/>
          <w:szCs w:val="13"/>
          <w:b w:val="1"/>
          <w:bCs w:val="1"/>
          <w:color w:val="auto"/>
        </w:rPr>
        <w:t>Public announcement</w:t>
      </w:r>
      <w:r>
        <w:rPr>
          <w:rFonts w:ascii="Arial" w:cs="Arial" w:eastAsia="Arial" w:hAnsi="Arial"/>
          <w:sz w:val="13"/>
          <w:szCs w:val="13"/>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Arial" w:cs="Arial" w:eastAsia="Arial" w:hAnsi="Arial"/>
          <w:sz w:val="13"/>
          <w:szCs w:val="13"/>
          <w:b w:val="1"/>
          <w:bCs w:val="1"/>
          <w:color w:val="auto"/>
        </w:rPr>
        <w:t>1934 Act</w:t>
      </w:r>
      <w:r>
        <w:rPr>
          <w:rFonts w:ascii="Arial" w:cs="Arial" w:eastAsia="Arial" w:hAnsi="Arial"/>
          <w:sz w:val="13"/>
          <w:szCs w:val="13"/>
          <w:color w:val="auto"/>
        </w:rPr>
        <w:t>”).</w:t>
      </w:r>
    </w:p>
    <w:p>
      <w:pPr>
        <w:spacing w:after="0" w:line="94" w:lineRule="exact"/>
        <w:rPr>
          <w:rFonts w:ascii="Arial" w:cs="Arial" w:eastAsia="Arial" w:hAnsi="Arial"/>
          <w:sz w:val="13"/>
          <w:szCs w:val="13"/>
          <w:b w:val="1"/>
          <w:bCs w:val="1"/>
          <w:color w:val="auto"/>
        </w:rPr>
      </w:pPr>
    </w:p>
    <w:p>
      <w:pPr>
        <w:ind w:left="2080" w:hanging="515"/>
        <w:spacing w:after="0"/>
        <w:tabs>
          <w:tab w:leader="none" w:pos="2080" w:val="left"/>
        </w:tabs>
        <w:numPr>
          <w:ilvl w:val="0"/>
          <w:numId w:val="25"/>
        </w:numPr>
        <w:rPr>
          <w:rFonts w:ascii="Arial" w:cs="Arial" w:eastAsia="Arial" w:hAnsi="Arial"/>
          <w:sz w:val="14"/>
          <w:szCs w:val="14"/>
          <w:b w:val="1"/>
          <w:bCs w:val="1"/>
          <w:color w:val="auto"/>
        </w:rPr>
      </w:pPr>
      <w:r>
        <w:rPr>
          <w:rFonts w:ascii="Arial" w:cs="Arial" w:eastAsia="Arial" w:hAnsi="Arial"/>
          <w:sz w:val="14"/>
          <w:szCs w:val="14"/>
          <w:color w:val="auto"/>
        </w:rPr>
        <w:t>A stockholder’s notice to the secretary must set forth:</w:t>
      </w:r>
    </w:p>
    <w:p>
      <w:pPr>
        <w:spacing w:after="0" w:line="141" w:lineRule="exact"/>
        <w:rPr>
          <w:rFonts w:ascii="Arial" w:cs="Arial" w:eastAsia="Arial" w:hAnsi="Arial"/>
          <w:sz w:val="14"/>
          <w:szCs w:val="14"/>
          <w:b w:val="1"/>
          <w:bCs w:val="1"/>
          <w:color w:val="auto"/>
        </w:rPr>
      </w:pPr>
    </w:p>
    <w:p>
      <w:pPr>
        <w:ind w:left="2600" w:hanging="516"/>
        <w:spacing w:after="0"/>
        <w:tabs>
          <w:tab w:leader="none" w:pos="2600" w:val="left"/>
        </w:tabs>
        <w:numPr>
          <w:ilvl w:val="1"/>
          <w:numId w:val="25"/>
        </w:numPr>
        <w:rPr>
          <w:rFonts w:ascii="Arial" w:cs="Arial" w:eastAsia="Arial" w:hAnsi="Arial"/>
          <w:sz w:val="14"/>
          <w:szCs w:val="14"/>
          <w:b w:val="1"/>
          <w:bCs w:val="1"/>
          <w:color w:val="auto"/>
        </w:rPr>
      </w:pPr>
      <w:r>
        <w:rPr>
          <w:rFonts w:ascii="Arial" w:cs="Arial" w:eastAsia="Arial" w:hAnsi="Arial"/>
          <w:sz w:val="14"/>
          <w:szCs w:val="14"/>
          <w:color w:val="auto"/>
        </w:rPr>
        <w:t>as to each person whom the stockholder proposes to nominate for election as a director:</w:t>
      </w:r>
    </w:p>
    <w:p>
      <w:pPr>
        <w:spacing w:after="0" w:line="141" w:lineRule="exact"/>
        <w:rPr>
          <w:rFonts w:ascii="Arial" w:cs="Arial" w:eastAsia="Arial" w:hAnsi="Arial"/>
          <w:sz w:val="14"/>
          <w:szCs w:val="14"/>
          <w:b w:val="1"/>
          <w:bCs w:val="1"/>
          <w:color w:val="auto"/>
        </w:rPr>
      </w:pPr>
    </w:p>
    <w:p>
      <w:pPr>
        <w:jc w:val="both"/>
        <w:ind w:firstLine="2603"/>
        <w:spacing w:after="0" w:line="266" w:lineRule="auto"/>
        <w:tabs>
          <w:tab w:leader="none" w:pos="3111" w:val="left"/>
        </w:tabs>
        <w:numPr>
          <w:ilvl w:val="2"/>
          <w:numId w:val="25"/>
        </w:numPr>
        <w:rPr>
          <w:rFonts w:ascii="Arial" w:cs="Arial" w:eastAsia="Arial" w:hAnsi="Arial"/>
          <w:sz w:val="14"/>
          <w:szCs w:val="14"/>
          <w:b w:val="1"/>
          <w:bCs w:val="1"/>
          <w:color w:val="auto"/>
        </w:rPr>
      </w:pPr>
      <w:r>
        <w:rPr>
          <w:rFonts w:ascii="Arial" w:cs="Arial" w:eastAsia="Arial" w:hAnsi="Arial"/>
          <w:sz w:val="14"/>
          <w:szCs w:val="14"/>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Section 14 of the 1934 Act;</w:t>
      </w:r>
    </w:p>
    <w:p>
      <w:pPr>
        <w:spacing w:after="0" w:line="103" w:lineRule="exact"/>
        <w:rPr>
          <w:rFonts w:ascii="Arial" w:cs="Arial" w:eastAsia="Arial" w:hAnsi="Arial"/>
          <w:sz w:val="14"/>
          <w:szCs w:val="14"/>
          <w:b w:val="1"/>
          <w:bCs w:val="1"/>
          <w:color w:val="auto"/>
        </w:rPr>
      </w:pPr>
    </w:p>
    <w:p>
      <w:pPr>
        <w:ind w:left="3120" w:hanging="517"/>
        <w:spacing w:after="0"/>
        <w:tabs>
          <w:tab w:leader="none" w:pos="3120" w:val="left"/>
        </w:tabs>
        <w:numPr>
          <w:ilvl w:val="2"/>
          <w:numId w:val="25"/>
        </w:numPr>
        <w:rPr>
          <w:rFonts w:ascii="Arial" w:cs="Arial" w:eastAsia="Arial" w:hAnsi="Arial"/>
          <w:sz w:val="13"/>
          <w:szCs w:val="13"/>
          <w:b w:val="1"/>
          <w:bCs w:val="1"/>
          <w:color w:val="auto"/>
        </w:rPr>
      </w:pPr>
      <w:r>
        <w:rPr>
          <w:rFonts w:ascii="Arial" w:cs="Arial" w:eastAsia="Arial" w:hAnsi="Arial"/>
          <w:sz w:val="13"/>
          <w:szCs w:val="13"/>
          <w:color w:val="auto"/>
        </w:rPr>
        <w:t>such person’s written consent to being named in such stockholder’s proxy statement as a nominee of such stockholder and to serving as a</w:t>
      </w:r>
    </w:p>
    <w:p>
      <w:pPr>
        <w:spacing w:after="0" w:line="33"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director of the Company if elected;</w:t>
      </w:r>
    </w:p>
    <w:p>
      <w:pPr>
        <w:spacing w:after="0" w:line="132" w:lineRule="exact"/>
        <w:rPr>
          <w:rFonts w:ascii="Arial" w:cs="Arial" w:eastAsia="Arial" w:hAnsi="Arial"/>
          <w:sz w:val="13"/>
          <w:szCs w:val="13"/>
          <w:b w:val="1"/>
          <w:bCs w:val="1"/>
          <w:color w:val="auto"/>
        </w:rPr>
      </w:pPr>
    </w:p>
    <w:p>
      <w:pPr>
        <w:jc w:val="both"/>
        <w:ind w:firstLine="2603"/>
        <w:spacing w:after="0" w:line="304" w:lineRule="auto"/>
        <w:tabs>
          <w:tab w:leader="none" w:pos="3111" w:val="left"/>
        </w:tabs>
        <w:numPr>
          <w:ilvl w:val="2"/>
          <w:numId w:val="25"/>
        </w:numPr>
        <w:rPr>
          <w:rFonts w:ascii="Arial" w:cs="Arial" w:eastAsia="Arial" w:hAnsi="Arial"/>
          <w:sz w:val="13"/>
          <w:szCs w:val="13"/>
          <w:b w:val="1"/>
          <w:bCs w:val="1"/>
          <w:color w:val="auto"/>
        </w:rPr>
      </w:pPr>
      <w:r>
        <w:rPr>
          <w:rFonts w:ascii="Arial" w:cs="Arial" w:eastAsia="Arial" w:hAnsi="Arial"/>
          <w:sz w:val="13"/>
          <w:szCs w:val="13"/>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rial" w:cs="Arial" w:eastAsia="Arial" w:hAnsi="Arial"/>
          <w:sz w:val="13"/>
          <w:szCs w:val="13"/>
          <w:b w:val="1"/>
          <w:bCs w:val="1"/>
          <w:color w:val="auto"/>
        </w:rPr>
        <w:t>Third-Party Compensation Arrangement</w:t>
      </w:r>
      <w:r>
        <w:rPr>
          <w:rFonts w:ascii="Arial" w:cs="Arial" w:eastAsia="Arial" w:hAnsi="Arial"/>
          <w:sz w:val="13"/>
          <w:szCs w:val="13"/>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68" w:right="319" w:bottom="1440" w:gutter="0" w:footer="0" w:header="0"/>
        </w:sectPr>
      </w:pPr>
    </w:p>
    <w:bookmarkStart w:id="44" w:name="page45"/>
    <w:bookmarkEnd w:id="44"/>
    <w:p>
      <w:pPr>
        <w:ind w:right="120" w:firstLine="2603"/>
        <w:spacing w:after="0" w:line="274" w:lineRule="auto"/>
        <w:tabs>
          <w:tab w:leader="none" w:pos="3111" w:val="left"/>
        </w:tabs>
        <w:numPr>
          <w:ilvl w:val="1"/>
          <w:numId w:val="26"/>
        </w:numPr>
        <w:rPr>
          <w:rFonts w:ascii="Arial" w:cs="Arial" w:eastAsia="Arial" w:hAnsi="Arial"/>
          <w:sz w:val="14"/>
          <w:szCs w:val="14"/>
          <w:b w:val="1"/>
          <w:bCs w:val="1"/>
          <w:color w:val="auto"/>
        </w:rPr>
      </w:pPr>
      <w:r>
        <w:rPr>
          <w:rFonts w:ascii="Arial" w:cs="Arial" w:eastAsia="Arial" w:hAnsi="Arial"/>
          <w:sz w:val="14"/>
          <w:szCs w:val="14"/>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97" w:lineRule="exact"/>
        <w:rPr>
          <w:rFonts w:ascii="Arial" w:cs="Arial" w:eastAsia="Arial" w:hAnsi="Arial"/>
          <w:sz w:val="14"/>
          <w:szCs w:val="14"/>
          <w:b w:val="1"/>
          <w:bCs w:val="1"/>
          <w:color w:val="auto"/>
        </w:rPr>
      </w:pPr>
    </w:p>
    <w:p>
      <w:pPr>
        <w:ind w:left="2600" w:hanging="516"/>
        <w:spacing w:after="0"/>
        <w:tabs>
          <w:tab w:leader="none" w:pos="2600" w:val="left"/>
        </w:tabs>
        <w:numPr>
          <w:ilvl w:val="0"/>
          <w:numId w:val="27"/>
        </w:numPr>
        <w:rPr>
          <w:rFonts w:ascii="Arial" w:cs="Arial" w:eastAsia="Arial" w:hAnsi="Arial"/>
          <w:sz w:val="14"/>
          <w:szCs w:val="14"/>
          <w:b w:val="1"/>
          <w:bCs w:val="1"/>
          <w:color w:val="auto"/>
        </w:rPr>
      </w:pPr>
      <w:r>
        <w:rPr>
          <w:rFonts w:ascii="Arial" w:cs="Arial" w:eastAsia="Arial" w:hAnsi="Arial"/>
          <w:sz w:val="14"/>
          <w:szCs w:val="14"/>
          <w:color w:val="auto"/>
        </w:rPr>
        <w:t>as to any other business that the stockholder proposes to bring before the annual meeting:</w:t>
      </w:r>
    </w:p>
    <w:p>
      <w:pPr>
        <w:spacing w:after="0" w:line="141" w:lineRule="exact"/>
        <w:rPr>
          <w:rFonts w:ascii="Arial" w:cs="Arial" w:eastAsia="Arial" w:hAnsi="Arial"/>
          <w:sz w:val="14"/>
          <w:szCs w:val="14"/>
          <w:b w:val="1"/>
          <w:bCs w:val="1"/>
          <w:color w:val="auto"/>
        </w:rPr>
      </w:pPr>
    </w:p>
    <w:p>
      <w:pPr>
        <w:ind w:left="3120" w:hanging="517"/>
        <w:spacing w:after="0"/>
        <w:tabs>
          <w:tab w:leader="none" w:pos="3120"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a brief description of the business desired to be brought before the annual meeting;</w:t>
      </w:r>
    </w:p>
    <w:p>
      <w:pPr>
        <w:spacing w:after="0" w:line="141" w:lineRule="exact"/>
        <w:rPr>
          <w:rFonts w:ascii="Arial" w:cs="Arial" w:eastAsia="Arial" w:hAnsi="Arial"/>
          <w:sz w:val="14"/>
          <w:szCs w:val="14"/>
          <w:b w:val="1"/>
          <w:bCs w:val="1"/>
          <w:color w:val="auto"/>
        </w:rPr>
      </w:pPr>
    </w:p>
    <w:p>
      <w:pPr>
        <w:ind w:left="3120" w:hanging="517"/>
        <w:spacing w:after="0"/>
        <w:tabs>
          <w:tab w:leader="none" w:pos="3120"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the text of the proposal or business (including the text of any resolutions proposed for consideration and, if applicable, the text of any</w:t>
      </w:r>
    </w:p>
    <w:p>
      <w:pPr>
        <w:spacing w:after="0" w:line="33"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proposed amendment to these bylaws);</w:t>
      </w:r>
    </w:p>
    <w:p>
      <w:pPr>
        <w:spacing w:after="0" w:line="132" w:lineRule="exact"/>
        <w:rPr>
          <w:rFonts w:ascii="Arial" w:cs="Arial" w:eastAsia="Arial" w:hAnsi="Arial"/>
          <w:sz w:val="13"/>
          <w:szCs w:val="13"/>
          <w:b w:val="1"/>
          <w:bCs w:val="1"/>
          <w:color w:val="auto"/>
        </w:rPr>
      </w:pPr>
    </w:p>
    <w:p>
      <w:pPr>
        <w:ind w:left="3120" w:hanging="517"/>
        <w:spacing w:after="0"/>
        <w:tabs>
          <w:tab w:leader="none" w:pos="3120"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the reasons for conducting such business at the annual meeting;</w:t>
      </w:r>
    </w:p>
    <w:p>
      <w:pPr>
        <w:spacing w:after="0" w:line="141" w:lineRule="exact"/>
        <w:rPr>
          <w:rFonts w:ascii="Arial" w:cs="Arial" w:eastAsia="Arial" w:hAnsi="Arial"/>
          <w:sz w:val="14"/>
          <w:szCs w:val="14"/>
          <w:b w:val="1"/>
          <w:bCs w:val="1"/>
          <w:color w:val="auto"/>
        </w:rPr>
      </w:pPr>
    </w:p>
    <w:p>
      <w:pPr>
        <w:ind w:firstLine="2603"/>
        <w:spacing w:after="0" w:line="290" w:lineRule="auto"/>
        <w:tabs>
          <w:tab w:leader="none" w:pos="3111"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87" w:lineRule="exact"/>
        <w:rPr>
          <w:rFonts w:ascii="Arial" w:cs="Arial" w:eastAsia="Arial" w:hAnsi="Arial"/>
          <w:sz w:val="14"/>
          <w:szCs w:val="14"/>
          <w:b w:val="1"/>
          <w:bCs w:val="1"/>
          <w:color w:val="auto"/>
        </w:rPr>
      </w:pPr>
    </w:p>
    <w:p>
      <w:pPr>
        <w:jc w:val="both"/>
        <w:ind w:firstLine="2603"/>
        <w:spacing w:after="0" w:line="274" w:lineRule="auto"/>
        <w:tabs>
          <w:tab w:leader="none" w:pos="3114"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97" w:lineRule="exact"/>
        <w:rPr>
          <w:rFonts w:ascii="Arial" w:cs="Arial" w:eastAsia="Arial" w:hAnsi="Arial"/>
          <w:sz w:val="14"/>
          <w:szCs w:val="14"/>
          <w:b w:val="1"/>
          <w:bCs w:val="1"/>
          <w:color w:val="auto"/>
        </w:rPr>
      </w:pPr>
    </w:p>
    <w:p>
      <w:pPr>
        <w:ind w:left="2600" w:hanging="516"/>
        <w:spacing w:after="0"/>
        <w:tabs>
          <w:tab w:leader="none" w:pos="2600" w:val="left"/>
        </w:tabs>
        <w:numPr>
          <w:ilvl w:val="0"/>
          <w:numId w:val="27"/>
        </w:numPr>
        <w:rPr>
          <w:rFonts w:ascii="Arial" w:cs="Arial" w:eastAsia="Arial" w:hAnsi="Arial"/>
          <w:sz w:val="14"/>
          <w:szCs w:val="14"/>
          <w:b w:val="1"/>
          <w:bCs w:val="1"/>
          <w:color w:val="auto"/>
        </w:rPr>
      </w:pPr>
      <w:r>
        <w:rPr>
          <w:rFonts w:ascii="Arial" w:cs="Arial" w:eastAsia="Arial" w:hAnsi="Arial"/>
          <w:sz w:val="14"/>
          <w:szCs w:val="14"/>
          <w:color w:val="auto"/>
        </w:rPr>
        <w:t>as to the stockholder giving the notice and the beneficial owner, if any, on whose behalf the nomination or proposal is made:</w:t>
      </w:r>
    </w:p>
    <w:p>
      <w:pPr>
        <w:spacing w:after="0" w:line="141" w:lineRule="exact"/>
        <w:rPr>
          <w:rFonts w:ascii="Arial" w:cs="Arial" w:eastAsia="Arial" w:hAnsi="Arial"/>
          <w:sz w:val="14"/>
          <w:szCs w:val="14"/>
          <w:b w:val="1"/>
          <w:bCs w:val="1"/>
          <w:color w:val="auto"/>
        </w:rPr>
      </w:pPr>
    </w:p>
    <w:p>
      <w:pPr>
        <w:ind w:firstLine="2603"/>
        <w:spacing w:after="0" w:line="290" w:lineRule="auto"/>
        <w:tabs>
          <w:tab w:leader="none" w:pos="3111"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the name and address of such stockholder (as they appear on the Company’s books), of such beneficial owner and of their respective affiliates or associates or others acting in concert with them;</w:t>
      </w:r>
    </w:p>
    <w:p>
      <w:pPr>
        <w:spacing w:after="0" w:line="87" w:lineRule="exact"/>
        <w:rPr>
          <w:rFonts w:ascii="Arial" w:cs="Arial" w:eastAsia="Arial" w:hAnsi="Arial"/>
          <w:sz w:val="14"/>
          <w:szCs w:val="14"/>
          <w:b w:val="1"/>
          <w:bCs w:val="1"/>
          <w:color w:val="auto"/>
        </w:rPr>
      </w:pPr>
    </w:p>
    <w:p>
      <w:pPr>
        <w:ind w:firstLine="2603"/>
        <w:spacing w:after="0" w:line="290" w:lineRule="auto"/>
        <w:tabs>
          <w:tab w:leader="none" w:pos="3114"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87" w:lineRule="exact"/>
        <w:rPr>
          <w:rFonts w:ascii="Arial" w:cs="Arial" w:eastAsia="Arial" w:hAnsi="Arial"/>
          <w:sz w:val="14"/>
          <w:szCs w:val="14"/>
          <w:b w:val="1"/>
          <w:bCs w:val="1"/>
          <w:color w:val="auto"/>
        </w:rPr>
      </w:pPr>
    </w:p>
    <w:p>
      <w:pPr>
        <w:ind w:firstLine="2603"/>
        <w:spacing w:after="0" w:line="330" w:lineRule="auto"/>
        <w:tabs>
          <w:tab w:leader="none" w:pos="3111" w:val="left"/>
        </w:tabs>
        <w:numPr>
          <w:ilvl w:val="1"/>
          <w:numId w:val="27"/>
        </w:numPr>
        <w:rPr>
          <w:rFonts w:ascii="Arial" w:cs="Arial" w:eastAsia="Arial" w:hAnsi="Arial"/>
          <w:sz w:val="13"/>
          <w:szCs w:val="13"/>
          <w:b w:val="1"/>
          <w:bCs w:val="1"/>
          <w:color w:val="auto"/>
        </w:rPr>
      </w:pPr>
      <w:r>
        <w:rPr>
          <w:rFonts w:ascii="Arial" w:cs="Arial" w:eastAsia="Arial" w:hAnsi="Arial"/>
          <w:sz w:val="13"/>
          <w:szCs w:val="13"/>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64" w:lineRule="exact"/>
        <w:rPr>
          <w:rFonts w:ascii="Arial" w:cs="Arial" w:eastAsia="Arial" w:hAnsi="Arial"/>
          <w:sz w:val="13"/>
          <w:szCs w:val="13"/>
          <w:b w:val="1"/>
          <w:bCs w:val="1"/>
          <w:color w:val="auto"/>
        </w:rPr>
      </w:pPr>
    </w:p>
    <w:p>
      <w:pPr>
        <w:jc w:val="both"/>
        <w:ind w:firstLine="2603"/>
        <w:spacing w:after="0" w:line="264" w:lineRule="auto"/>
        <w:tabs>
          <w:tab w:leader="none" w:pos="3111"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4"/>
          <w:szCs w:val="14"/>
          <w:b w:val="1"/>
          <w:bCs w:val="1"/>
          <w:color w:val="auto"/>
        </w:rPr>
        <w:t>Derivative Instrument</w:t>
      </w:r>
      <w:r>
        <w:rPr>
          <w:rFonts w:ascii="Arial" w:cs="Arial" w:eastAsia="Arial" w:hAnsi="Arial"/>
          <w:sz w:val="14"/>
          <w:szCs w:val="14"/>
          <w:color w:val="auto"/>
        </w:rPr>
        <w: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06" w:lineRule="exact"/>
        <w:rPr>
          <w:rFonts w:ascii="Arial" w:cs="Arial" w:eastAsia="Arial" w:hAnsi="Arial"/>
          <w:sz w:val="14"/>
          <w:szCs w:val="14"/>
          <w:b w:val="1"/>
          <w:bCs w:val="1"/>
          <w:color w:val="auto"/>
        </w:rPr>
      </w:pPr>
    </w:p>
    <w:p>
      <w:pPr>
        <w:ind w:firstLine="2603"/>
        <w:spacing w:after="0" w:line="290" w:lineRule="auto"/>
        <w:tabs>
          <w:tab w:leader="none" w:pos="3114" w:val="left"/>
        </w:tabs>
        <w:numPr>
          <w:ilvl w:val="1"/>
          <w:numId w:val="27"/>
        </w:numPr>
        <w:rPr>
          <w:rFonts w:ascii="Arial" w:cs="Arial" w:eastAsia="Arial" w:hAnsi="Arial"/>
          <w:sz w:val="14"/>
          <w:szCs w:val="14"/>
          <w:b w:val="1"/>
          <w:bCs w:val="1"/>
          <w:color w:val="auto"/>
        </w:rPr>
      </w:pPr>
      <w:r>
        <w:rPr>
          <w:rFonts w:ascii="Arial" w:cs="Arial" w:eastAsia="Arial" w:hAnsi="Arial"/>
          <w:sz w:val="14"/>
          <w:szCs w:val="14"/>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68" w:right="319" w:bottom="1440" w:gutter="0" w:footer="0" w:header="0"/>
        </w:sectPr>
      </w:pPr>
    </w:p>
    <w:bookmarkStart w:id="45" w:name="page46"/>
    <w:bookmarkEnd w:id="45"/>
    <w:p>
      <w:pPr>
        <w:jc w:val="both"/>
        <w:ind w:firstLine="2603"/>
        <w:spacing w:after="0" w:line="274" w:lineRule="auto"/>
        <w:tabs>
          <w:tab w:leader="none" w:pos="3106" w:val="left"/>
        </w:tabs>
        <w:numPr>
          <w:ilvl w:val="1"/>
          <w:numId w:val="28"/>
        </w:numPr>
        <w:rPr>
          <w:rFonts w:ascii="Arial" w:cs="Arial" w:eastAsia="Arial" w:hAnsi="Arial"/>
          <w:sz w:val="14"/>
          <w:szCs w:val="14"/>
          <w:b w:val="1"/>
          <w:bCs w:val="1"/>
          <w:color w:val="auto"/>
        </w:rPr>
      </w:pPr>
      <w:r>
        <w:rPr>
          <w:rFonts w:ascii="Arial" w:cs="Arial" w:eastAsia="Arial" w:hAnsi="Arial"/>
          <w:sz w:val="14"/>
          <w:szCs w:val="14"/>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97" w:lineRule="exact"/>
        <w:rPr>
          <w:rFonts w:ascii="Arial" w:cs="Arial" w:eastAsia="Arial" w:hAnsi="Arial"/>
          <w:sz w:val="14"/>
          <w:szCs w:val="14"/>
          <w:b w:val="1"/>
          <w:bCs w:val="1"/>
          <w:color w:val="auto"/>
        </w:rPr>
      </w:pPr>
    </w:p>
    <w:p>
      <w:pPr>
        <w:jc w:val="both"/>
        <w:ind w:firstLine="2603"/>
        <w:spacing w:after="0" w:line="274" w:lineRule="auto"/>
        <w:tabs>
          <w:tab w:leader="none" w:pos="3108" w:val="left"/>
        </w:tabs>
        <w:numPr>
          <w:ilvl w:val="1"/>
          <w:numId w:val="28"/>
        </w:numPr>
        <w:rPr>
          <w:rFonts w:ascii="Arial" w:cs="Arial" w:eastAsia="Arial" w:hAnsi="Arial"/>
          <w:sz w:val="14"/>
          <w:szCs w:val="14"/>
          <w:b w:val="1"/>
          <w:bCs w:val="1"/>
          <w:color w:val="auto"/>
        </w:rPr>
      </w:pPr>
      <w:r>
        <w:rPr>
          <w:rFonts w:ascii="Arial" w:cs="Arial" w:eastAsia="Arial" w:hAnsi="Arial"/>
          <w:sz w:val="14"/>
          <w:szCs w:val="14"/>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97" w:lineRule="exact"/>
        <w:rPr>
          <w:rFonts w:ascii="Arial" w:cs="Arial" w:eastAsia="Arial" w:hAnsi="Arial"/>
          <w:sz w:val="14"/>
          <w:szCs w:val="14"/>
          <w:b w:val="1"/>
          <w:bCs w:val="1"/>
          <w:color w:val="auto"/>
        </w:rPr>
      </w:pPr>
    </w:p>
    <w:p>
      <w:pPr>
        <w:ind w:firstLine="2603"/>
        <w:spacing w:after="0" w:line="290" w:lineRule="auto"/>
        <w:tabs>
          <w:tab w:leader="none" w:pos="3108" w:val="left"/>
        </w:tabs>
        <w:numPr>
          <w:ilvl w:val="1"/>
          <w:numId w:val="28"/>
        </w:numPr>
        <w:rPr>
          <w:rFonts w:ascii="Arial" w:cs="Arial" w:eastAsia="Arial" w:hAnsi="Arial"/>
          <w:sz w:val="14"/>
          <w:szCs w:val="14"/>
          <w:b w:val="1"/>
          <w:bCs w:val="1"/>
          <w:color w:val="auto"/>
        </w:rPr>
      </w:pPr>
      <w:r>
        <w:rPr>
          <w:rFonts w:ascii="Arial" w:cs="Arial" w:eastAsia="Arial" w:hAnsi="Arial"/>
          <w:sz w:val="14"/>
          <w:szCs w:val="14"/>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87" w:lineRule="exact"/>
        <w:rPr>
          <w:rFonts w:ascii="Arial" w:cs="Arial" w:eastAsia="Arial" w:hAnsi="Arial"/>
          <w:sz w:val="14"/>
          <w:szCs w:val="14"/>
          <w:b w:val="1"/>
          <w:bCs w:val="1"/>
          <w:color w:val="auto"/>
        </w:rPr>
      </w:pPr>
    </w:p>
    <w:p>
      <w:pPr>
        <w:jc w:val="both"/>
        <w:ind w:firstLine="2603"/>
        <w:spacing w:after="0" w:line="274" w:lineRule="auto"/>
        <w:tabs>
          <w:tab w:leader="none" w:pos="3106" w:val="left"/>
        </w:tabs>
        <w:numPr>
          <w:ilvl w:val="1"/>
          <w:numId w:val="28"/>
        </w:numPr>
        <w:rPr>
          <w:rFonts w:ascii="Arial" w:cs="Arial" w:eastAsia="Arial" w:hAnsi="Arial"/>
          <w:sz w:val="14"/>
          <w:szCs w:val="14"/>
          <w:b w:val="1"/>
          <w:bCs w:val="1"/>
          <w:color w:val="auto"/>
        </w:rPr>
      </w:pPr>
      <w:r>
        <w:rPr>
          <w:rFonts w:ascii="Arial" w:cs="Arial" w:eastAsia="Arial" w:hAnsi="Arial"/>
          <w:sz w:val="14"/>
          <w:szCs w:val="14"/>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97" w:lineRule="exact"/>
        <w:rPr>
          <w:rFonts w:ascii="Arial" w:cs="Arial" w:eastAsia="Arial" w:hAnsi="Arial"/>
          <w:sz w:val="14"/>
          <w:szCs w:val="14"/>
          <w:b w:val="1"/>
          <w:bCs w:val="1"/>
          <w:color w:val="auto"/>
        </w:rPr>
      </w:pPr>
    </w:p>
    <w:p>
      <w:pPr>
        <w:ind w:left="3120" w:hanging="517"/>
        <w:spacing w:after="0"/>
        <w:tabs>
          <w:tab w:leader="none" w:pos="3120" w:val="left"/>
        </w:tabs>
        <w:numPr>
          <w:ilvl w:val="1"/>
          <w:numId w:val="28"/>
        </w:numPr>
        <w:rPr>
          <w:rFonts w:ascii="Arial" w:cs="Arial" w:eastAsia="Arial" w:hAnsi="Arial"/>
          <w:sz w:val="13"/>
          <w:szCs w:val="13"/>
          <w:b w:val="1"/>
          <w:bCs w:val="1"/>
          <w:color w:val="auto"/>
        </w:rPr>
      </w:pPr>
      <w:r>
        <w:rPr>
          <w:rFonts w:ascii="Arial" w:cs="Arial" w:eastAsia="Arial" w:hAnsi="Arial"/>
          <w:sz w:val="13"/>
          <w:szCs w:val="13"/>
          <w:color w:val="auto"/>
        </w:rPr>
        <w:t>a representation and undertaking that the stockholder is a holder of record of stock of the Company as of the date of submission of the</w:t>
      </w:r>
    </w:p>
    <w:p>
      <w:pPr>
        <w:spacing w:after="0" w:line="33"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stockholder’s notice and intends to appear in person or by proxy at the meeting to bring such nomination or other business before the meeting;</w:t>
      </w:r>
    </w:p>
    <w:p>
      <w:pPr>
        <w:spacing w:after="0" w:line="132" w:lineRule="exact"/>
        <w:rPr>
          <w:rFonts w:ascii="Arial" w:cs="Arial" w:eastAsia="Arial" w:hAnsi="Arial"/>
          <w:sz w:val="13"/>
          <w:szCs w:val="13"/>
          <w:b w:val="1"/>
          <w:bCs w:val="1"/>
          <w:color w:val="auto"/>
        </w:rPr>
      </w:pPr>
    </w:p>
    <w:p>
      <w:pPr>
        <w:jc w:val="both"/>
        <w:ind w:firstLine="2603"/>
        <w:spacing w:after="0" w:line="274" w:lineRule="auto"/>
        <w:tabs>
          <w:tab w:leader="none" w:pos="3108" w:val="left"/>
        </w:tabs>
        <w:numPr>
          <w:ilvl w:val="1"/>
          <w:numId w:val="28"/>
        </w:numPr>
        <w:rPr>
          <w:rFonts w:ascii="Arial" w:cs="Arial" w:eastAsia="Arial" w:hAnsi="Arial"/>
          <w:sz w:val="14"/>
          <w:szCs w:val="14"/>
          <w:b w:val="1"/>
          <w:bCs w:val="1"/>
          <w:color w:val="auto"/>
        </w:rPr>
      </w:pPr>
      <w:r>
        <w:rPr>
          <w:rFonts w:ascii="Arial" w:cs="Arial" w:eastAsia="Arial" w:hAnsi="Arial"/>
          <w:sz w:val="14"/>
          <w:szCs w:val="14"/>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97" w:lineRule="exact"/>
        <w:rPr>
          <w:rFonts w:ascii="Arial" w:cs="Arial" w:eastAsia="Arial" w:hAnsi="Arial"/>
          <w:sz w:val="14"/>
          <w:szCs w:val="14"/>
          <w:b w:val="1"/>
          <w:bCs w:val="1"/>
          <w:color w:val="auto"/>
        </w:rPr>
      </w:pPr>
    </w:p>
    <w:p>
      <w:pPr>
        <w:jc w:val="both"/>
        <w:ind w:firstLine="2603"/>
        <w:spacing w:after="0" w:line="274" w:lineRule="auto"/>
        <w:tabs>
          <w:tab w:leader="none" w:pos="3114" w:val="left"/>
        </w:tabs>
        <w:numPr>
          <w:ilvl w:val="1"/>
          <w:numId w:val="28"/>
        </w:numPr>
        <w:rPr>
          <w:rFonts w:ascii="Arial" w:cs="Arial" w:eastAsia="Arial" w:hAnsi="Arial"/>
          <w:sz w:val="14"/>
          <w:szCs w:val="14"/>
          <w:b w:val="1"/>
          <w:bCs w:val="1"/>
          <w:color w:val="auto"/>
        </w:rPr>
      </w:pPr>
      <w:r>
        <w:rPr>
          <w:rFonts w:ascii="Arial" w:cs="Arial" w:eastAsia="Arial" w:hAnsi="Arial"/>
          <w:sz w:val="14"/>
          <w:szCs w:val="14"/>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97" w:lineRule="exact"/>
        <w:rPr>
          <w:rFonts w:ascii="Arial" w:cs="Arial" w:eastAsia="Arial" w:hAnsi="Arial"/>
          <w:sz w:val="14"/>
          <w:szCs w:val="14"/>
          <w:b w:val="1"/>
          <w:bCs w:val="1"/>
          <w:color w:val="auto"/>
        </w:rPr>
      </w:pPr>
    </w:p>
    <w:p>
      <w:pPr>
        <w:ind w:firstLine="2603"/>
        <w:spacing w:after="0" w:line="290" w:lineRule="auto"/>
        <w:tabs>
          <w:tab w:leader="none" w:pos="3110" w:val="left"/>
        </w:tabs>
        <w:numPr>
          <w:ilvl w:val="1"/>
          <w:numId w:val="28"/>
        </w:numPr>
        <w:rPr>
          <w:rFonts w:ascii="Arial" w:cs="Arial" w:eastAsia="Arial" w:hAnsi="Arial"/>
          <w:sz w:val="14"/>
          <w:szCs w:val="14"/>
          <w:b w:val="1"/>
          <w:bCs w:val="1"/>
          <w:color w:val="auto"/>
        </w:rPr>
      </w:pPr>
      <w:r>
        <w:rPr>
          <w:rFonts w:ascii="Arial" w:cs="Arial" w:eastAsia="Arial" w:hAnsi="Arial"/>
          <w:sz w:val="14"/>
          <w:szCs w:val="14"/>
          <w:color w:val="auto"/>
        </w:rPr>
        <w:t>such other information relating to any proposed item of business as the Company may reasonably require to determine whether such proposed item of business is a proper matter for stockholder action.</w:t>
      </w:r>
    </w:p>
    <w:p>
      <w:pPr>
        <w:spacing w:after="0" w:line="87" w:lineRule="exact"/>
        <w:rPr>
          <w:rFonts w:ascii="Arial" w:cs="Arial" w:eastAsia="Arial" w:hAnsi="Arial"/>
          <w:sz w:val="14"/>
          <w:szCs w:val="14"/>
          <w:b w:val="1"/>
          <w:bCs w:val="1"/>
          <w:color w:val="auto"/>
        </w:rPr>
      </w:pPr>
    </w:p>
    <w:p>
      <w:pPr>
        <w:jc w:val="both"/>
        <w:ind w:firstLine="1565"/>
        <w:spacing w:after="0" w:line="284" w:lineRule="auto"/>
        <w:tabs>
          <w:tab w:leader="none" w:pos="2069" w:val="left"/>
        </w:tabs>
        <w:numPr>
          <w:ilvl w:val="0"/>
          <w:numId w:val="29"/>
        </w:numPr>
        <w:rPr>
          <w:rFonts w:ascii="Arial" w:cs="Arial" w:eastAsia="Arial" w:hAnsi="Arial"/>
          <w:sz w:val="13"/>
          <w:szCs w:val="13"/>
          <w:b w:val="1"/>
          <w:bCs w:val="1"/>
          <w:color w:val="auto"/>
        </w:rPr>
      </w:pPr>
      <w:r>
        <w:rPr>
          <w:rFonts w:ascii="Arial" w:cs="Arial" w:eastAsia="Arial" w:hAnsi="Arial"/>
          <w:sz w:val="13"/>
          <w:szCs w:val="13"/>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68"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supplement or additional information shall result in the nomination or proposal no longer being eligible for consideration at the meeting.</w:t>
      </w:r>
    </w:p>
    <w:p>
      <w:pPr>
        <w:spacing w:after="0" w:line="142" w:lineRule="exact"/>
        <w:rPr>
          <w:sz w:val="20"/>
          <w:szCs w:val="20"/>
          <w:color w:val="auto"/>
        </w:rPr>
      </w:pPr>
    </w:p>
    <w:p>
      <w:pPr>
        <w:jc w:val="both"/>
        <w:ind w:firstLine="1045"/>
        <w:spacing w:after="0" w:line="261" w:lineRule="auto"/>
        <w:tabs>
          <w:tab w:leader="none" w:pos="1550" w:val="left"/>
        </w:tabs>
        <w:numPr>
          <w:ilvl w:val="0"/>
          <w:numId w:val="30"/>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Special Meetings of Stockholders. </w:t>
      </w:r>
      <w:r>
        <w:rPr>
          <w:rFonts w:ascii="Arial" w:cs="Arial" w:eastAsia="Arial" w:hAnsi="Arial"/>
          <w:sz w:val="14"/>
          <w:szCs w:val="14"/>
          <w:color w:val="auto"/>
        </w:rPr>
        <w:t>Except to the extent required by the DGCL, and subject to Section 2.3(a), special meetings of stockholders may be called only in</w:t>
      </w:r>
      <w:r>
        <w:rPr>
          <w:rFonts w:ascii="Arial" w:cs="Arial" w:eastAsia="Arial" w:hAnsi="Arial"/>
          <w:sz w:val="14"/>
          <w:szCs w:val="14"/>
          <w:i w:val="1"/>
          <w:iCs w:val="1"/>
          <w:color w:val="auto"/>
        </w:rPr>
        <w:t xml:space="preserve"> </w:t>
      </w:r>
      <w:r>
        <w:rPr>
          <w:rFonts w:ascii="Arial" w:cs="Arial" w:eastAsia="Arial" w:hAnsi="Arial"/>
          <w:sz w:val="14"/>
          <w:szCs w:val="14"/>
          <w:color w:val="auto"/>
        </w:rPr>
        <w:t>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08"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0"/>
        </w:numPr>
        <w:rPr>
          <w:rFonts w:ascii="Arial" w:cs="Arial" w:eastAsia="Arial" w:hAnsi="Arial"/>
          <w:sz w:val="14"/>
          <w:szCs w:val="14"/>
          <w:b w:val="1"/>
          <w:bCs w:val="1"/>
          <w:color w:val="auto"/>
        </w:rPr>
      </w:pPr>
      <w:r>
        <w:rPr>
          <w:rFonts w:ascii="Arial" w:cs="Arial" w:eastAsia="Arial" w:hAnsi="Arial"/>
          <w:sz w:val="14"/>
          <w:szCs w:val="14"/>
          <w:i w:val="1"/>
          <w:iCs w:val="1"/>
          <w:color w:val="auto"/>
        </w:rPr>
        <w:t>Other Requirements.</w:t>
      </w:r>
    </w:p>
    <w:p>
      <w:pPr>
        <w:spacing w:after="0" w:line="141" w:lineRule="exact"/>
        <w:rPr>
          <w:rFonts w:ascii="Arial" w:cs="Arial" w:eastAsia="Arial" w:hAnsi="Arial"/>
          <w:sz w:val="14"/>
          <w:szCs w:val="14"/>
          <w:b w:val="1"/>
          <w:bCs w:val="1"/>
          <w:color w:val="auto"/>
        </w:rPr>
      </w:pPr>
    </w:p>
    <w:p>
      <w:pPr>
        <w:ind w:firstLine="1565"/>
        <w:spacing w:after="0" w:line="290" w:lineRule="auto"/>
        <w:tabs>
          <w:tab w:leader="none" w:pos="2073" w:val="left"/>
        </w:tabs>
        <w:numPr>
          <w:ilvl w:val="1"/>
          <w:numId w:val="30"/>
        </w:numPr>
        <w:rPr>
          <w:rFonts w:ascii="Arial" w:cs="Arial" w:eastAsia="Arial" w:hAnsi="Arial"/>
          <w:sz w:val="14"/>
          <w:szCs w:val="14"/>
          <w:b w:val="1"/>
          <w:bCs w:val="1"/>
          <w:color w:val="auto"/>
        </w:rPr>
      </w:pPr>
      <w:r>
        <w:rPr>
          <w:rFonts w:ascii="Arial" w:cs="Arial" w:eastAsia="Arial" w:hAnsi="Arial"/>
          <w:sz w:val="14"/>
          <w:szCs w:val="14"/>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87" w:lineRule="exact"/>
        <w:rPr>
          <w:rFonts w:ascii="Arial" w:cs="Arial" w:eastAsia="Arial" w:hAnsi="Arial"/>
          <w:sz w:val="14"/>
          <w:szCs w:val="14"/>
          <w:b w:val="1"/>
          <w:bCs w:val="1"/>
          <w:color w:val="auto"/>
        </w:rPr>
      </w:pPr>
    </w:p>
    <w:p>
      <w:pPr>
        <w:jc w:val="both"/>
        <w:ind w:firstLine="2084"/>
        <w:spacing w:after="0" w:line="304" w:lineRule="auto"/>
        <w:tabs>
          <w:tab w:leader="none" w:pos="2592" w:val="left"/>
        </w:tabs>
        <w:numPr>
          <w:ilvl w:val="2"/>
          <w:numId w:val="30"/>
        </w:numPr>
        <w:rPr>
          <w:rFonts w:ascii="Arial" w:cs="Arial" w:eastAsia="Arial" w:hAnsi="Arial"/>
          <w:sz w:val="13"/>
          <w:szCs w:val="13"/>
          <w:b w:val="1"/>
          <w:bCs w:val="1"/>
          <w:color w:val="auto"/>
        </w:rPr>
      </w:pPr>
      <w:r>
        <w:rPr>
          <w:rFonts w:ascii="Arial" w:cs="Arial" w:eastAsia="Arial" w:hAnsi="Arial"/>
          <w:sz w:val="13"/>
          <w:szCs w:val="13"/>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81" w:lineRule="exact"/>
        <w:rPr>
          <w:rFonts w:ascii="Arial" w:cs="Arial" w:eastAsia="Arial" w:hAnsi="Arial"/>
          <w:sz w:val="13"/>
          <w:szCs w:val="13"/>
          <w:b w:val="1"/>
          <w:bCs w:val="1"/>
          <w:color w:val="auto"/>
        </w:rPr>
      </w:pPr>
    </w:p>
    <w:p>
      <w:pPr>
        <w:ind w:firstLine="2084"/>
        <w:spacing w:after="0" w:line="330" w:lineRule="auto"/>
        <w:tabs>
          <w:tab w:leader="none" w:pos="2592" w:val="left"/>
        </w:tabs>
        <w:numPr>
          <w:ilvl w:val="2"/>
          <w:numId w:val="30"/>
        </w:numPr>
        <w:rPr>
          <w:rFonts w:ascii="Arial" w:cs="Arial" w:eastAsia="Arial" w:hAnsi="Arial"/>
          <w:sz w:val="13"/>
          <w:szCs w:val="13"/>
          <w:b w:val="1"/>
          <w:bCs w:val="1"/>
          <w:color w:val="auto"/>
        </w:rPr>
      </w:pPr>
      <w:r>
        <w:rPr>
          <w:rFonts w:ascii="Arial" w:cs="Arial" w:eastAsia="Arial" w:hAnsi="Arial"/>
          <w:sz w:val="13"/>
          <w:szCs w:val="13"/>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64" w:lineRule="exact"/>
        <w:rPr>
          <w:rFonts w:ascii="Arial" w:cs="Arial" w:eastAsia="Arial" w:hAnsi="Arial"/>
          <w:sz w:val="13"/>
          <w:szCs w:val="13"/>
          <w:b w:val="1"/>
          <w:bCs w:val="1"/>
          <w:color w:val="auto"/>
        </w:rPr>
      </w:pPr>
    </w:p>
    <w:p>
      <w:pPr>
        <w:ind w:left="2600" w:hanging="516"/>
        <w:spacing w:after="0"/>
        <w:tabs>
          <w:tab w:leader="none" w:pos="2600" w:val="left"/>
        </w:tabs>
        <w:numPr>
          <w:ilvl w:val="2"/>
          <w:numId w:val="30"/>
        </w:numPr>
        <w:rPr>
          <w:rFonts w:ascii="Arial" w:cs="Arial" w:eastAsia="Arial" w:hAnsi="Arial"/>
          <w:sz w:val="13"/>
          <w:szCs w:val="13"/>
          <w:b w:val="1"/>
          <w:bCs w:val="1"/>
          <w:color w:val="auto"/>
        </w:rPr>
      </w:pPr>
      <w:r>
        <w:rPr>
          <w:rFonts w:ascii="Arial" w:cs="Arial" w:eastAsia="Arial" w:hAnsi="Arial"/>
          <w:sz w:val="13"/>
          <w:szCs w:val="13"/>
          <w:color w:val="auto"/>
        </w:rPr>
        <w:t>a written representation and undertaking that, unless previously disclosed to the Company, such nominee is not, and will not become, a party to any</w:t>
      </w:r>
    </w:p>
    <w:p>
      <w:pPr>
        <w:spacing w:after="0" w:line="33"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Third-Party Compensation Arrangement;</w:t>
      </w:r>
    </w:p>
    <w:p>
      <w:pPr>
        <w:spacing w:after="0" w:line="132" w:lineRule="exact"/>
        <w:rPr>
          <w:rFonts w:ascii="Arial" w:cs="Arial" w:eastAsia="Arial" w:hAnsi="Arial"/>
          <w:sz w:val="13"/>
          <w:szCs w:val="13"/>
          <w:b w:val="1"/>
          <w:bCs w:val="1"/>
          <w:color w:val="auto"/>
        </w:rPr>
      </w:pPr>
    </w:p>
    <w:p>
      <w:pPr>
        <w:ind w:firstLine="2084"/>
        <w:spacing w:after="0" w:line="290" w:lineRule="auto"/>
        <w:tabs>
          <w:tab w:leader="none" w:pos="2592" w:val="left"/>
        </w:tabs>
        <w:numPr>
          <w:ilvl w:val="2"/>
          <w:numId w:val="30"/>
        </w:numPr>
        <w:rPr>
          <w:rFonts w:ascii="Arial" w:cs="Arial" w:eastAsia="Arial" w:hAnsi="Arial"/>
          <w:sz w:val="14"/>
          <w:szCs w:val="14"/>
          <w:b w:val="1"/>
          <w:bCs w:val="1"/>
          <w:color w:val="auto"/>
        </w:rPr>
      </w:pPr>
      <w:r>
        <w:rPr>
          <w:rFonts w:ascii="Arial" w:cs="Arial" w:eastAsia="Arial" w:hAnsi="Arial"/>
          <w:sz w:val="14"/>
          <w:szCs w:val="14"/>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87" w:lineRule="exact"/>
        <w:rPr>
          <w:rFonts w:ascii="Arial" w:cs="Arial" w:eastAsia="Arial" w:hAnsi="Arial"/>
          <w:sz w:val="14"/>
          <w:szCs w:val="14"/>
          <w:b w:val="1"/>
          <w:bCs w:val="1"/>
          <w:color w:val="auto"/>
        </w:rPr>
      </w:pPr>
    </w:p>
    <w:p>
      <w:pPr>
        <w:ind w:left="2600" w:hanging="516"/>
        <w:spacing w:after="0"/>
        <w:tabs>
          <w:tab w:leader="none" w:pos="2600" w:val="left"/>
        </w:tabs>
        <w:numPr>
          <w:ilvl w:val="2"/>
          <w:numId w:val="30"/>
        </w:numPr>
        <w:rPr>
          <w:rFonts w:ascii="Arial" w:cs="Arial" w:eastAsia="Arial" w:hAnsi="Arial"/>
          <w:sz w:val="14"/>
          <w:szCs w:val="14"/>
          <w:b w:val="1"/>
          <w:bCs w:val="1"/>
          <w:color w:val="auto"/>
        </w:rPr>
      </w:pPr>
      <w:r>
        <w:rPr>
          <w:rFonts w:ascii="Arial" w:cs="Arial" w:eastAsia="Arial" w:hAnsi="Arial"/>
          <w:sz w:val="14"/>
          <w:szCs w:val="14"/>
          <w:color w:val="auto"/>
        </w:rPr>
        <w:t>a written representation and undertaking that such nominee, if elected, intends to serve a full term on the Board of Directors.</w:t>
      </w:r>
    </w:p>
    <w:p>
      <w:pPr>
        <w:spacing w:after="0" w:line="141" w:lineRule="exact"/>
        <w:rPr>
          <w:rFonts w:ascii="Arial" w:cs="Arial" w:eastAsia="Arial" w:hAnsi="Arial"/>
          <w:sz w:val="14"/>
          <w:szCs w:val="14"/>
          <w:b w:val="1"/>
          <w:bCs w:val="1"/>
          <w:color w:val="auto"/>
        </w:rPr>
      </w:pPr>
    </w:p>
    <w:p>
      <w:pPr>
        <w:ind w:firstLine="1565"/>
        <w:spacing w:after="0" w:line="290" w:lineRule="auto"/>
        <w:tabs>
          <w:tab w:leader="none" w:pos="2070" w:val="left"/>
        </w:tabs>
        <w:numPr>
          <w:ilvl w:val="1"/>
          <w:numId w:val="30"/>
        </w:numPr>
        <w:rPr>
          <w:rFonts w:ascii="Arial" w:cs="Arial" w:eastAsia="Arial" w:hAnsi="Arial"/>
          <w:sz w:val="14"/>
          <w:szCs w:val="14"/>
          <w:b w:val="1"/>
          <w:bCs w:val="1"/>
          <w:color w:val="auto"/>
        </w:rPr>
      </w:pPr>
      <w:r>
        <w:rPr>
          <w:rFonts w:ascii="Arial" w:cs="Arial" w:eastAsia="Arial" w:hAnsi="Arial"/>
          <w:sz w:val="14"/>
          <w:szCs w:val="14"/>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87" w:lineRule="exact"/>
        <w:rPr>
          <w:rFonts w:ascii="Arial" w:cs="Arial" w:eastAsia="Arial" w:hAnsi="Arial"/>
          <w:sz w:val="14"/>
          <w:szCs w:val="14"/>
          <w:b w:val="1"/>
          <w:bCs w:val="1"/>
          <w:color w:val="auto"/>
        </w:rPr>
      </w:pPr>
    </w:p>
    <w:p>
      <w:pPr>
        <w:ind w:left="2080" w:hanging="515"/>
        <w:spacing w:after="0"/>
        <w:tabs>
          <w:tab w:leader="none" w:pos="2080" w:val="left"/>
        </w:tabs>
        <w:numPr>
          <w:ilvl w:val="1"/>
          <w:numId w:val="30"/>
        </w:numPr>
        <w:rPr>
          <w:rFonts w:ascii="Arial" w:cs="Arial" w:eastAsia="Arial" w:hAnsi="Arial"/>
          <w:sz w:val="13"/>
          <w:szCs w:val="13"/>
          <w:b w:val="1"/>
          <w:bCs w:val="1"/>
          <w:color w:val="auto"/>
        </w:rPr>
      </w:pPr>
      <w:r>
        <w:rPr>
          <w:rFonts w:ascii="Arial" w:cs="Arial" w:eastAsia="Arial" w:hAnsi="Arial"/>
          <w:sz w:val="13"/>
          <w:szCs w:val="13"/>
          <w:color w:val="auto"/>
        </w:rPr>
        <w:t>No person will be eligible to be nominated by a stockholder for election as a director of the Company unless nominated in accordance with the procedures set</w:t>
      </w:r>
    </w:p>
    <w:p>
      <w:pPr>
        <w:spacing w:after="0" w:line="33"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forth in this Section 2.4.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68"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business proposed by a stockholder will be conducted at a stockholder meeting except in accordance with this Section 2.4.</w:t>
      </w:r>
    </w:p>
    <w:p>
      <w:pPr>
        <w:spacing w:after="0" w:line="142" w:lineRule="exact"/>
        <w:rPr>
          <w:sz w:val="20"/>
          <w:szCs w:val="20"/>
          <w:color w:val="auto"/>
        </w:rPr>
      </w:pPr>
    </w:p>
    <w:p>
      <w:pPr>
        <w:jc w:val="both"/>
        <w:ind w:firstLine="1565"/>
        <w:spacing w:after="0" w:line="304" w:lineRule="auto"/>
        <w:tabs>
          <w:tab w:leader="none" w:pos="2069"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81" w:lineRule="exact"/>
        <w:rPr>
          <w:rFonts w:ascii="Arial" w:cs="Arial" w:eastAsia="Arial" w:hAnsi="Arial"/>
          <w:sz w:val="13"/>
          <w:szCs w:val="13"/>
          <w:b w:val="1"/>
          <w:bCs w:val="1"/>
          <w:color w:val="auto"/>
        </w:rPr>
      </w:pPr>
    </w:p>
    <w:p>
      <w:pPr>
        <w:jc w:val="both"/>
        <w:ind w:firstLine="1565"/>
        <w:spacing w:after="0" w:line="264" w:lineRule="auto"/>
        <w:tabs>
          <w:tab w:leader="none" w:pos="2072" w:val="left"/>
        </w:tabs>
        <w:numPr>
          <w:ilvl w:val="0"/>
          <w:numId w:val="31"/>
        </w:numPr>
        <w:rPr>
          <w:rFonts w:ascii="Arial" w:cs="Arial" w:eastAsia="Arial" w:hAnsi="Arial"/>
          <w:sz w:val="14"/>
          <w:szCs w:val="14"/>
          <w:b w:val="1"/>
          <w:bCs w:val="1"/>
          <w:color w:val="auto"/>
        </w:rPr>
      </w:pPr>
      <w:r>
        <w:rPr>
          <w:rFonts w:ascii="Arial" w:cs="Arial" w:eastAsia="Arial" w:hAnsi="Arial"/>
          <w:sz w:val="14"/>
          <w:szCs w:val="14"/>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06" w:lineRule="exact"/>
        <w:rPr>
          <w:rFonts w:ascii="Arial" w:cs="Arial" w:eastAsia="Arial" w:hAnsi="Arial"/>
          <w:sz w:val="14"/>
          <w:szCs w:val="14"/>
          <w:b w:val="1"/>
          <w:bCs w:val="1"/>
          <w:color w:val="auto"/>
        </w:rPr>
      </w:pPr>
    </w:p>
    <w:p>
      <w:pPr>
        <w:jc w:val="both"/>
        <w:ind w:firstLine="1565"/>
        <w:spacing w:after="0" w:line="268" w:lineRule="auto"/>
        <w:tabs>
          <w:tab w:leader="none" w:pos="2069" w:val="left"/>
        </w:tabs>
        <w:numPr>
          <w:ilvl w:val="0"/>
          <w:numId w:val="31"/>
        </w:numPr>
        <w:rPr>
          <w:rFonts w:ascii="Arial" w:cs="Arial" w:eastAsia="Arial" w:hAnsi="Arial"/>
          <w:sz w:val="14"/>
          <w:szCs w:val="14"/>
          <w:b w:val="1"/>
          <w:bCs w:val="1"/>
          <w:color w:val="auto"/>
        </w:rPr>
      </w:pPr>
      <w:r>
        <w:rPr>
          <w:rFonts w:ascii="Arial" w:cs="Arial" w:eastAsia="Arial" w:hAnsi="Arial"/>
          <w:sz w:val="14"/>
          <w:szCs w:val="14"/>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03" w:lineRule="exact"/>
        <w:rPr>
          <w:rFonts w:ascii="Arial" w:cs="Arial" w:eastAsia="Arial" w:hAnsi="Arial"/>
          <w:sz w:val="14"/>
          <w:szCs w:val="14"/>
          <w:b w:val="1"/>
          <w:bCs w:val="1"/>
          <w:color w:val="auto"/>
        </w:rPr>
      </w:pPr>
    </w:p>
    <w:p>
      <w:pPr>
        <w:jc w:val="both"/>
        <w:ind w:firstLine="1565"/>
        <w:spacing w:after="0" w:line="175" w:lineRule="exact"/>
        <w:tabs>
          <w:tab w:leader="none" w:pos="2077" w:val="left"/>
        </w:tabs>
        <w:numPr>
          <w:ilvl w:val="0"/>
          <w:numId w:val="31"/>
        </w:numPr>
        <w:rPr>
          <w:rFonts w:ascii="Arial" w:cs="Arial" w:eastAsia="Arial" w:hAnsi="Arial"/>
          <w:sz w:val="14"/>
          <w:szCs w:val="14"/>
          <w:b w:val="1"/>
          <w:bCs w:val="1"/>
          <w:color w:val="auto"/>
        </w:rPr>
      </w:pPr>
      <w:r>
        <w:rPr>
          <w:rFonts w:ascii="Arial" w:cs="Arial" w:eastAsia="Arial" w:hAnsi="Arial"/>
          <w:sz w:val="14"/>
          <w:szCs w:val="14"/>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4"/>
          <w:szCs w:val="14"/>
          <w:color w:val="auto"/>
        </w:rPr>
        <w:t>‑</w:t>
      </w:r>
      <w:r>
        <w:rPr>
          <w:rFonts w:ascii="Arial" w:cs="Arial" w:eastAsia="Arial" w:hAnsi="Arial"/>
          <w:sz w:val="14"/>
          <w:szCs w:val="14"/>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4"/>
          <w:szCs w:val="14"/>
          <w:color w:val="auto"/>
        </w:rPr>
        <w:t>‑</w:t>
      </w:r>
      <w:r>
        <w:rPr>
          <w:rFonts w:ascii="Arial" w:cs="Arial" w:eastAsia="Arial" w:hAnsi="Arial"/>
          <w:sz w:val="14"/>
          <w:szCs w:val="14"/>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1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2.5.</w:t>
      </w:r>
      <w:r>
        <w:rPr>
          <w:sz w:val="20"/>
          <w:szCs w:val="20"/>
          <w:color w:val="auto"/>
        </w:rPr>
        <w:tab/>
      </w:r>
      <w:r>
        <w:rPr>
          <w:rFonts w:ascii="Arial" w:cs="Arial" w:eastAsia="Arial" w:hAnsi="Arial"/>
          <w:sz w:val="13"/>
          <w:szCs w:val="13"/>
          <w:color w:val="auto"/>
        </w:rPr>
        <w:t>NOTICE OF STOCKHOLDERS’ MEETINGS</w:t>
      </w:r>
    </w:p>
    <w:p>
      <w:pPr>
        <w:spacing w:after="0" w:line="146"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4"/>
          <w:szCs w:val="14"/>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0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QUORUM</w:t>
      </w:r>
    </w:p>
    <w:p>
      <w:pPr>
        <w:spacing w:after="0" w:line="146"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168" w:right="319" w:bottom="1440" w:gutter="0" w:footer="0" w:header="0"/>
        </w:sectPr>
      </w:pPr>
    </w:p>
    <w:bookmarkStart w:id="48" w:name="page49"/>
    <w:bookmarkEnd w:id="48"/>
    <w:p>
      <w:pPr>
        <w:jc w:val="both"/>
        <w:ind w:firstLine="519"/>
        <w:spacing w:after="0" w:line="304" w:lineRule="auto"/>
        <w:rPr>
          <w:sz w:val="20"/>
          <w:szCs w:val="20"/>
          <w:color w:val="auto"/>
        </w:rPr>
      </w:pPr>
      <w:r>
        <w:rPr>
          <w:rFonts w:ascii="Arial" w:cs="Arial" w:eastAsia="Arial" w:hAnsi="Arial"/>
          <w:sz w:val="13"/>
          <w:szCs w:val="13"/>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77"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ADJOURNED MEETING; NOTICE</w:t>
      </w:r>
    </w:p>
    <w:p>
      <w:pPr>
        <w:spacing w:after="0" w:line="146" w:lineRule="exact"/>
        <w:rPr>
          <w:sz w:val="20"/>
          <w:szCs w:val="20"/>
          <w:color w:val="auto"/>
        </w:rPr>
      </w:pPr>
    </w:p>
    <w:p>
      <w:pPr>
        <w:jc w:val="both"/>
        <w:ind w:firstLine="519"/>
        <w:spacing w:after="0" w:line="288" w:lineRule="auto"/>
        <w:rPr>
          <w:sz w:val="20"/>
          <w:szCs w:val="20"/>
          <w:color w:val="auto"/>
        </w:rPr>
      </w:pPr>
      <w:r>
        <w:rPr>
          <w:rFonts w:ascii="Arial" w:cs="Arial" w:eastAsia="Arial" w:hAnsi="Arial"/>
          <w:sz w:val="13"/>
          <w:szCs w:val="13"/>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8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2.8.</w:t>
      </w:r>
      <w:r>
        <w:rPr>
          <w:sz w:val="20"/>
          <w:szCs w:val="20"/>
          <w:color w:val="auto"/>
        </w:rPr>
        <w:tab/>
      </w:r>
      <w:r>
        <w:rPr>
          <w:rFonts w:ascii="Arial" w:cs="Arial" w:eastAsia="Arial" w:hAnsi="Arial"/>
          <w:sz w:val="13"/>
          <w:szCs w:val="13"/>
          <w:color w:val="auto"/>
        </w:rPr>
        <w:t>CONDUCT OF BUSINESS</w:t>
      </w:r>
    </w:p>
    <w:p>
      <w:pPr>
        <w:spacing w:after="0" w:line="146" w:lineRule="exact"/>
        <w:rPr>
          <w:sz w:val="20"/>
          <w:szCs w:val="20"/>
          <w:color w:val="auto"/>
        </w:rPr>
      </w:pPr>
    </w:p>
    <w:p>
      <w:pPr>
        <w:jc w:val="both"/>
        <w:ind w:firstLine="519"/>
        <w:spacing w:after="0" w:line="291" w:lineRule="auto"/>
        <w:rPr>
          <w:sz w:val="20"/>
          <w:szCs w:val="20"/>
          <w:color w:val="auto"/>
        </w:rPr>
      </w:pPr>
      <w:r>
        <w:rPr>
          <w:rFonts w:ascii="Arial" w:cs="Arial" w:eastAsia="Arial" w:hAnsi="Arial"/>
          <w:sz w:val="13"/>
          <w:szCs w:val="13"/>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85"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VOTING</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87"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Except as may be otherwise provided in the certificate of incorporation or these bylaws, each stockholder shall be entitled to one vote for each share of capital stock held by such stockholder.</w:t>
      </w:r>
    </w:p>
    <w:p>
      <w:pPr>
        <w:spacing w:after="0" w:line="87" w:lineRule="exact"/>
        <w:rPr>
          <w:sz w:val="20"/>
          <w:szCs w:val="20"/>
          <w:color w:val="auto"/>
        </w:rPr>
      </w:pPr>
    </w:p>
    <w:p>
      <w:pPr>
        <w:jc w:val="both"/>
        <w:ind w:firstLine="519"/>
        <w:spacing w:after="0" w:line="286" w:lineRule="auto"/>
        <w:rPr>
          <w:sz w:val="20"/>
          <w:szCs w:val="20"/>
          <w:color w:val="auto"/>
        </w:rPr>
      </w:pPr>
      <w:r>
        <w:rPr>
          <w:rFonts w:ascii="Arial" w:cs="Arial" w:eastAsia="Arial" w:hAnsi="Arial"/>
          <w:sz w:val="13"/>
          <w:szCs w:val="13"/>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168" w:right="319" w:bottom="1440" w:gutter="0" w:footer="0" w:header="0"/>
        </w:sectPr>
      </w:pPr>
    </w:p>
    <w:bookmarkStart w:id="49" w:name="page50"/>
    <w:bookmarkEnd w:id="49"/>
    <w:p>
      <w:pPr>
        <w:ind w:left="520"/>
        <w:spacing w:after="0"/>
        <w:tabs>
          <w:tab w:leader="none" w:pos="1020" w:val="left"/>
        </w:tabs>
        <w:rPr>
          <w:sz w:val="20"/>
          <w:szCs w:val="20"/>
          <w:color w:val="auto"/>
        </w:rPr>
      </w:pPr>
      <w:r>
        <w:rPr>
          <w:rFonts w:ascii="Arial" w:cs="Arial" w:eastAsia="Arial" w:hAnsi="Arial"/>
          <w:sz w:val="14"/>
          <w:szCs w:val="14"/>
          <w:b w:val="1"/>
          <w:bCs w:val="1"/>
          <w:color w:val="auto"/>
        </w:rPr>
        <w:t>2.10.</w:t>
      </w:r>
      <w:r>
        <w:rPr>
          <w:sz w:val="20"/>
          <w:szCs w:val="20"/>
          <w:color w:val="auto"/>
        </w:rPr>
        <w:tab/>
      </w:r>
      <w:r>
        <w:rPr>
          <w:rFonts w:ascii="Arial" w:cs="Arial" w:eastAsia="Arial" w:hAnsi="Arial"/>
          <w:sz w:val="14"/>
          <w:szCs w:val="14"/>
          <w:color w:val="auto"/>
        </w:rPr>
        <w:t>STOCKHOLDER ACTION BY WRITTEN CONSENT WITHOUT A MEETING</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2.11.</w:t>
      </w:r>
      <w:r>
        <w:rPr>
          <w:sz w:val="20"/>
          <w:szCs w:val="20"/>
          <w:color w:val="auto"/>
        </w:rPr>
        <w:tab/>
      </w:r>
      <w:r>
        <w:rPr>
          <w:rFonts w:ascii="Arial" w:cs="Arial" w:eastAsia="Arial" w:hAnsi="Arial"/>
          <w:sz w:val="13"/>
          <w:szCs w:val="13"/>
          <w:color w:val="auto"/>
        </w:rPr>
        <w:t>RECORD DATES</w:t>
      </w:r>
    </w:p>
    <w:p>
      <w:pPr>
        <w:spacing w:after="0" w:line="146" w:lineRule="exact"/>
        <w:rPr>
          <w:sz w:val="20"/>
          <w:szCs w:val="20"/>
          <w:color w:val="auto"/>
        </w:rPr>
      </w:pPr>
    </w:p>
    <w:p>
      <w:pPr>
        <w:jc w:val="both"/>
        <w:ind w:firstLine="519"/>
        <w:spacing w:after="0" w:line="295" w:lineRule="auto"/>
        <w:rPr>
          <w:sz w:val="20"/>
          <w:szCs w:val="20"/>
          <w:color w:val="auto"/>
        </w:rPr>
      </w:pPr>
      <w:r>
        <w:rPr>
          <w:rFonts w:ascii="Arial" w:cs="Arial" w:eastAsia="Arial" w:hAnsi="Arial"/>
          <w:sz w:val="13"/>
          <w:szCs w:val="13"/>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87" w:lineRule="exact"/>
        <w:rPr>
          <w:sz w:val="20"/>
          <w:szCs w:val="20"/>
          <w:color w:val="auto"/>
        </w:rPr>
      </w:pPr>
    </w:p>
    <w:p>
      <w:pPr>
        <w:jc w:val="both"/>
        <w:ind w:firstLine="519"/>
        <w:spacing w:after="0" w:line="330" w:lineRule="auto"/>
        <w:rPr>
          <w:sz w:val="20"/>
          <w:szCs w:val="20"/>
          <w:color w:val="auto"/>
        </w:rPr>
      </w:pPr>
      <w:r>
        <w:rPr>
          <w:rFonts w:ascii="Arial" w:cs="Arial" w:eastAsia="Arial" w:hAnsi="Arial"/>
          <w:sz w:val="13"/>
          <w:szCs w:val="13"/>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65"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03" w:lineRule="exact"/>
        <w:rPr>
          <w:sz w:val="20"/>
          <w:szCs w:val="20"/>
          <w:color w:val="auto"/>
        </w:rPr>
      </w:pPr>
    </w:p>
    <w:p>
      <w:pPr>
        <w:jc w:val="both"/>
        <w:ind w:firstLine="519"/>
        <w:spacing w:after="0" w:line="295" w:lineRule="auto"/>
        <w:rPr>
          <w:sz w:val="20"/>
          <w:szCs w:val="20"/>
          <w:color w:val="auto"/>
        </w:rPr>
      </w:pPr>
      <w:r>
        <w:rPr>
          <w:rFonts w:ascii="Arial" w:cs="Arial" w:eastAsia="Arial" w:hAnsi="Arial"/>
          <w:sz w:val="13"/>
          <w:szCs w:val="13"/>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2.12.</w:t>
      </w:r>
      <w:r>
        <w:rPr>
          <w:sz w:val="20"/>
          <w:szCs w:val="20"/>
          <w:color w:val="auto"/>
        </w:rPr>
        <w:tab/>
      </w:r>
      <w:r>
        <w:rPr>
          <w:rFonts w:ascii="Arial" w:cs="Arial" w:eastAsia="Arial" w:hAnsi="Arial"/>
          <w:sz w:val="13"/>
          <w:szCs w:val="13"/>
          <w:color w:val="auto"/>
        </w:rPr>
        <w:t>PROXIES</w:t>
      </w:r>
    </w:p>
    <w:p>
      <w:pPr>
        <w:spacing w:after="0" w:line="146" w:lineRule="exact"/>
        <w:rPr>
          <w:sz w:val="20"/>
          <w:szCs w:val="20"/>
          <w:color w:val="auto"/>
        </w:rPr>
      </w:pPr>
    </w:p>
    <w:p>
      <w:pPr>
        <w:jc w:val="both"/>
        <w:ind w:firstLine="260"/>
        <w:spacing w:after="0" w:line="291" w:lineRule="auto"/>
        <w:rPr>
          <w:sz w:val="20"/>
          <w:szCs w:val="20"/>
          <w:color w:val="auto"/>
        </w:rPr>
      </w:pPr>
      <w:r>
        <w:rPr>
          <w:rFonts w:ascii="Arial" w:cs="Arial" w:eastAsia="Arial" w:hAnsi="Arial"/>
          <w:sz w:val="13"/>
          <w:szCs w:val="13"/>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85"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2.13.</w:t>
      </w:r>
      <w:r>
        <w:rPr>
          <w:sz w:val="20"/>
          <w:szCs w:val="20"/>
          <w:color w:val="auto"/>
        </w:rPr>
        <w:tab/>
      </w:r>
      <w:r>
        <w:rPr>
          <w:rFonts w:ascii="Arial" w:cs="Arial" w:eastAsia="Arial" w:hAnsi="Arial"/>
          <w:sz w:val="13"/>
          <w:szCs w:val="13"/>
          <w:color w:val="auto"/>
        </w:rPr>
        <w:t>LIST OF STOCKHOLDERS ENTITLED TO VOTE</w:t>
      </w:r>
    </w:p>
    <w:p>
      <w:pPr>
        <w:spacing w:after="0" w:line="146"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The Company shall prepare, at least 10 days before every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164" w:right="31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4"/>
          <w:szCs w:val="14"/>
          <w:color w:val="auto"/>
        </w:rPr>
        <w:t>meeting: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0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2.14.</w:t>
      </w:r>
      <w:r>
        <w:rPr>
          <w:sz w:val="20"/>
          <w:szCs w:val="20"/>
          <w:color w:val="auto"/>
        </w:rPr>
        <w:tab/>
      </w:r>
      <w:r>
        <w:rPr>
          <w:rFonts w:ascii="Arial" w:cs="Arial" w:eastAsia="Arial" w:hAnsi="Arial"/>
          <w:sz w:val="13"/>
          <w:szCs w:val="13"/>
          <w:color w:val="auto"/>
        </w:rPr>
        <w:t>INSPECTORS OF ELECTION</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Such inspectors shall:</w:t>
      </w:r>
    </w:p>
    <w:p>
      <w:pPr>
        <w:spacing w:after="0" w:line="142" w:lineRule="exact"/>
        <w:rPr>
          <w:sz w:val="20"/>
          <w:szCs w:val="20"/>
          <w:color w:val="auto"/>
        </w:rPr>
      </w:pPr>
    </w:p>
    <w:p>
      <w:pPr>
        <w:ind w:left="1560" w:hanging="515"/>
        <w:spacing w:after="0"/>
        <w:tabs>
          <w:tab w:leader="none" w:pos="1560" w:val="left"/>
        </w:tabs>
        <w:numPr>
          <w:ilvl w:val="0"/>
          <w:numId w:val="32"/>
        </w:numPr>
        <w:rPr>
          <w:rFonts w:ascii="Arial" w:cs="Arial" w:eastAsia="Arial" w:hAnsi="Arial"/>
          <w:sz w:val="14"/>
          <w:szCs w:val="14"/>
          <w:b w:val="1"/>
          <w:bCs w:val="1"/>
          <w:color w:val="auto"/>
        </w:rPr>
      </w:pPr>
      <w:r>
        <w:rPr>
          <w:rFonts w:ascii="Arial" w:cs="Arial" w:eastAsia="Arial" w:hAnsi="Arial"/>
          <w:sz w:val="14"/>
          <w:szCs w:val="14"/>
          <w:color w:val="auto"/>
        </w:rPr>
        <w:t>ascertain the number of shares outstanding and the voting power of each;</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2"/>
        </w:numPr>
        <w:rPr>
          <w:rFonts w:ascii="Arial" w:cs="Arial" w:eastAsia="Arial" w:hAnsi="Arial"/>
          <w:sz w:val="14"/>
          <w:szCs w:val="14"/>
          <w:b w:val="1"/>
          <w:bCs w:val="1"/>
          <w:color w:val="auto"/>
        </w:rPr>
      </w:pPr>
      <w:r>
        <w:rPr>
          <w:rFonts w:ascii="Arial" w:cs="Arial" w:eastAsia="Arial" w:hAnsi="Arial"/>
          <w:sz w:val="14"/>
          <w:szCs w:val="14"/>
          <w:color w:val="auto"/>
        </w:rPr>
        <w:t>determine the shares represented at the meeting and the validity of proxies and ballots;</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2"/>
        </w:numPr>
        <w:rPr>
          <w:rFonts w:ascii="Arial" w:cs="Arial" w:eastAsia="Arial" w:hAnsi="Arial"/>
          <w:sz w:val="14"/>
          <w:szCs w:val="14"/>
          <w:b w:val="1"/>
          <w:bCs w:val="1"/>
          <w:color w:val="auto"/>
        </w:rPr>
      </w:pPr>
      <w:r>
        <w:rPr>
          <w:rFonts w:ascii="Arial" w:cs="Arial" w:eastAsia="Arial" w:hAnsi="Arial"/>
          <w:sz w:val="14"/>
          <w:szCs w:val="14"/>
          <w:color w:val="auto"/>
        </w:rPr>
        <w:t>count all votes and ballots;</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2"/>
        </w:numPr>
        <w:rPr>
          <w:rFonts w:ascii="Arial" w:cs="Arial" w:eastAsia="Arial" w:hAnsi="Arial"/>
          <w:sz w:val="14"/>
          <w:szCs w:val="14"/>
          <w:b w:val="1"/>
          <w:bCs w:val="1"/>
          <w:color w:val="auto"/>
        </w:rPr>
      </w:pPr>
      <w:r>
        <w:rPr>
          <w:rFonts w:ascii="Arial" w:cs="Arial" w:eastAsia="Arial" w:hAnsi="Arial"/>
          <w:sz w:val="14"/>
          <w:szCs w:val="14"/>
          <w:color w:val="auto"/>
        </w:rPr>
        <w:t>determine and retain for a reasonable period a record of the disposition of any challenges made to any determination by the inspectors; and</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2"/>
        </w:numPr>
        <w:rPr>
          <w:rFonts w:ascii="Arial" w:cs="Arial" w:eastAsia="Arial" w:hAnsi="Arial"/>
          <w:sz w:val="14"/>
          <w:szCs w:val="14"/>
          <w:b w:val="1"/>
          <w:bCs w:val="1"/>
          <w:color w:val="auto"/>
        </w:rPr>
      </w:pPr>
      <w:r>
        <w:rPr>
          <w:rFonts w:ascii="Arial" w:cs="Arial" w:eastAsia="Arial" w:hAnsi="Arial"/>
          <w:sz w:val="14"/>
          <w:szCs w:val="14"/>
          <w:color w:val="auto"/>
        </w:rPr>
        <w:t>certify their determination of the number of shares represented at the meeting, and their count of all votes and ballots.</w:t>
      </w:r>
    </w:p>
    <w:p>
      <w:pPr>
        <w:spacing w:after="0" w:line="142"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4"/>
          <w:szCs w:val="14"/>
          <w:i w:val="1"/>
          <w:iCs w:val="1"/>
          <w:color w:val="auto"/>
        </w:rPr>
        <w:t>prima facie</w:t>
      </w:r>
      <w:r>
        <w:rPr>
          <w:rFonts w:ascii="Arial" w:cs="Arial" w:eastAsia="Arial" w:hAnsi="Arial"/>
          <w:sz w:val="14"/>
          <w:szCs w:val="14"/>
          <w:color w:val="auto"/>
        </w:rPr>
        <w:t xml:space="preserve"> evidence of the facts stated therein.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 - DIRECTORS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3"/>
          <w:szCs w:val="13"/>
          <w:color w:val="auto"/>
        </w:rPr>
        <w:t>POWERS</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business and affairs of the Company shall be managed by or under the direction of the Board of Directors, except as may be otherwise provided in the DGCL or the certificate of incorporation.</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3"/>
          <w:szCs w:val="13"/>
          <w:color w:val="auto"/>
        </w:rPr>
        <w:t>NUMBER OF DIRECTORS</w:t>
      </w:r>
    </w:p>
    <w:p>
      <w:pPr>
        <w:spacing w:after="0" w:line="146"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9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3"/>
          <w:szCs w:val="13"/>
          <w:color w:val="auto"/>
        </w:rPr>
        <w:t>ELECTION, QUALIFICATION AND TERM OF OFFICE OF DIRECTORS</w:t>
      </w:r>
    </w:p>
    <w:p>
      <w:pPr>
        <w:spacing w:after="0" w:line="146"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1168" w:right="319" w:bottom="1440" w:gutter="0" w:footer="0" w:header="0"/>
        </w:sectPr>
      </w:pPr>
    </w:p>
    <w:bookmarkStart w:id="51" w:name="page52"/>
    <w:bookmarkEnd w:id="51"/>
    <w:p>
      <w:pPr>
        <w:ind w:left="520"/>
        <w:spacing w:after="0"/>
        <w:rPr>
          <w:sz w:val="20"/>
          <w:szCs w:val="20"/>
          <w:color w:val="auto"/>
        </w:rPr>
      </w:pPr>
      <w:r>
        <w:rPr>
          <w:rFonts w:ascii="Arial" w:cs="Arial" w:eastAsia="Arial" w:hAnsi="Arial"/>
          <w:sz w:val="14"/>
          <w:szCs w:val="14"/>
          <w:color w:val="auto"/>
        </w:rPr>
        <w:t>If so provided in the certificate of incorporation, the directors of the Company shall be divided into three classes.</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3"/>
          <w:szCs w:val="13"/>
          <w:color w:val="auto"/>
        </w:rPr>
        <w:t>RESIGNATION AND VACANCIES</w:t>
      </w:r>
    </w:p>
    <w:p>
      <w:pPr>
        <w:spacing w:after="0" w:line="146"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03"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3"/>
          <w:szCs w:val="13"/>
          <w:color w:val="auto"/>
        </w:rPr>
        <w:t>PLACE OF MEETINGS; MEETINGS BY TELEPHONE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Board of Directors may hold meetings, both regular and special, either within or outside the State of Delaware.</w:t>
      </w:r>
    </w:p>
    <w:p>
      <w:pPr>
        <w:spacing w:after="0" w:line="142"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9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REGULAR MEETINGS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Regular meetings of the Board of Directors may be held without notice at such time and at such place as shall from time to time be determined by the Board of Directors.</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3.7.</w:t>
      </w:r>
      <w:r>
        <w:rPr>
          <w:sz w:val="20"/>
          <w:szCs w:val="20"/>
          <w:color w:val="auto"/>
        </w:rPr>
        <w:tab/>
      </w:r>
      <w:r>
        <w:rPr>
          <w:rFonts w:ascii="Arial" w:cs="Arial" w:eastAsia="Arial" w:hAnsi="Arial"/>
          <w:sz w:val="13"/>
          <w:szCs w:val="13"/>
          <w:color w:val="auto"/>
        </w:rPr>
        <w:t>SPECIAL MEETINGS; NOTICE</w:t>
      </w:r>
    </w:p>
    <w:p>
      <w:pPr>
        <w:spacing w:after="0" w:line="146" w:lineRule="exact"/>
        <w:rPr>
          <w:sz w:val="20"/>
          <w:szCs w:val="20"/>
          <w:color w:val="auto"/>
        </w:rPr>
      </w:pPr>
    </w:p>
    <w:p>
      <w:pPr>
        <w:ind w:right="120" w:firstLine="519"/>
        <w:spacing w:after="0" w:line="290" w:lineRule="auto"/>
        <w:rPr>
          <w:sz w:val="20"/>
          <w:szCs w:val="20"/>
          <w:color w:val="auto"/>
        </w:rPr>
      </w:pPr>
      <w:r>
        <w:rPr>
          <w:rFonts w:ascii="Arial" w:cs="Arial" w:eastAsia="Arial" w:hAnsi="Arial"/>
          <w:sz w:val="14"/>
          <w:szCs w:val="14"/>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Notice of the time and place of special meetings shall be:</w:t>
      </w:r>
    </w:p>
    <w:p>
      <w:pPr>
        <w:spacing w:after="0" w:line="142" w:lineRule="exact"/>
        <w:rPr>
          <w:sz w:val="20"/>
          <w:szCs w:val="20"/>
          <w:color w:val="auto"/>
        </w:rPr>
      </w:pPr>
    </w:p>
    <w:p>
      <w:pPr>
        <w:ind w:left="1560" w:hanging="515"/>
        <w:spacing w:after="0"/>
        <w:tabs>
          <w:tab w:leader="none" w:pos="156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delivered personally by hand, by courier or by telephone;</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sent by United States first-class mail, postage prepaid;</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sent by facsimile;</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sent by electronic mail; or</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otherwise given by electronic transmission (as defined in Section 232 of the DGCL),</w:t>
      </w:r>
    </w:p>
    <w:p>
      <w:pPr>
        <w:spacing w:after="0" w:line="142"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directed to each director at that director’s address, telephone number, facsimile number, electronic mail address or other contact for notice by electronic transmission, as the case may be, as shown on the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168" w:right="319" w:bottom="1440" w:gutter="0" w:footer="0" w:header="0"/>
        </w:sectPr>
      </w:pPr>
    </w:p>
    <w:bookmarkStart w:id="52" w:name="page53"/>
    <w:bookmarkEnd w:id="52"/>
    <w:p>
      <w:pPr>
        <w:jc w:val="both"/>
        <w:ind w:firstLine="519"/>
        <w:spacing w:after="0" w:line="268" w:lineRule="auto"/>
        <w:rPr>
          <w:sz w:val="20"/>
          <w:szCs w:val="20"/>
          <w:color w:val="auto"/>
        </w:rPr>
      </w:pPr>
      <w:r>
        <w:rPr>
          <w:rFonts w:ascii="Arial" w:cs="Arial" w:eastAsia="Arial" w:hAnsi="Arial"/>
          <w:sz w:val="14"/>
          <w:szCs w:val="14"/>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color w:val="auto"/>
        </w:rPr>
        <w:t>QUORUM; VOTING</w:t>
      </w:r>
    </w:p>
    <w:p>
      <w:pPr>
        <w:spacing w:after="0" w:line="146" w:lineRule="exact"/>
        <w:rPr>
          <w:sz w:val="20"/>
          <w:szCs w:val="20"/>
          <w:color w:val="auto"/>
        </w:rPr>
      </w:pPr>
    </w:p>
    <w:p>
      <w:pPr>
        <w:jc w:val="both"/>
        <w:ind w:firstLine="519"/>
        <w:spacing w:after="0" w:line="330" w:lineRule="auto"/>
        <w:rPr>
          <w:sz w:val="20"/>
          <w:szCs w:val="20"/>
          <w:color w:val="auto"/>
        </w:rPr>
      </w:pPr>
      <w:r>
        <w:rPr>
          <w:rFonts w:ascii="Arial" w:cs="Arial" w:eastAsia="Arial" w:hAnsi="Arial"/>
          <w:sz w:val="13"/>
          <w:szCs w:val="13"/>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65"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87"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9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BOARD ACTION BY WRITTEN CONSENT WITHOUT A MEETING</w:t>
      </w:r>
    </w:p>
    <w:p>
      <w:pPr>
        <w:spacing w:after="0" w:line="146" w:lineRule="exact"/>
        <w:rPr>
          <w:sz w:val="20"/>
          <w:szCs w:val="20"/>
          <w:color w:val="auto"/>
        </w:rPr>
      </w:pPr>
    </w:p>
    <w:p>
      <w:pPr>
        <w:jc w:val="both"/>
        <w:ind w:firstLine="519"/>
        <w:spacing w:after="0" w:line="286" w:lineRule="auto"/>
        <w:rPr>
          <w:sz w:val="20"/>
          <w:szCs w:val="20"/>
          <w:color w:val="auto"/>
        </w:rPr>
      </w:pPr>
      <w:r>
        <w:rPr>
          <w:rFonts w:ascii="Arial" w:cs="Arial" w:eastAsia="Arial" w:hAnsi="Arial"/>
          <w:sz w:val="13"/>
          <w:szCs w:val="13"/>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spacing w:after="0" w:line="91"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3.10.</w:t>
      </w:r>
      <w:r>
        <w:rPr>
          <w:sz w:val="20"/>
          <w:szCs w:val="20"/>
          <w:color w:val="auto"/>
        </w:rPr>
        <w:tab/>
      </w:r>
      <w:r>
        <w:rPr>
          <w:rFonts w:ascii="Arial" w:cs="Arial" w:eastAsia="Arial" w:hAnsi="Arial"/>
          <w:sz w:val="13"/>
          <w:szCs w:val="13"/>
          <w:color w:val="auto"/>
        </w:rPr>
        <w:t>FEES AND COMPENSATION OF DIRECTORS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Unless otherwise restricted by the certificate of incorporation or these bylaws, the Board of Directors shall have the authority to fix the compensation of directors.</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3.11.</w:t>
      </w:r>
      <w:r>
        <w:rPr>
          <w:sz w:val="20"/>
          <w:szCs w:val="20"/>
          <w:color w:val="auto"/>
        </w:rPr>
        <w:tab/>
      </w:r>
      <w:r>
        <w:rPr>
          <w:rFonts w:ascii="Arial" w:cs="Arial" w:eastAsia="Arial" w:hAnsi="Arial"/>
          <w:sz w:val="13"/>
          <w:szCs w:val="13"/>
          <w:color w:val="auto"/>
        </w:rPr>
        <w:t>REMOVAL OF DIRECTORS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Any director or the entire Board of Directors may be removed from office by stockholders of the Company in the manner specified in the certificate of incorporation and applicable law.</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No reduction of the authorized number of directors shall have the effect of removing any director prior to the expiration of such director’s term of office.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 - COMMITTEES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3"/>
          <w:szCs w:val="13"/>
          <w:color w:val="auto"/>
        </w:rPr>
        <w:t>COMMITTEES OF DIRECTORS</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Board of Directors may, by resolution passed by a majority of the Whole Board, designate one or more committees, each committee to consist of one or more of the directors of the Company. The Board of Directors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1168" w:right="31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4"/>
          <w:szCs w:val="14"/>
          <w:color w:val="auto"/>
        </w:rPr>
        <w:t>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0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color w:val="auto"/>
        </w:rPr>
        <w:t>COMMITTEE MINUTES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Each committee and subcommittee shall keep regular minutes of its meetings.</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color w:val="auto"/>
        </w:rPr>
        <w:t>MEETINGS AND ACTION OF COMMITTEES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Meetings and actions of committees and subcommittees shall be governed by, and held and taken in accordance with, the provisions of:</w:t>
      </w:r>
    </w:p>
    <w:p>
      <w:pPr>
        <w:spacing w:after="0" w:line="142" w:lineRule="exact"/>
        <w:rPr>
          <w:sz w:val="20"/>
          <w:szCs w:val="20"/>
          <w:color w:val="auto"/>
        </w:rPr>
      </w:pPr>
    </w:p>
    <w:p>
      <w:pPr>
        <w:ind w:left="1560" w:hanging="515"/>
        <w:spacing w:after="0"/>
        <w:tabs>
          <w:tab w:leader="none" w:pos="1560" w:val="left"/>
        </w:tabs>
        <w:numPr>
          <w:ilvl w:val="0"/>
          <w:numId w:val="34"/>
        </w:numPr>
        <w:rPr>
          <w:rFonts w:ascii="Arial" w:cs="Arial" w:eastAsia="Arial" w:hAnsi="Arial"/>
          <w:sz w:val="14"/>
          <w:szCs w:val="14"/>
          <w:b w:val="1"/>
          <w:bCs w:val="1"/>
          <w:color w:val="auto"/>
        </w:rPr>
      </w:pPr>
      <w:r>
        <w:rPr>
          <w:rFonts w:ascii="Arial" w:cs="Arial" w:eastAsia="Arial" w:hAnsi="Arial"/>
          <w:sz w:val="14"/>
          <w:szCs w:val="14"/>
          <w:color w:val="auto"/>
        </w:rPr>
        <w:t>Section 3.5 (place of meetings and meetings by telephone);</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4"/>
        </w:numPr>
        <w:rPr>
          <w:rFonts w:ascii="Arial" w:cs="Arial" w:eastAsia="Arial" w:hAnsi="Arial"/>
          <w:sz w:val="14"/>
          <w:szCs w:val="14"/>
          <w:b w:val="1"/>
          <w:bCs w:val="1"/>
          <w:color w:val="auto"/>
        </w:rPr>
      </w:pPr>
      <w:r>
        <w:rPr>
          <w:rFonts w:ascii="Arial" w:cs="Arial" w:eastAsia="Arial" w:hAnsi="Arial"/>
          <w:sz w:val="14"/>
          <w:szCs w:val="14"/>
          <w:color w:val="auto"/>
        </w:rPr>
        <w:t>Section 3.6 (regular meetings);</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4"/>
        </w:numPr>
        <w:rPr>
          <w:rFonts w:ascii="Arial" w:cs="Arial" w:eastAsia="Arial" w:hAnsi="Arial"/>
          <w:sz w:val="14"/>
          <w:szCs w:val="14"/>
          <w:b w:val="1"/>
          <w:bCs w:val="1"/>
          <w:color w:val="auto"/>
        </w:rPr>
      </w:pPr>
      <w:r>
        <w:rPr>
          <w:rFonts w:ascii="Arial" w:cs="Arial" w:eastAsia="Arial" w:hAnsi="Arial"/>
          <w:sz w:val="14"/>
          <w:szCs w:val="14"/>
          <w:color w:val="auto"/>
        </w:rPr>
        <w:t>Section 3.7 (special meetings and notice);</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4"/>
        </w:numPr>
        <w:rPr>
          <w:rFonts w:ascii="Arial" w:cs="Arial" w:eastAsia="Arial" w:hAnsi="Arial"/>
          <w:sz w:val="14"/>
          <w:szCs w:val="14"/>
          <w:b w:val="1"/>
          <w:bCs w:val="1"/>
          <w:color w:val="auto"/>
        </w:rPr>
      </w:pPr>
      <w:r>
        <w:rPr>
          <w:rFonts w:ascii="Arial" w:cs="Arial" w:eastAsia="Arial" w:hAnsi="Arial"/>
          <w:sz w:val="14"/>
          <w:szCs w:val="14"/>
          <w:color w:val="auto"/>
        </w:rPr>
        <w:t>Section 3.8 (quorum; voting);</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4"/>
        </w:numPr>
        <w:rPr>
          <w:rFonts w:ascii="Arial" w:cs="Arial" w:eastAsia="Arial" w:hAnsi="Arial"/>
          <w:sz w:val="14"/>
          <w:szCs w:val="14"/>
          <w:b w:val="1"/>
          <w:bCs w:val="1"/>
          <w:color w:val="auto"/>
        </w:rPr>
      </w:pPr>
      <w:r>
        <w:rPr>
          <w:rFonts w:ascii="Arial" w:cs="Arial" w:eastAsia="Arial" w:hAnsi="Arial"/>
          <w:sz w:val="14"/>
          <w:szCs w:val="14"/>
          <w:color w:val="auto"/>
        </w:rPr>
        <w:t>Section 3.9 (action without a meeting); and</w:t>
      </w:r>
    </w:p>
    <w:p>
      <w:pPr>
        <w:spacing w:after="0" w:line="141"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4"/>
        </w:numPr>
        <w:rPr>
          <w:rFonts w:ascii="Arial" w:cs="Arial" w:eastAsia="Arial" w:hAnsi="Arial"/>
          <w:sz w:val="14"/>
          <w:szCs w:val="14"/>
          <w:b w:val="1"/>
          <w:bCs w:val="1"/>
          <w:color w:val="auto"/>
        </w:rPr>
      </w:pPr>
      <w:r>
        <w:rPr>
          <w:rFonts w:ascii="Arial" w:cs="Arial" w:eastAsia="Arial" w:hAnsi="Arial"/>
          <w:sz w:val="14"/>
          <w:szCs w:val="14"/>
          <w:color w:val="auto"/>
        </w:rPr>
        <w:t>Section 7.4 (waiver of notice)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spacing w:after="0" w:line="10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3"/>
          <w:szCs w:val="13"/>
          <w:color w:val="auto"/>
        </w:rPr>
        <w:t>SUBCOMMITTEES</w:t>
      </w:r>
    </w:p>
    <w:p>
      <w:pPr>
        <w:spacing w:after="0" w:line="146" w:lineRule="exact"/>
        <w:rPr>
          <w:sz w:val="20"/>
          <w:szCs w:val="20"/>
          <w:color w:val="auto"/>
        </w:rPr>
      </w:pPr>
    </w:p>
    <w:p>
      <w:pPr>
        <w:jc w:val="both"/>
        <w:ind w:firstLine="519"/>
        <w:spacing w:after="0" w:line="330" w:lineRule="auto"/>
        <w:rPr>
          <w:sz w:val="20"/>
          <w:szCs w:val="20"/>
          <w:color w:val="auto"/>
        </w:rPr>
      </w:pPr>
      <w:r>
        <w:rPr>
          <w:rFonts w:ascii="Arial" w:cs="Arial" w:eastAsia="Arial" w:hAnsi="Arial"/>
          <w:sz w:val="13"/>
          <w:szCs w:val="13"/>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1168"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ARTICLE V - OFFICERS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3"/>
          <w:szCs w:val="13"/>
          <w:color w:val="auto"/>
        </w:rPr>
        <w:t>OFFICERS</w:t>
      </w:r>
    </w:p>
    <w:p>
      <w:pPr>
        <w:spacing w:after="0" w:line="146"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3"/>
          <w:szCs w:val="13"/>
          <w:color w:val="auto"/>
        </w:rPr>
        <w:t>APPOINTMENT OF OFFICERS</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3"/>
          <w:szCs w:val="13"/>
          <w:color w:val="auto"/>
        </w:rPr>
        <w:t>SUBORDINATE OFFICERS</w:t>
      </w:r>
    </w:p>
    <w:p>
      <w:pPr>
        <w:spacing w:after="0" w:line="146"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9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3"/>
          <w:szCs w:val="13"/>
          <w:color w:val="auto"/>
        </w:rPr>
        <w:t>REMOVAL AND RESIGNATION OF OFFICERS</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87"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9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3"/>
          <w:szCs w:val="13"/>
          <w:color w:val="auto"/>
        </w:rPr>
        <w:t>VACANCIES IN OFFICES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Any vacancy occurring in any office of the Company shall be filled by the Board of Directors or as provided in Section 5.3.</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3"/>
          <w:szCs w:val="13"/>
          <w:color w:val="auto"/>
        </w:rPr>
        <w:t>REPRESENTATION OF SECURITIES OF OTHER ENTITIES</w:t>
      </w:r>
    </w:p>
    <w:p>
      <w:pPr>
        <w:spacing w:after="0" w:line="146"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color w:val="auto"/>
        </w:rPr>
        <w:t>AUTHORITY AND DUTIES OF OFFICERS</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All officers of the Company shall respectively have such authority and perform such duties in the management of the business of the Company as may be designated from time to time by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1293"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to the extent not so provided, as generally pertain to their respective offices, subject to the control of the Board of Directors.</w:t>
      </w:r>
    </w:p>
    <w:p>
      <w:pPr>
        <w:spacing w:after="0" w:line="138"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ARTICLE VI - STOCK</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3"/>
          <w:szCs w:val="13"/>
          <w:color w:val="auto"/>
        </w:rPr>
        <w:t>STOCK CERTIFICATES; PARTLY PAID SHARES</w:t>
      </w:r>
    </w:p>
    <w:p>
      <w:pPr>
        <w:spacing w:after="0" w:line="146" w:lineRule="exact"/>
        <w:rPr>
          <w:sz w:val="20"/>
          <w:szCs w:val="20"/>
          <w:color w:val="auto"/>
        </w:rPr>
      </w:pPr>
    </w:p>
    <w:p>
      <w:pPr>
        <w:jc w:val="both"/>
        <w:ind w:firstLine="519"/>
        <w:spacing w:after="0" w:line="288" w:lineRule="auto"/>
        <w:rPr>
          <w:sz w:val="20"/>
          <w:szCs w:val="20"/>
          <w:color w:val="auto"/>
        </w:rPr>
      </w:pPr>
      <w:r>
        <w:rPr>
          <w:rFonts w:ascii="Arial" w:cs="Arial" w:eastAsia="Arial" w:hAnsi="Arial"/>
          <w:sz w:val="13"/>
          <w:szCs w:val="13"/>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92"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3"/>
          <w:szCs w:val="13"/>
          <w:color w:val="auto"/>
        </w:rPr>
        <w:t>SPECIAL DESIGNATION ON CERTIFICATES</w:t>
      </w:r>
    </w:p>
    <w:p>
      <w:pPr>
        <w:spacing w:after="0" w:line="146" w:lineRule="exact"/>
        <w:rPr>
          <w:sz w:val="20"/>
          <w:szCs w:val="20"/>
          <w:color w:val="auto"/>
        </w:rPr>
      </w:pPr>
    </w:p>
    <w:p>
      <w:pPr>
        <w:jc w:val="both"/>
        <w:ind w:firstLine="519"/>
        <w:spacing w:after="0" w:line="283" w:lineRule="auto"/>
        <w:rPr>
          <w:sz w:val="20"/>
          <w:szCs w:val="20"/>
          <w:color w:val="auto"/>
        </w:rPr>
      </w:pPr>
      <w:r>
        <w:rPr>
          <w:rFonts w:ascii="Arial" w:cs="Arial" w:eastAsia="Arial" w:hAnsi="Arial"/>
          <w:sz w:val="13"/>
          <w:szCs w:val="13"/>
          <w:color w:val="auto"/>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91"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3"/>
          <w:szCs w:val="13"/>
          <w:color w:val="auto"/>
        </w:rPr>
        <w:t>LOST CERTIFICATES</w:t>
      </w:r>
    </w:p>
    <w:p>
      <w:pPr>
        <w:spacing w:after="0" w:line="146" w:lineRule="exact"/>
        <w:rPr>
          <w:sz w:val="20"/>
          <w:szCs w:val="20"/>
          <w:color w:val="auto"/>
        </w:rPr>
      </w:pPr>
    </w:p>
    <w:p>
      <w:pPr>
        <w:jc w:val="both"/>
        <w:ind w:firstLine="519"/>
        <w:spacing w:after="0" w:line="295" w:lineRule="auto"/>
        <w:rPr>
          <w:sz w:val="20"/>
          <w:szCs w:val="20"/>
          <w:color w:val="auto"/>
        </w:rPr>
      </w:pPr>
      <w:r>
        <w:rPr>
          <w:rFonts w:ascii="Arial" w:cs="Arial" w:eastAsia="Arial" w:hAnsi="Arial"/>
          <w:sz w:val="13"/>
          <w:szCs w:val="13"/>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1168" w:right="319" w:bottom="1440" w:gutter="0" w:footer="0" w:header="0"/>
        </w:sectPr>
      </w:pPr>
    </w:p>
    <w:bookmarkStart w:id="56" w:name="page57"/>
    <w:bookmarkEnd w:id="56"/>
    <w:p>
      <w:pPr>
        <w:ind w:left="520"/>
        <w:spacing w:after="0"/>
        <w:tabs>
          <w:tab w:leader="none" w:pos="1020" w:val="left"/>
        </w:tabs>
        <w:rPr>
          <w:sz w:val="20"/>
          <w:szCs w:val="20"/>
          <w:color w:val="auto"/>
        </w:rPr>
      </w:pPr>
      <w:r>
        <w:rPr>
          <w:rFonts w:ascii="Arial" w:cs="Arial" w:eastAsia="Arial" w:hAnsi="Arial"/>
          <w:sz w:val="14"/>
          <w:szCs w:val="14"/>
          <w:b w:val="1"/>
          <w:bCs w:val="1"/>
          <w:color w:val="auto"/>
        </w:rPr>
        <w:t>6.4.</w:t>
      </w:r>
      <w:r>
        <w:rPr>
          <w:sz w:val="20"/>
          <w:szCs w:val="20"/>
          <w:color w:val="auto"/>
        </w:rPr>
        <w:tab/>
      </w:r>
      <w:r>
        <w:rPr>
          <w:rFonts w:ascii="Arial" w:cs="Arial" w:eastAsia="Arial" w:hAnsi="Arial"/>
          <w:sz w:val="14"/>
          <w:szCs w:val="14"/>
          <w:color w:val="auto"/>
        </w:rPr>
        <w:t>DIVIDENDS</w:t>
      </w:r>
    </w:p>
    <w:p>
      <w:pPr>
        <w:spacing w:after="0" w:line="146"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9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3"/>
          <w:szCs w:val="13"/>
          <w:color w:val="auto"/>
        </w:rPr>
        <w:t>TRANSFER OF STOCK</w:t>
      </w:r>
    </w:p>
    <w:p>
      <w:pPr>
        <w:spacing w:after="0" w:line="146" w:lineRule="exact"/>
        <w:rPr>
          <w:sz w:val="20"/>
          <w:szCs w:val="20"/>
          <w:color w:val="auto"/>
        </w:rPr>
      </w:pPr>
    </w:p>
    <w:p>
      <w:pPr>
        <w:jc w:val="both"/>
        <w:ind w:firstLine="519"/>
        <w:spacing w:after="0" w:line="330" w:lineRule="auto"/>
        <w:rPr>
          <w:sz w:val="20"/>
          <w:szCs w:val="20"/>
          <w:color w:val="auto"/>
        </w:rPr>
      </w:pPr>
      <w:r>
        <w:rPr>
          <w:rFonts w:ascii="Arial" w:cs="Arial" w:eastAsia="Arial" w:hAnsi="Arial"/>
          <w:sz w:val="13"/>
          <w:szCs w:val="13"/>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61"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6.6.</w:t>
      </w:r>
      <w:r>
        <w:rPr>
          <w:sz w:val="20"/>
          <w:szCs w:val="20"/>
          <w:color w:val="auto"/>
        </w:rPr>
        <w:tab/>
      </w:r>
      <w:r>
        <w:rPr>
          <w:rFonts w:ascii="Arial" w:cs="Arial" w:eastAsia="Arial" w:hAnsi="Arial"/>
          <w:sz w:val="13"/>
          <w:szCs w:val="13"/>
          <w:color w:val="auto"/>
        </w:rPr>
        <w:t>STOCK TRANSFER AGREEMENTS</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3"/>
          <w:szCs w:val="13"/>
          <w:color w:val="auto"/>
        </w:rPr>
        <w:t>REGISTERED STOCKHOLDERS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w:t>
      </w:r>
    </w:p>
    <w:p>
      <w:pPr>
        <w:spacing w:after="0" w:line="142" w:lineRule="exact"/>
        <w:rPr>
          <w:sz w:val="20"/>
          <w:szCs w:val="20"/>
          <w:color w:val="auto"/>
        </w:rPr>
      </w:pPr>
    </w:p>
    <w:p>
      <w:pPr>
        <w:ind w:left="1560" w:hanging="515"/>
        <w:spacing w:after="0"/>
        <w:tabs>
          <w:tab w:leader="none" w:pos="1560" w:val="left"/>
        </w:tabs>
        <w:numPr>
          <w:ilvl w:val="0"/>
          <w:numId w:val="35"/>
        </w:numPr>
        <w:rPr>
          <w:rFonts w:ascii="Arial" w:cs="Arial" w:eastAsia="Arial" w:hAnsi="Arial"/>
          <w:sz w:val="13"/>
          <w:szCs w:val="13"/>
          <w:b w:val="1"/>
          <w:bCs w:val="1"/>
          <w:color w:val="auto"/>
        </w:rPr>
      </w:pPr>
      <w:r>
        <w:rPr>
          <w:rFonts w:ascii="Arial" w:cs="Arial" w:eastAsia="Arial" w:hAnsi="Arial"/>
          <w:sz w:val="13"/>
          <w:szCs w:val="13"/>
          <w:color w:val="auto"/>
        </w:rPr>
        <w:t>shall be entitled to recognize the exclusive right of a person registered on its books as the owner of shares to receive dividends and notices and to vote as such owner;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133" w:lineRule="exact"/>
        <w:rPr>
          <w:sz w:val="20"/>
          <w:szCs w:val="20"/>
          <w:color w:val="auto"/>
        </w:rPr>
      </w:pPr>
    </w:p>
    <w:p>
      <w:pPr>
        <w:ind w:right="180" w:firstLine="1045"/>
        <w:spacing w:after="0" w:line="290" w:lineRule="auto"/>
        <w:tabs>
          <w:tab w:leader="none" w:pos="1550" w:val="left"/>
        </w:tabs>
        <w:numPr>
          <w:ilvl w:val="0"/>
          <w:numId w:val="36"/>
        </w:numPr>
        <w:rPr>
          <w:rFonts w:ascii="Arial" w:cs="Arial" w:eastAsia="Arial" w:hAnsi="Arial"/>
          <w:sz w:val="14"/>
          <w:szCs w:val="14"/>
          <w:b w:val="1"/>
          <w:bCs w:val="1"/>
          <w:color w:val="auto"/>
        </w:rPr>
      </w:pPr>
      <w:r>
        <w:rPr>
          <w:rFonts w:ascii="Arial" w:cs="Arial" w:eastAsia="Arial" w:hAnsi="Arial"/>
          <w:sz w:val="14"/>
          <w:szCs w:val="14"/>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6.8.</w:t>
      </w:r>
      <w:r>
        <w:rPr>
          <w:sz w:val="20"/>
          <w:szCs w:val="20"/>
          <w:color w:val="auto"/>
        </w:rPr>
        <w:tab/>
      </w:r>
      <w:r>
        <w:rPr>
          <w:rFonts w:ascii="Arial" w:cs="Arial" w:eastAsia="Arial" w:hAnsi="Arial"/>
          <w:sz w:val="14"/>
          <w:szCs w:val="14"/>
          <w:color w:val="auto"/>
        </w:rPr>
        <w:t>LOCK-UP</w:t>
      </w:r>
    </w:p>
    <w:p>
      <w:pPr>
        <w:spacing w:after="0" w:line="142" w:lineRule="exact"/>
        <w:rPr>
          <w:sz w:val="20"/>
          <w:szCs w:val="20"/>
          <w:color w:val="auto"/>
        </w:rPr>
      </w:pPr>
    </w:p>
    <w:p>
      <w:pPr>
        <w:jc w:val="both"/>
        <w:ind w:firstLine="1045"/>
        <w:spacing w:after="0" w:line="267" w:lineRule="auto"/>
        <w:tabs>
          <w:tab w:leader="none" w:pos="1553" w:val="left"/>
        </w:tabs>
        <w:numPr>
          <w:ilvl w:val="0"/>
          <w:numId w:val="37"/>
        </w:numPr>
        <w:rPr>
          <w:rFonts w:ascii="Arial" w:cs="Arial" w:eastAsia="Arial" w:hAnsi="Arial"/>
          <w:sz w:val="14"/>
          <w:szCs w:val="14"/>
          <w:b w:val="1"/>
          <w:bCs w:val="1"/>
          <w:color w:val="auto"/>
        </w:rPr>
      </w:pPr>
      <w:r>
        <w:rPr>
          <w:rFonts w:ascii="Arial" w:cs="Arial" w:eastAsia="Arial" w:hAnsi="Arial"/>
          <w:sz w:val="14"/>
          <w:szCs w:val="14"/>
          <w:color w:val="auto"/>
        </w:rPr>
        <w:t>Subject to Section 6.8(b), the holders (the “</w:t>
      </w:r>
      <w:r>
        <w:rPr>
          <w:rFonts w:ascii="Arial" w:cs="Arial" w:eastAsia="Arial" w:hAnsi="Arial"/>
          <w:sz w:val="14"/>
          <w:szCs w:val="14"/>
          <w:b w:val="1"/>
          <w:bCs w:val="1"/>
          <w:color w:val="auto"/>
        </w:rPr>
        <w:t>Lock-up Holders</w:t>
      </w:r>
      <w:r>
        <w:rPr>
          <w:rFonts w:ascii="Arial" w:cs="Arial" w:eastAsia="Arial" w:hAnsi="Arial"/>
          <w:sz w:val="14"/>
          <w:szCs w:val="14"/>
          <w:color w:val="auto"/>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Arial" w:cs="Arial" w:eastAsia="Arial" w:hAnsi="Arial"/>
          <w:sz w:val="14"/>
          <w:szCs w:val="14"/>
          <w:b w:val="1"/>
          <w:bCs w:val="1"/>
          <w:color w:val="auto"/>
        </w:rPr>
        <w:t>Existing Equity</w:t>
      </w:r>
      <w:r>
        <w:rPr>
          <w:rFonts w:ascii="Arial" w:cs="Arial" w:eastAsia="Arial" w:hAnsi="Arial"/>
          <w:sz w:val="14"/>
          <w:szCs w:val="14"/>
          <w:color w:val="auto"/>
        </w:rPr>
        <w:t xml:space="preserve"> Award Shares”), may not Transfer any Lock-up Shares until the end of the Lock-up Period (the “</w:t>
      </w:r>
      <w:r>
        <w:rPr>
          <w:rFonts w:ascii="Arial" w:cs="Arial" w:eastAsia="Arial" w:hAnsi="Arial"/>
          <w:sz w:val="14"/>
          <w:szCs w:val="14"/>
          <w:b w:val="1"/>
          <w:bCs w:val="1"/>
          <w:color w:val="auto"/>
        </w:rPr>
        <w:t>Lock-up</w:t>
      </w:r>
      <w:r>
        <w:rPr>
          <w:rFonts w:ascii="Arial" w:cs="Arial" w:eastAsia="Arial" w:hAnsi="Arial"/>
          <w:sz w:val="14"/>
          <w:szCs w:val="14"/>
          <w:color w:val="auto"/>
        </w:rPr>
        <w:t>”).</w:t>
      </w:r>
    </w:p>
    <w:p>
      <w:pPr>
        <w:spacing w:after="0" w:line="103" w:lineRule="exact"/>
        <w:rPr>
          <w:rFonts w:ascii="Arial" w:cs="Arial" w:eastAsia="Arial" w:hAnsi="Arial"/>
          <w:sz w:val="14"/>
          <w:szCs w:val="14"/>
          <w:b w:val="1"/>
          <w:bCs w:val="1"/>
          <w:color w:val="auto"/>
        </w:rPr>
      </w:pPr>
    </w:p>
    <w:p>
      <w:pPr>
        <w:jc w:val="both"/>
        <w:ind w:firstLine="1045"/>
        <w:spacing w:after="0" w:line="262" w:lineRule="auto"/>
        <w:tabs>
          <w:tab w:leader="none" w:pos="1550" w:val="left"/>
        </w:tabs>
        <w:numPr>
          <w:ilvl w:val="0"/>
          <w:numId w:val="37"/>
        </w:numPr>
        <w:rPr>
          <w:rFonts w:ascii="Arial" w:cs="Arial" w:eastAsia="Arial" w:hAnsi="Arial"/>
          <w:sz w:val="14"/>
          <w:szCs w:val="14"/>
          <w:b w:val="1"/>
          <w:bCs w:val="1"/>
          <w:color w:val="auto"/>
        </w:rPr>
      </w:pPr>
      <w:r>
        <w:rPr>
          <w:rFonts w:ascii="Arial" w:cs="Arial" w:eastAsia="Arial" w:hAnsi="Arial"/>
          <w:sz w:val="14"/>
          <w:szCs w:val="14"/>
          <w:color w:val="auto"/>
        </w:rPr>
        <w:t>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 (vi) if such Lock-up Holder is a trust, to a trustor or beneficiary of the trust or to the estate of a beneficiary of such trust; (vii) to the Company’s officers, directors or their affiliates; (viii) to a nominee or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1164" w:right="319" w:bottom="1440" w:gutter="0" w:footer="0" w:header="0"/>
        </w:sectPr>
      </w:pPr>
    </w:p>
    <w:bookmarkStart w:id="57" w:name="page58"/>
    <w:bookmarkEnd w:id="57"/>
    <w:p>
      <w:pPr>
        <w:jc w:val="both"/>
        <w:spacing w:after="0" w:line="262" w:lineRule="auto"/>
        <w:rPr>
          <w:sz w:val="20"/>
          <w:szCs w:val="20"/>
          <w:color w:val="auto"/>
        </w:rPr>
      </w:pPr>
      <w:r>
        <w:rPr>
          <w:rFonts w:ascii="Arial" w:cs="Arial" w:eastAsia="Arial" w:hAnsi="Arial"/>
          <w:sz w:val="14"/>
          <w:szCs w:val="14"/>
          <w:color w:val="auto"/>
        </w:rPr>
        <w:t>of a person or entity to whom a disposition or transfer would be permissible under subsections (i) through (vii) of this Section 6.8(b); (ix) as a pledge of shares of common stock as security or collateral in connection with any borrowing or the incurrence of any indebtedness by such Lock-up Holder; provided, however,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provided, however, that such plan does not provide for the Transfer of Lock-up Shares during the Lock-Up Period.</w:t>
      </w:r>
    </w:p>
    <w:p>
      <w:pPr>
        <w:spacing w:after="0" w:line="106" w:lineRule="exact"/>
        <w:rPr>
          <w:sz w:val="20"/>
          <w:szCs w:val="20"/>
          <w:color w:val="auto"/>
        </w:rPr>
      </w:pPr>
    </w:p>
    <w:p>
      <w:pPr>
        <w:jc w:val="both"/>
        <w:ind w:firstLine="1045"/>
        <w:spacing w:after="0" w:line="291" w:lineRule="auto"/>
        <w:tabs>
          <w:tab w:leader="none" w:pos="1556" w:val="left"/>
        </w:tabs>
        <w:numPr>
          <w:ilvl w:val="0"/>
          <w:numId w:val="38"/>
        </w:numPr>
        <w:rPr>
          <w:rFonts w:ascii="Arial" w:cs="Arial" w:eastAsia="Arial" w:hAnsi="Arial"/>
          <w:sz w:val="13"/>
          <w:szCs w:val="13"/>
          <w:b w:val="1"/>
          <w:bCs w:val="1"/>
          <w:color w:val="auto"/>
        </w:rPr>
      </w:pPr>
      <w:r>
        <w:rPr>
          <w:rFonts w:ascii="Arial" w:cs="Arial" w:eastAsia="Arial" w:hAnsi="Arial"/>
          <w:sz w:val="13"/>
          <w:szCs w:val="13"/>
          <w:color w:val="auto"/>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spacing w:after="0" w:line="89" w:lineRule="exact"/>
        <w:rPr>
          <w:rFonts w:ascii="Arial" w:cs="Arial" w:eastAsia="Arial" w:hAnsi="Arial"/>
          <w:sz w:val="13"/>
          <w:szCs w:val="13"/>
          <w:b w:val="1"/>
          <w:bCs w:val="1"/>
          <w:color w:val="auto"/>
        </w:rPr>
      </w:pPr>
    </w:p>
    <w:p>
      <w:pPr>
        <w:ind w:left="1560" w:hanging="515"/>
        <w:spacing w:after="0"/>
        <w:tabs>
          <w:tab w:leader="none" w:pos="1560" w:val="left"/>
        </w:tabs>
        <w:numPr>
          <w:ilvl w:val="0"/>
          <w:numId w:val="38"/>
        </w:numPr>
        <w:rPr>
          <w:rFonts w:ascii="Arial" w:cs="Arial" w:eastAsia="Arial" w:hAnsi="Arial"/>
          <w:sz w:val="14"/>
          <w:szCs w:val="14"/>
          <w:b w:val="1"/>
          <w:bCs w:val="1"/>
          <w:color w:val="auto"/>
        </w:rPr>
      </w:pPr>
      <w:r>
        <w:rPr>
          <w:rFonts w:ascii="Arial" w:cs="Arial" w:eastAsia="Arial" w:hAnsi="Arial"/>
          <w:sz w:val="14"/>
          <w:szCs w:val="14"/>
          <w:color w:val="auto"/>
        </w:rPr>
        <w:t>For purpose of this Section 6.8:</w:t>
      </w:r>
    </w:p>
    <w:p>
      <w:pPr>
        <w:spacing w:after="0" w:line="137" w:lineRule="exact"/>
        <w:rPr>
          <w:rFonts w:ascii="Arial" w:cs="Arial" w:eastAsia="Arial" w:hAnsi="Arial"/>
          <w:sz w:val="14"/>
          <w:szCs w:val="14"/>
          <w:b w:val="1"/>
          <w:bCs w:val="1"/>
          <w:color w:val="auto"/>
        </w:rPr>
      </w:pPr>
    </w:p>
    <w:p>
      <w:pPr>
        <w:ind w:firstLine="1565"/>
        <w:spacing w:after="0" w:line="296" w:lineRule="auto"/>
        <w:tabs>
          <w:tab w:leader="none" w:pos="2073" w:val="left"/>
        </w:tabs>
        <w:numPr>
          <w:ilvl w:val="1"/>
          <w:numId w:val="38"/>
        </w:numPr>
        <w:rPr>
          <w:rFonts w:ascii="Arial" w:cs="Arial" w:eastAsia="Arial" w:hAnsi="Arial"/>
          <w:sz w:val="14"/>
          <w:szCs w:val="14"/>
          <w:b w:val="1"/>
          <w:bCs w:val="1"/>
          <w:color w:val="auto"/>
        </w:rPr>
      </w:pPr>
      <w:r>
        <w:rPr>
          <w:rFonts w:ascii="Arial" w:cs="Arial" w:eastAsia="Arial" w:hAnsi="Arial"/>
          <w:sz w:val="14"/>
          <w:szCs w:val="14"/>
          <w:color w:val="auto"/>
        </w:rPr>
        <w:t>the term “</w:t>
      </w:r>
      <w:r>
        <w:rPr>
          <w:rFonts w:ascii="Arial" w:cs="Arial" w:eastAsia="Arial" w:hAnsi="Arial"/>
          <w:sz w:val="14"/>
          <w:szCs w:val="14"/>
          <w:b w:val="1"/>
          <w:bCs w:val="1"/>
          <w:color w:val="auto"/>
        </w:rPr>
        <w:t>Lock-up Period</w:t>
      </w:r>
      <w:r>
        <w:rPr>
          <w:rFonts w:ascii="Arial" w:cs="Arial" w:eastAsia="Arial" w:hAnsi="Arial"/>
          <w:sz w:val="14"/>
          <w:szCs w:val="14"/>
          <w:color w:val="auto"/>
        </w:rPr>
        <w:t>” means the period beginning on the closing date of the Business Combination Transaction and ending at the close of business on the date that is 180 days after the closing date of the Business Combination Transaction;</w:t>
      </w:r>
    </w:p>
    <w:p>
      <w:pPr>
        <w:spacing w:after="0" w:line="78" w:lineRule="exact"/>
        <w:rPr>
          <w:rFonts w:ascii="Arial" w:cs="Arial" w:eastAsia="Arial" w:hAnsi="Arial"/>
          <w:sz w:val="14"/>
          <w:szCs w:val="14"/>
          <w:b w:val="1"/>
          <w:bCs w:val="1"/>
          <w:color w:val="auto"/>
        </w:rPr>
      </w:pPr>
    </w:p>
    <w:p>
      <w:pPr>
        <w:jc w:val="both"/>
        <w:ind w:firstLine="1565"/>
        <w:spacing w:after="0" w:line="289" w:lineRule="auto"/>
        <w:tabs>
          <w:tab w:leader="none" w:pos="2070" w:val="left"/>
        </w:tabs>
        <w:numPr>
          <w:ilvl w:val="1"/>
          <w:numId w:val="38"/>
        </w:numPr>
        <w:rPr>
          <w:rFonts w:ascii="Arial" w:cs="Arial" w:eastAsia="Arial" w:hAnsi="Arial"/>
          <w:sz w:val="13"/>
          <w:szCs w:val="13"/>
          <w:b w:val="1"/>
          <w:bCs w:val="1"/>
          <w:color w:val="auto"/>
        </w:rPr>
      </w:pPr>
      <w:r>
        <w:rPr>
          <w:rFonts w:ascii="Arial" w:cs="Arial" w:eastAsia="Arial" w:hAnsi="Arial"/>
          <w:sz w:val="13"/>
          <w:szCs w:val="13"/>
          <w:color w:val="auto"/>
        </w:rPr>
        <w:t>the term “</w:t>
      </w:r>
      <w:r>
        <w:rPr>
          <w:rFonts w:ascii="Arial" w:cs="Arial" w:eastAsia="Arial" w:hAnsi="Arial"/>
          <w:sz w:val="13"/>
          <w:szCs w:val="13"/>
          <w:b w:val="1"/>
          <w:bCs w:val="1"/>
          <w:color w:val="auto"/>
        </w:rPr>
        <w:t>Lock-up Shares</w:t>
      </w:r>
      <w:r>
        <w:rPr>
          <w:rFonts w:ascii="Arial" w:cs="Arial" w:eastAsia="Arial" w:hAnsi="Arial"/>
          <w:sz w:val="13"/>
          <w:szCs w:val="13"/>
          <w:color w:val="auto"/>
        </w:rPr>
        <w:t>” 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provided, that,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3"/>
          <w:szCs w:val="13"/>
          <w:b w:val="1"/>
          <w:bCs w:val="1"/>
          <w:color w:val="auto"/>
        </w:rPr>
        <w:t>Business Combination Agreement</w:t>
      </w:r>
      <w:r>
        <w:rPr>
          <w:rFonts w:ascii="Arial" w:cs="Arial" w:eastAsia="Arial" w:hAnsi="Arial"/>
          <w:sz w:val="13"/>
          <w:szCs w:val="13"/>
          <w:color w:val="auto"/>
        </w:rPr>
        <w:t>”)) or the PIPE Financing (as defined in the Business Combination Agreement) shall not constitute Lock-up Shares;</w:t>
      </w:r>
    </w:p>
    <w:p>
      <w:pPr>
        <w:spacing w:after="0" w:line="88" w:lineRule="exact"/>
        <w:rPr>
          <w:rFonts w:ascii="Arial" w:cs="Arial" w:eastAsia="Arial" w:hAnsi="Arial"/>
          <w:sz w:val="13"/>
          <w:szCs w:val="13"/>
          <w:b w:val="1"/>
          <w:bCs w:val="1"/>
          <w:color w:val="auto"/>
        </w:rPr>
      </w:pPr>
    </w:p>
    <w:p>
      <w:pPr>
        <w:ind w:firstLine="1565"/>
        <w:spacing w:after="0" w:line="296" w:lineRule="auto"/>
        <w:tabs>
          <w:tab w:leader="none" w:pos="2077" w:val="left"/>
        </w:tabs>
        <w:numPr>
          <w:ilvl w:val="1"/>
          <w:numId w:val="38"/>
        </w:numPr>
        <w:rPr>
          <w:rFonts w:ascii="Arial" w:cs="Arial" w:eastAsia="Arial" w:hAnsi="Arial"/>
          <w:sz w:val="14"/>
          <w:szCs w:val="14"/>
          <w:b w:val="1"/>
          <w:bCs w:val="1"/>
          <w:color w:val="auto"/>
        </w:rPr>
      </w:pPr>
      <w:r>
        <w:rPr>
          <w:rFonts w:ascii="Arial" w:cs="Arial" w:eastAsia="Arial" w:hAnsi="Arial"/>
          <w:sz w:val="14"/>
          <w:szCs w:val="14"/>
          <w:color w:val="auto"/>
        </w:rPr>
        <w:t>the term “</w:t>
      </w:r>
      <w:r>
        <w:rPr>
          <w:rFonts w:ascii="Arial" w:cs="Arial" w:eastAsia="Arial" w:hAnsi="Arial"/>
          <w:sz w:val="14"/>
          <w:szCs w:val="14"/>
          <w:b w:val="1"/>
          <w:bCs w:val="1"/>
          <w:color w:val="auto"/>
        </w:rPr>
        <w:t>Permitted Transferees</w:t>
      </w:r>
      <w:r>
        <w:rPr>
          <w:rFonts w:ascii="Arial" w:cs="Arial" w:eastAsia="Arial" w:hAnsi="Arial"/>
          <w:sz w:val="14"/>
          <w:szCs w:val="14"/>
          <w:color w:val="auto"/>
        </w:rPr>
        <w:t>” means, prior to the expiration of the Lock-up Period, any person or entity to whom such Lock-up Holder is permitted to transfer such shares of common stock prior to the expiration of the Lock-up Period pursuant to Section 6.8(b); and</w:t>
      </w:r>
    </w:p>
    <w:p>
      <w:pPr>
        <w:spacing w:after="0" w:line="78" w:lineRule="exact"/>
        <w:rPr>
          <w:rFonts w:ascii="Arial" w:cs="Arial" w:eastAsia="Arial" w:hAnsi="Arial"/>
          <w:sz w:val="14"/>
          <w:szCs w:val="14"/>
          <w:b w:val="1"/>
          <w:bCs w:val="1"/>
          <w:color w:val="auto"/>
        </w:rPr>
      </w:pPr>
    </w:p>
    <w:p>
      <w:pPr>
        <w:jc w:val="both"/>
        <w:ind w:firstLine="1565"/>
        <w:spacing w:after="0" w:line="270" w:lineRule="auto"/>
        <w:tabs>
          <w:tab w:leader="none" w:pos="2069" w:val="left"/>
        </w:tabs>
        <w:numPr>
          <w:ilvl w:val="1"/>
          <w:numId w:val="38"/>
        </w:numPr>
        <w:rPr>
          <w:rFonts w:ascii="Arial" w:cs="Arial" w:eastAsia="Arial" w:hAnsi="Arial"/>
          <w:sz w:val="14"/>
          <w:szCs w:val="14"/>
          <w:b w:val="1"/>
          <w:bCs w:val="1"/>
          <w:color w:val="auto"/>
        </w:rPr>
      </w:pPr>
      <w:r>
        <w:rPr>
          <w:rFonts w:ascii="Arial" w:cs="Arial" w:eastAsia="Arial" w:hAnsi="Arial"/>
          <w:sz w:val="14"/>
          <w:szCs w:val="14"/>
          <w:color w:val="auto"/>
        </w:rPr>
        <w:t>the term “</w:t>
      </w:r>
      <w:r>
        <w:rPr>
          <w:rFonts w:ascii="Arial" w:cs="Arial" w:eastAsia="Arial" w:hAnsi="Arial"/>
          <w:sz w:val="14"/>
          <w:szCs w:val="14"/>
          <w:b w:val="1"/>
          <w:bCs w:val="1"/>
          <w:color w:val="auto"/>
        </w:rPr>
        <w:t>Transfer</w:t>
      </w:r>
      <w:r>
        <w:rPr>
          <w:rFonts w:ascii="Arial" w:cs="Arial" w:eastAsia="Arial" w:hAnsi="Arial"/>
          <w:sz w:val="14"/>
          <w:szCs w:val="14"/>
          <w:color w:val="auto"/>
        </w:rPr>
        <w:t>” 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1168" w:right="319" w:bottom="1440" w:gutter="0" w:footer="0" w:header="0"/>
        </w:sectPr>
      </w:pPr>
    </w:p>
    <w:bookmarkStart w:id="58" w:name="page59"/>
    <w:bookmarkEnd w:id="58"/>
    <w:p>
      <w:pPr>
        <w:ind w:left="3600"/>
        <w:spacing w:after="0"/>
        <w:rPr>
          <w:sz w:val="20"/>
          <w:szCs w:val="20"/>
          <w:color w:val="auto"/>
        </w:rPr>
      </w:pPr>
      <w:r>
        <w:rPr>
          <w:rFonts w:ascii="Arial" w:cs="Arial" w:eastAsia="Arial" w:hAnsi="Arial"/>
          <w:sz w:val="14"/>
          <w:szCs w:val="14"/>
          <w:b w:val="1"/>
          <w:bCs w:val="1"/>
          <w:color w:val="auto"/>
        </w:rPr>
        <w:t>ARTICLE VII - MANNER OF GIVING NOTICE AND WAIVER</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3"/>
          <w:szCs w:val="13"/>
          <w:color w:val="auto"/>
        </w:rPr>
        <w:t>NOTICE OF STOCKHOLDERS’ MEETINGS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Notice of any meeting of stockholders shall be given in the manner set forth in the DGCL.</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7.2.</w:t>
      </w:r>
      <w:r>
        <w:rPr>
          <w:sz w:val="20"/>
          <w:szCs w:val="20"/>
          <w:color w:val="auto"/>
        </w:rPr>
        <w:tab/>
      </w:r>
      <w:r>
        <w:rPr>
          <w:rFonts w:ascii="Arial" w:cs="Arial" w:eastAsia="Arial" w:hAnsi="Arial"/>
          <w:sz w:val="13"/>
          <w:szCs w:val="13"/>
          <w:color w:val="auto"/>
        </w:rPr>
        <w:t>NOTICE TO STOCKHOLDERS SHARING AN ADDRESS</w:t>
      </w:r>
    </w:p>
    <w:p>
      <w:pPr>
        <w:spacing w:after="0" w:line="146"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color w:val="auto"/>
        </w:rPr>
        <w:t>NOTICE TO PERSON WITH WHOM COMMUNICATION IS UNLAWFUL</w:t>
      </w:r>
    </w:p>
    <w:p>
      <w:pPr>
        <w:spacing w:after="0" w:line="146"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4"/>
          <w:szCs w:val="14"/>
          <w:color w:val="auto"/>
        </w:rPr>
        <w:t>WAIVER OF NOTICE</w:t>
      </w:r>
    </w:p>
    <w:p>
      <w:pPr>
        <w:spacing w:after="0" w:line="146" w:lineRule="exact"/>
        <w:rPr>
          <w:sz w:val="20"/>
          <w:szCs w:val="20"/>
          <w:color w:val="auto"/>
        </w:rPr>
      </w:pPr>
    </w:p>
    <w:p>
      <w:pPr>
        <w:jc w:val="both"/>
        <w:ind w:firstLine="519"/>
        <w:spacing w:after="0" w:line="291" w:lineRule="auto"/>
        <w:rPr>
          <w:sz w:val="20"/>
          <w:szCs w:val="20"/>
          <w:color w:val="auto"/>
        </w:rPr>
      </w:pPr>
      <w:r>
        <w:rPr>
          <w:rFonts w:ascii="Arial" w:cs="Arial" w:eastAsia="Arial" w:hAnsi="Arial"/>
          <w:sz w:val="13"/>
          <w:szCs w:val="13"/>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85"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ARTICLE VIII - INDEMNIFICATION</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3"/>
          <w:szCs w:val="13"/>
          <w:color w:val="auto"/>
        </w:rPr>
        <w:t>INDEMNIFICATION OF DIRECTORS AND OFFICERS IN THIRD PARTY PROCEEDINGS</w:t>
      </w:r>
    </w:p>
    <w:p>
      <w:pPr>
        <w:spacing w:after="0" w:line="146" w:lineRule="exact"/>
        <w:rPr>
          <w:sz w:val="20"/>
          <w:szCs w:val="20"/>
          <w:color w:val="auto"/>
        </w:rPr>
      </w:pPr>
    </w:p>
    <w:p>
      <w:pPr>
        <w:jc w:val="both"/>
        <w:ind w:firstLine="519"/>
        <w:spacing w:after="0" w:line="262" w:lineRule="auto"/>
        <w:rPr>
          <w:sz w:val="20"/>
          <w:szCs w:val="20"/>
          <w:color w:val="auto"/>
        </w:rPr>
      </w:pPr>
      <w:r>
        <w:rPr>
          <w:rFonts w:ascii="Arial" w:cs="Arial" w:eastAsia="Arial" w:hAnsi="Arial"/>
          <w:sz w:val="14"/>
          <w:szCs w:val="14"/>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4"/>
          <w:szCs w:val="14"/>
          <w:b w:val="1"/>
          <w:bCs w:val="1"/>
          <w:color w:val="auto"/>
        </w:rPr>
        <w:t>Proceeding</w:t>
      </w:r>
      <w:r>
        <w:rPr>
          <w:rFonts w:ascii="Arial" w:cs="Arial" w:eastAsia="Arial" w:hAnsi="Arial"/>
          <w:sz w:val="14"/>
          <w:szCs w:val="14"/>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1293" w:right="319" w:bottom="1440" w:gutter="0" w:footer="0" w:header="0"/>
        </w:sectPr>
      </w:pPr>
    </w:p>
    <w:bookmarkStart w:id="59" w:name="page60"/>
    <w:bookmarkEnd w:id="59"/>
    <w:p>
      <w:pPr>
        <w:jc w:val="both"/>
        <w:spacing w:after="0" w:line="290" w:lineRule="auto"/>
        <w:rPr>
          <w:sz w:val="20"/>
          <w:szCs w:val="20"/>
          <w:color w:val="auto"/>
        </w:rPr>
      </w:pPr>
      <w:r>
        <w:rPr>
          <w:rFonts w:ascii="Arial" w:cs="Arial" w:eastAsia="Arial" w:hAnsi="Arial"/>
          <w:sz w:val="14"/>
          <w:szCs w:val="14"/>
          <w:color w:val="auto"/>
        </w:rPr>
        <w:t>and in a manner which such person reasonably believed to be in or not opposed to the best interests of the Company, and, with respect to any criminal action or proceeding, had reasonable cause to believe that such person’s conduct was unlawful.</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8.2.</w:t>
      </w:r>
      <w:r>
        <w:rPr>
          <w:sz w:val="20"/>
          <w:szCs w:val="20"/>
          <w:color w:val="auto"/>
        </w:rPr>
        <w:tab/>
      </w:r>
      <w:r>
        <w:rPr>
          <w:rFonts w:ascii="Arial" w:cs="Arial" w:eastAsia="Arial" w:hAnsi="Arial"/>
          <w:sz w:val="13"/>
          <w:szCs w:val="13"/>
          <w:color w:val="auto"/>
        </w:rPr>
        <w:t>INDEMNIFICATION OF DIRECTORS AND OFFICERS IN ACTIONS BY OR IN THE RIGHT OF THE COMPANY</w:t>
      </w:r>
    </w:p>
    <w:p>
      <w:pPr>
        <w:spacing w:after="0" w:line="146" w:lineRule="exact"/>
        <w:rPr>
          <w:sz w:val="20"/>
          <w:szCs w:val="20"/>
          <w:color w:val="auto"/>
        </w:rPr>
      </w:pPr>
    </w:p>
    <w:p>
      <w:pPr>
        <w:jc w:val="both"/>
        <w:ind w:firstLine="519"/>
        <w:spacing w:after="0" w:line="285" w:lineRule="auto"/>
        <w:rPr>
          <w:sz w:val="20"/>
          <w:szCs w:val="20"/>
          <w:color w:val="auto"/>
        </w:rPr>
      </w:pPr>
      <w:r>
        <w:rPr>
          <w:rFonts w:ascii="Arial" w:cs="Arial" w:eastAsia="Arial" w:hAnsi="Arial"/>
          <w:sz w:val="13"/>
          <w:szCs w:val="13"/>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1"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3"/>
          <w:szCs w:val="13"/>
          <w:color w:val="auto"/>
        </w:rPr>
        <w:t>SUCCESSFUL DEFENSE</w:t>
      </w:r>
    </w:p>
    <w:p>
      <w:pPr>
        <w:spacing w:after="0" w:line="146" w:lineRule="exact"/>
        <w:rPr>
          <w:sz w:val="20"/>
          <w:szCs w:val="20"/>
          <w:color w:val="auto"/>
        </w:rPr>
      </w:pPr>
    </w:p>
    <w:p>
      <w:pPr>
        <w:jc w:val="both"/>
        <w:ind w:firstLine="519"/>
        <w:spacing w:after="0" w:line="291" w:lineRule="auto"/>
        <w:rPr>
          <w:sz w:val="20"/>
          <w:szCs w:val="20"/>
          <w:color w:val="auto"/>
        </w:rPr>
      </w:pPr>
      <w:r>
        <w:rPr>
          <w:rFonts w:ascii="Arial" w:cs="Arial" w:eastAsia="Arial" w:hAnsi="Arial"/>
          <w:sz w:val="13"/>
          <w:szCs w:val="13"/>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85"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8.4.</w:t>
      </w:r>
      <w:r>
        <w:rPr>
          <w:sz w:val="20"/>
          <w:szCs w:val="20"/>
          <w:color w:val="auto"/>
        </w:rPr>
        <w:tab/>
      </w:r>
      <w:r>
        <w:rPr>
          <w:rFonts w:ascii="Arial" w:cs="Arial" w:eastAsia="Arial" w:hAnsi="Arial"/>
          <w:sz w:val="13"/>
          <w:szCs w:val="13"/>
          <w:color w:val="auto"/>
        </w:rPr>
        <w:t>INDEMNIFICATION OF OTHERS</w:t>
      </w:r>
    </w:p>
    <w:p>
      <w:pPr>
        <w:spacing w:after="0" w:line="146"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9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3"/>
          <w:szCs w:val="13"/>
          <w:color w:val="auto"/>
        </w:rPr>
        <w:t>ADVANCED PAYMENT OF EXPENSES</w:t>
      </w:r>
    </w:p>
    <w:p>
      <w:pPr>
        <w:spacing w:after="0" w:line="146" w:lineRule="exact"/>
        <w:rPr>
          <w:sz w:val="20"/>
          <w:szCs w:val="20"/>
          <w:color w:val="auto"/>
        </w:rPr>
      </w:pPr>
    </w:p>
    <w:p>
      <w:pPr>
        <w:jc w:val="both"/>
        <w:ind w:firstLine="519"/>
        <w:spacing w:after="0" w:line="286" w:lineRule="auto"/>
        <w:rPr>
          <w:sz w:val="20"/>
          <w:szCs w:val="20"/>
          <w:color w:val="auto"/>
        </w:rPr>
      </w:pPr>
      <w:r>
        <w:rPr>
          <w:rFonts w:ascii="Arial" w:cs="Arial" w:eastAsia="Arial" w:hAnsi="Arial"/>
          <w:sz w:val="13"/>
          <w:szCs w:val="13"/>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95"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Notwithstanding the foregoing, unless otherwise determined pursuant to Section 8.8, no advance shall be made by the Company to an officer of the Company (except by reason of the fact that such officer is or was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1168" w:right="319" w:bottom="1440" w:gutter="0" w:footer="0" w:header="0"/>
        </w:sectPr>
      </w:pPr>
    </w:p>
    <w:bookmarkStart w:id="60" w:name="page61"/>
    <w:bookmarkEnd w:id="60"/>
    <w:p>
      <w:pPr>
        <w:jc w:val="both"/>
        <w:spacing w:after="0" w:line="295" w:lineRule="auto"/>
        <w:rPr>
          <w:sz w:val="20"/>
          <w:szCs w:val="20"/>
          <w:color w:val="auto"/>
        </w:rPr>
      </w:pPr>
      <w:r>
        <w:rPr>
          <w:rFonts w:ascii="Arial" w:cs="Arial" w:eastAsia="Arial" w:hAnsi="Arial"/>
          <w:sz w:val="13"/>
          <w:szCs w:val="13"/>
          <w:color w:val="auto"/>
        </w:rPr>
        <w:t>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8.6.</w:t>
      </w:r>
      <w:r>
        <w:rPr>
          <w:sz w:val="20"/>
          <w:szCs w:val="20"/>
          <w:color w:val="auto"/>
        </w:rPr>
        <w:tab/>
      </w:r>
      <w:r>
        <w:rPr>
          <w:rFonts w:ascii="Arial" w:cs="Arial" w:eastAsia="Arial" w:hAnsi="Arial"/>
          <w:sz w:val="14"/>
          <w:szCs w:val="14"/>
          <w:color w:val="auto"/>
        </w:rPr>
        <w:t>LIMITATION OF INDEMNIFICATION</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Subject to the requirements in Section 8.3 and the DGCL, the Company shall not be obligated to indemnify any person pursuant to this Article VIII in connection with any Proceeding (or any part of any Proceeding):</w:t>
      </w:r>
    </w:p>
    <w:p>
      <w:pPr>
        <w:spacing w:after="0" w:line="87" w:lineRule="exact"/>
        <w:rPr>
          <w:sz w:val="20"/>
          <w:szCs w:val="20"/>
          <w:color w:val="auto"/>
        </w:rPr>
      </w:pPr>
    </w:p>
    <w:p>
      <w:pPr>
        <w:ind w:firstLine="1045"/>
        <w:spacing w:after="0" w:line="290" w:lineRule="auto"/>
        <w:tabs>
          <w:tab w:leader="none" w:pos="1553"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for which payment has actually been made to or on behalf of such person under any statute, insurance policy, indemnity provision, vote or otherwise, except with respect to any excess beyond the amount paid;</w:t>
      </w:r>
    </w:p>
    <w:p>
      <w:pPr>
        <w:spacing w:after="0" w:line="87" w:lineRule="exact"/>
        <w:rPr>
          <w:rFonts w:ascii="Arial" w:cs="Arial" w:eastAsia="Arial" w:hAnsi="Arial"/>
          <w:sz w:val="14"/>
          <w:szCs w:val="14"/>
          <w:b w:val="1"/>
          <w:bCs w:val="1"/>
          <w:color w:val="auto"/>
        </w:rPr>
      </w:pPr>
    </w:p>
    <w:p>
      <w:pPr>
        <w:ind w:firstLine="1045"/>
        <w:spacing w:after="0" w:line="290" w:lineRule="auto"/>
        <w:tabs>
          <w:tab w:leader="none" w:pos="1550"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87" w:lineRule="exact"/>
        <w:rPr>
          <w:rFonts w:ascii="Arial" w:cs="Arial" w:eastAsia="Arial" w:hAnsi="Arial"/>
          <w:sz w:val="14"/>
          <w:szCs w:val="14"/>
          <w:b w:val="1"/>
          <w:bCs w:val="1"/>
          <w:color w:val="auto"/>
        </w:rPr>
      </w:pPr>
    </w:p>
    <w:p>
      <w:pPr>
        <w:jc w:val="both"/>
        <w:ind w:firstLine="1045"/>
        <w:spacing w:after="0" w:line="268" w:lineRule="auto"/>
        <w:tabs>
          <w:tab w:leader="none" w:pos="1556"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14"/>
          <w:szCs w:val="14"/>
          <w:b w:val="1"/>
          <w:bCs w:val="1"/>
          <w:color w:val="auto"/>
        </w:rPr>
        <w:t>Sarbanes-Oxley Act</w:t>
      </w:r>
      <w:r>
        <w:rPr>
          <w:rFonts w:ascii="Arial" w:cs="Arial" w:eastAsia="Arial" w:hAnsi="Arial"/>
          <w:sz w:val="14"/>
          <w:szCs w:val="14"/>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03" w:lineRule="exact"/>
        <w:rPr>
          <w:rFonts w:ascii="Arial" w:cs="Arial" w:eastAsia="Arial" w:hAnsi="Arial"/>
          <w:sz w:val="14"/>
          <w:szCs w:val="14"/>
          <w:b w:val="1"/>
          <w:bCs w:val="1"/>
          <w:color w:val="auto"/>
        </w:rPr>
      </w:pPr>
    </w:p>
    <w:p>
      <w:pPr>
        <w:jc w:val="both"/>
        <w:ind w:firstLine="1045"/>
        <w:spacing w:after="0" w:line="268" w:lineRule="auto"/>
        <w:tabs>
          <w:tab w:leader="none" w:pos="1550"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03" w:lineRule="exact"/>
        <w:rPr>
          <w:rFonts w:ascii="Arial" w:cs="Arial" w:eastAsia="Arial" w:hAnsi="Arial"/>
          <w:sz w:val="14"/>
          <w:szCs w:val="14"/>
          <w:b w:val="1"/>
          <w:bCs w:val="1"/>
          <w:color w:val="auto"/>
        </w:rPr>
      </w:pPr>
    </w:p>
    <w:p>
      <w:pPr>
        <w:ind w:left="1560" w:hanging="515"/>
        <w:spacing w:after="0"/>
        <w:tabs>
          <w:tab w:leader="none" w:pos="1560"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if prohibited by applicable law.</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color w:val="auto"/>
        </w:rPr>
        <w:t>DETERMINATION; CLAIM</w:t>
      </w:r>
    </w:p>
    <w:p>
      <w:pPr>
        <w:spacing w:after="0" w:line="146"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4"/>
          <w:szCs w:val="14"/>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8.8.</w:t>
      </w:r>
      <w:r>
        <w:rPr>
          <w:sz w:val="20"/>
          <w:szCs w:val="20"/>
          <w:color w:val="auto"/>
        </w:rPr>
        <w:tab/>
      </w:r>
      <w:r>
        <w:rPr>
          <w:rFonts w:ascii="Arial" w:cs="Arial" w:eastAsia="Arial" w:hAnsi="Arial"/>
          <w:sz w:val="14"/>
          <w:szCs w:val="14"/>
          <w:color w:val="auto"/>
        </w:rPr>
        <w:t>NON-EXCLUSIVITY OF RIGHTS</w:t>
      </w:r>
    </w:p>
    <w:p>
      <w:pPr>
        <w:spacing w:after="0" w:line="146" w:lineRule="exact"/>
        <w:rPr>
          <w:sz w:val="20"/>
          <w:szCs w:val="20"/>
          <w:color w:val="auto"/>
        </w:rPr>
      </w:pPr>
    </w:p>
    <w:p>
      <w:pPr>
        <w:jc w:val="both"/>
        <w:ind w:firstLine="519"/>
        <w:spacing w:after="0" w:line="304" w:lineRule="auto"/>
        <w:rPr>
          <w:sz w:val="20"/>
          <w:szCs w:val="20"/>
          <w:color w:val="auto"/>
        </w:rPr>
      </w:pPr>
      <w:r>
        <w:rPr>
          <w:rFonts w:ascii="Arial" w:cs="Arial" w:eastAsia="Arial" w:hAnsi="Arial"/>
          <w:sz w:val="13"/>
          <w:szCs w:val="13"/>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1168" w:right="319" w:bottom="1440" w:gutter="0" w:footer="0" w:header="0"/>
        </w:sectPr>
      </w:pPr>
    </w:p>
    <w:bookmarkStart w:id="61" w:name="page62"/>
    <w:bookmarkEnd w:id="61"/>
    <w:p>
      <w:pPr>
        <w:jc w:val="both"/>
        <w:spacing w:after="0" w:line="290" w:lineRule="auto"/>
        <w:rPr>
          <w:sz w:val="20"/>
          <w:szCs w:val="20"/>
          <w:color w:val="auto"/>
        </w:rPr>
      </w:pPr>
      <w:r>
        <w:rPr>
          <w:rFonts w:ascii="Arial" w:cs="Arial" w:eastAsia="Arial" w:hAnsi="Arial"/>
          <w:sz w:val="14"/>
          <w:szCs w:val="14"/>
          <w:color w:val="auto"/>
        </w:rPr>
        <w:t>contracts with any or all of its directors, officers, employees or agents respecting indemnification and advancement of expenses, to the fullest extent not prohibited by the DGCL or other applicable law.</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8.9.</w:t>
      </w:r>
      <w:r>
        <w:rPr>
          <w:sz w:val="20"/>
          <w:szCs w:val="20"/>
          <w:color w:val="auto"/>
        </w:rPr>
        <w:tab/>
      </w:r>
      <w:r>
        <w:rPr>
          <w:rFonts w:ascii="Arial" w:cs="Arial" w:eastAsia="Arial" w:hAnsi="Arial"/>
          <w:sz w:val="14"/>
          <w:szCs w:val="14"/>
          <w:color w:val="auto"/>
        </w:rPr>
        <w:t>INSURANCE</w:t>
      </w:r>
    </w:p>
    <w:p>
      <w:pPr>
        <w:spacing w:after="0" w:line="146"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8.10.</w:t>
      </w:r>
      <w:r>
        <w:rPr>
          <w:sz w:val="20"/>
          <w:szCs w:val="20"/>
          <w:color w:val="auto"/>
        </w:rPr>
        <w:tab/>
      </w:r>
      <w:r>
        <w:rPr>
          <w:rFonts w:ascii="Arial" w:cs="Arial" w:eastAsia="Arial" w:hAnsi="Arial"/>
          <w:sz w:val="14"/>
          <w:szCs w:val="14"/>
          <w:color w:val="auto"/>
        </w:rPr>
        <w:t>SURVIVAL</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8.11.</w:t>
      </w:r>
      <w:r>
        <w:rPr>
          <w:sz w:val="20"/>
          <w:szCs w:val="20"/>
          <w:color w:val="auto"/>
        </w:rPr>
        <w:tab/>
      </w:r>
      <w:r>
        <w:rPr>
          <w:rFonts w:ascii="Arial" w:cs="Arial" w:eastAsia="Arial" w:hAnsi="Arial"/>
          <w:sz w:val="13"/>
          <w:szCs w:val="13"/>
          <w:color w:val="auto"/>
        </w:rPr>
        <w:t>EFFECT OF REPEAL OR MODIFICATION</w:t>
      </w:r>
    </w:p>
    <w:p>
      <w:pPr>
        <w:spacing w:after="0" w:line="146"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8.12.</w:t>
      </w:r>
      <w:r>
        <w:rPr>
          <w:sz w:val="20"/>
          <w:szCs w:val="20"/>
          <w:color w:val="auto"/>
        </w:rPr>
        <w:tab/>
      </w:r>
      <w:r>
        <w:rPr>
          <w:rFonts w:ascii="Arial" w:cs="Arial" w:eastAsia="Arial" w:hAnsi="Arial"/>
          <w:sz w:val="13"/>
          <w:szCs w:val="13"/>
          <w:color w:val="auto"/>
        </w:rPr>
        <w:t>CERTAIN DEFINITIONS</w:t>
      </w:r>
    </w:p>
    <w:p>
      <w:pPr>
        <w:spacing w:after="0" w:line="142" w:lineRule="exact"/>
        <w:rPr>
          <w:sz w:val="20"/>
          <w:szCs w:val="20"/>
          <w:color w:val="auto"/>
        </w:rPr>
      </w:pPr>
    </w:p>
    <w:p>
      <w:pPr>
        <w:jc w:val="both"/>
        <w:ind w:firstLine="519"/>
        <w:spacing w:after="0" w:line="285" w:lineRule="auto"/>
        <w:rPr>
          <w:sz w:val="20"/>
          <w:szCs w:val="20"/>
          <w:color w:val="auto"/>
        </w:rPr>
      </w:pPr>
      <w:r>
        <w:rPr>
          <w:rFonts w:ascii="Arial" w:cs="Arial" w:eastAsia="Arial" w:hAnsi="Arial"/>
          <w:sz w:val="13"/>
          <w:szCs w:val="13"/>
          <w:color w:val="auto"/>
        </w:rPr>
        <w:t>For purposes of this Article VIII, references to the “</w:t>
      </w:r>
      <w:r>
        <w:rPr>
          <w:rFonts w:ascii="Arial" w:cs="Arial" w:eastAsia="Arial" w:hAnsi="Arial"/>
          <w:sz w:val="13"/>
          <w:szCs w:val="13"/>
          <w:b w:val="1"/>
          <w:bCs w:val="1"/>
          <w:color w:val="auto"/>
        </w:rPr>
        <w:t>Company</w:t>
      </w:r>
      <w:r>
        <w:rPr>
          <w:rFonts w:ascii="Arial" w:cs="Arial" w:eastAsia="Arial" w:hAnsi="Arial"/>
          <w:sz w:val="13"/>
          <w:szCs w:val="13"/>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Arial" w:cs="Arial" w:eastAsia="Arial" w:hAnsi="Arial"/>
          <w:sz w:val="13"/>
          <w:szCs w:val="13"/>
          <w:b w:val="1"/>
          <w:bCs w:val="1"/>
          <w:color w:val="auto"/>
        </w:rPr>
        <w:t>other enterprises</w:t>
      </w:r>
      <w:r>
        <w:rPr>
          <w:rFonts w:ascii="Arial" w:cs="Arial" w:eastAsia="Arial" w:hAnsi="Arial"/>
          <w:sz w:val="13"/>
          <w:szCs w:val="13"/>
          <w:color w:val="auto"/>
        </w:rPr>
        <w:t>” shall include employee benefit plans; references to “</w:t>
      </w:r>
      <w:r>
        <w:rPr>
          <w:rFonts w:ascii="Arial" w:cs="Arial" w:eastAsia="Arial" w:hAnsi="Arial"/>
          <w:sz w:val="13"/>
          <w:szCs w:val="13"/>
          <w:b w:val="1"/>
          <w:bCs w:val="1"/>
          <w:color w:val="auto"/>
        </w:rPr>
        <w:t>fines</w:t>
      </w:r>
      <w:r>
        <w:rPr>
          <w:rFonts w:ascii="Arial" w:cs="Arial" w:eastAsia="Arial" w:hAnsi="Arial"/>
          <w:sz w:val="13"/>
          <w:szCs w:val="13"/>
          <w:color w:val="auto"/>
        </w:rPr>
        <w:t>” shall include any excise taxes assessed on a person with respect to an employee benefit plan; and references to “</w:t>
      </w:r>
      <w:r>
        <w:rPr>
          <w:rFonts w:ascii="Arial" w:cs="Arial" w:eastAsia="Arial" w:hAnsi="Arial"/>
          <w:sz w:val="13"/>
          <w:szCs w:val="13"/>
          <w:b w:val="1"/>
          <w:bCs w:val="1"/>
          <w:color w:val="auto"/>
        </w:rPr>
        <w:t>serving at the request of the</w:t>
      </w:r>
      <w:r>
        <w:rPr>
          <w:rFonts w:ascii="Arial" w:cs="Arial" w:eastAsia="Arial" w:hAnsi="Arial"/>
          <w:sz w:val="13"/>
          <w:szCs w:val="13"/>
          <w:color w:val="auto"/>
        </w:rPr>
        <w:t xml:space="preserve"> </w:t>
      </w:r>
      <w:r>
        <w:rPr>
          <w:rFonts w:ascii="Arial" w:cs="Arial" w:eastAsia="Arial" w:hAnsi="Arial"/>
          <w:sz w:val="13"/>
          <w:szCs w:val="13"/>
          <w:b w:val="1"/>
          <w:bCs w:val="1"/>
          <w:color w:val="auto"/>
        </w:rPr>
        <w:t>Compan</w:t>
      </w:r>
      <w:r>
        <w:rPr>
          <w:rFonts w:ascii="Arial" w:cs="Arial" w:eastAsia="Arial" w:hAnsi="Arial"/>
          <w:sz w:val="13"/>
          <w:szCs w:val="13"/>
          <w:color w:val="auto"/>
        </w:rPr>
        <w:t>y” shall include any service as a director, officer, employee or agent of the Company which imposes duties on, or involves services by, such director, officer, employee or agent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3"/>
          <w:szCs w:val="13"/>
          <w:b w:val="1"/>
          <w:bCs w:val="1"/>
          <w:color w:val="auto"/>
        </w:rPr>
        <w:t>not opposed to the best interests of the Company</w:t>
      </w:r>
      <w:r>
        <w:rPr>
          <w:rFonts w:ascii="Arial" w:cs="Arial" w:eastAsia="Arial" w:hAnsi="Arial"/>
          <w:sz w:val="13"/>
          <w:szCs w:val="13"/>
          <w:color w:val="auto"/>
        </w:rPr>
        <w:t>” as referred to in this Article VIII.</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ARTICLE IX - GENERAL MATTERS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3"/>
          <w:szCs w:val="13"/>
          <w:color w:val="auto"/>
        </w:rPr>
        <w:t>EXECUTION OF CORPORATE CONTRACTS AND INSTRUMENTS</w:t>
      </w:r>
    </w:p>
    <w:p>
      <w:pPr>
        <w:spacing w:after="0" w:line="146"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1168" w:right="319" w:bottom="1440" w:gutter="0" w:footer="0" w:header="0"/>
        </w:sectPr>
      </w:pPr>
    </w:p>
    <w:bookmarkStart w:id="62" w:name="page63"/>
    <w:bookmarkEnd w:id="62"/>
    <w:p>
      <w:pPr>
        <w:ind w:left="520"/>
        <w:spacing w:after="0"/>
        <w:tabs>
          <w:tab w:leader="none" w:pos="1020" w:val="left"/>
        </w:tabs>
        <w:rPr>
          <w:sz w:val="20"/>
          <w:szCs w:val="20"/>
          <w:color w:val="auto"/>
        </w:rPr>
      </w:pPr>
      <w:r>
        <w:rPr>
          <w:rFonts w:ascii="Arial" w:cs="Arial" w:eastAsia="Arial" w:hAnsi="Arial"/>
          <w:sz w:val="14"/>
          <w:szCs w:val="14"/>
          <w:b w:val="1"/>
          <w:bCs w:val="1"/>
          <w:color w:val="auto"/>
        </w:rPr>
        <w:t>9.2.</w:t>
      </w:r>
      <w:r>
        <w:rPr>
          <w:sz w:val="20"/>
          <w:szCs w:val="20"/>
          <w:color w:val="auto"/>
        </w:rPr>
        <w:tab/>
      </w:r>
      <w:r>
        <w:rPr>
          <w:rFonts w:ascii="Arial" w:cs="Arial" w:eastAsia="Arial" w:hAnsi="Arial"/>
          <w:sz w:val="14"/>
          <w:szCs w:val="14"/>
          <w:color w:val="auto"/>
        </w:rPr>
        <w:t>FISCAL YEAR</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fiscal year of the Company shall be fixed by resolution of the Board of Directors and may be changed by the Board of Directors.</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9.3.</w:t>
      </w:r>
      <w:r>
        <w:rPr>
          <w:sz w:val="20"/>
          <w:szCs w:val="20"/>
          <w:color w:val="auto"/>
        </w:rPr>
        <w:tab/>
      </w:r>
      <w:r>
        <w:rPr>
          <w:rFonts w:ascii="Arial" w:cs="Arial" w:eastAsia="Arial" w:hAnsi="Arial"/>
          <w:sz w:val="14"/>
          <w:szCs w:val="14"/>
          <w:color w:val="auto"/>
        </w:rPr>
        <w:t>SEAL</w:t>
      </w:r>
    </w:p>
    <w:p>
      <w:pPr>
        <w:spacing w:after="0" w:line="146"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9.4.</w:t>
      </w:r>
      <w:r>
        <w:rPr>
          <w:sz w:val="20"/>
          <w:szCs w:val="20"/>
          <w:color w:val="auto"/>
        </w:rPr>
        <w:tab/>
      </w:r>
      <w:r>
        <w:rPr>
          <w:rFonts w:ascii="Arial" w:cs="Arial" w:eastAsia="Arial" w:hAnsi="Arial"/>
          <w:sz w:val="14"/>
          <w:szCs w:val="14"/>
          <w:color w:val="auto"/>
        </w:rPr>
        <w:t>CONSTRUCTION; DEFINITIONS</w:t>
      </w:r>
    </w:p>
    <w:p>
      <w:pPr>
        <w:spacing w:after="0" w:line="146" w:lineRule="exact"/>
        <w:rPr>
          <w:sz w:val="20"/>
          <w:szCs w:val="20"/>
          <w:color w:val="auto"/>
        </w:rPr>
      </w:pPr>
    </w:p>
    <w:p>
      <w:pPr>
        <w:jc w:val="both"/>
        <w:ind w:firstLine="519"/>
        <w:spacing w:after="0" w:line="268" w:lineRule="auto"/>
        <w:rPr>
          <w:sz w:val="20"/>
          <w:szCs w:val="20"/>
          <w:color w:val="auto"/>
        </w:rPr>
      </w:pPr>
      <w:r>
        <w:rPr>
          <w:rFonts w:ascii="Arial" w:cs="Arial" w:eastAsia="Arial" w:hAnsi="Arial"/>
          <w:sz w:val="14"/>
          <w:szCs w:val="14"/>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9.5.</w:t>
      </w:r>
      <w:r>
        <w:rPr>
          <w:sz w:val="20"/>
          <w:szCs w:val="20"/>
          <w:color w:val="auto"/>
        </w:rPr>
        <w:tab/>
      </w:r>
      <w:r>
        <w:rPr>
          <w:rFonts w:ascii="Arial" w:cs="Arial" w:eastAsia="Arial" w:hAnsi="Arial"/>
          <w:sz w:val="13"/>
          <w:szCs w:val="13"/>
          <w:color w:val="auto"/>
        </w:rPr>
        <w:t>FORUM SELECTION</w:t>
      </w:r>
    </w:p>
    <w:p>
      <w:pPr>
        <w:spacing w:after="0" w:line="146" w:lineRule="exact"/>
        <w:rPr>
          <w:sz w:val="20"/>
          <w:szCs w:val="20"/>
          <w:color w:val="auto"/>
        </w:rPr>
      </w:pPr>
    </w:p>
    <w:p>
      <w:pPr>
        <w:jc w:val="both"/>
        <w:ind w:firstLine="519"/>
        <w:spacing w:after="0" w:line="286" w:lineRule="auto"/>
        <w:rPr>
          <w:sz w:val="20"/>
          <w:szCs w:val="20"/>
          <w:color w:val="auto"/>
        </w:rPr>
      </w:pPr>
      <w:r>
        <w:rPr>
          <w:rFonts w:ascii="Arial" w:cs="Arial" w:eastAsia="Arial" w:hAnsi="Arial"/>
          <w:sz w:val="13"/>
          <w:szCs w:val="13"/>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5"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Any person or entity purchasing or otherwise acquiring any interest in any security of the Company shall be deemed to have notice of and consented to the provisions of this Section 9.5.</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For the avoidance of doubt, nothing contained in this Section 9.5 shall apply to any action brought to enforce a duty or liability created by the 1934 Act or any successor thereto.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 - AMENDMENTS</w:t>
      </w:r>
    </w:p>
    <w:p>
      <w:pPr>
        <w:spacing w:after="0" w:line="146"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4"/>
          <w:szCs w:val="14"/>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1164" w:right="319" w:bottom="1440" w:gutter="0" w:footer="0" w:header="0"/>
        </w:sectPr>
      </w:pPr>
    </w:p>
    <w:bookmarkStart w:id="63" w:name="page64"/>
    <w:bookmarkEnd w:id="63"/>
    <w:p>
      <w:pPr>
        <w:ind w:left="9460"/>
        <w:spacing w:after="0"/>
        <w:rPr>
          <w:sz w:val="20"/>
          <w:szCs w:val="20"/>
          <w:color w:val="auto"/>
        </w:rPr>
      </w:pPr>
      <w:r>
        <w:rPr>
          <w:rFonts w:ascii="Arial" w:cs="Arial" w:eastAsia="Arial" w:hAnsi="Arial"/>
          <w:sz w:val="13"/>
          <w:szCs w:val="13"/>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408940</wp:posOffset>
            </wp:positionV>
            <wp:extent cx="7209155" cy="4397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extLst>
                    </a:blip>
                    <a:srcRect/>
                    <a:stretch>
                      <a:fillRect/>
                    </a:stretch>
                  </pic:blipFill>
                  <pic:spPr bwMode="auto">
                    <a:xfrm>
                      <a:off x="0" y="0"/>
                      <a:ext cx="7209155" cy="439737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583565</wp:posOffset>
            </wp:positionV>
            <wp:extent cx="7209155" cy="4377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09155" cy="4377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NAUTILUS BIOTECHNOLOGY,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 EQUITY INCENTIVE PLAN</w:t>
      </w:r>
    </w:p>
    <w:p>
      <w:pPr>
        <w:spacing w:after="0" w:line="142" w:lineRule="exact"/>
        <w:rPr>
          <w:sz w:val="20"/>
          <w:szCs w:val="20"/>
          <w:color w:val="auto"/>
        </w:rPr>
      </w:pPr>
    </w:p>
    <w:p>
      <w:pPr>
        <w:ind w:left="520" w:hanging="254"/>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auto"/>
        </w:rPr>
        <w:t>Purposes of the Plan</w:t>
      </w:r>
      <w:r>
        <w:rPr>
          <w:rFonts w:ascii="Arial" w:cs="Arial" w:eastAsia="Arial" w:hAnsi="Arial"/>
          <w:sz w:val="14"/>
          <w:szCs w:val="14"/>
          <w:color w:val="auto"/>
        </w:rPr>
        <w:t>. The purposes of this Plan are:</w:t>
      </w:r>
    </w:p>
    <w:p>
      <w:pPr>
        <w:spacing w:after="0" w:line="145" w:lineRule="exact"/>
        <w:rPr>
          <w:rFonts w:ascii="Arial" w:cs="Arial" w:eastAsia="Arial" w:hAnsi="Arial"/>
          <w:sz w:val="14"/>
          <w:szCs w:val="14"/>
          <w:color w:val="auto"/>
        </w:rPr>
      </w:pPr>
    </w:p>
    <w:p>
      <w:pPr>
        <w:ind w:left="780" w:hanging="254"/>
        <w:spacing w:after="0"/>
        <w:tabs>
          <w:tab w:leader="none" w:pos="7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to attract and retain the best available personnel for positions of substantial responsibility,</w:t>
      </w:r>
    </w:p>
    <w:p>
      <w:pPr>
        <w:spacing w:after="0" w:line="141" w:lineRule="exact"/>
        <w:rPr>
          <w:rFonts w:ascii="Arial" w:cs="Arial" w:eastAsia="Arial" w:hAnsi="Arial"/>
          <w:sz w:val="14"/>
          <w:szCs w:val="14"/>
          <w:color w:val="auto"/>
        </w:rPr>
      </w:pPr>
    </w:p>
    <w:p>
      <w:pPr>
        <w:ind w:left="780" w:hanging="254"/>
        <w:spacing w:after="0"/>
        <w:tabs>
          <w:tab w:leader="none" w:pos="7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to provide additional incentive to Employees, Directors and Consultants, and</w:t>
      </w:r>
    </w:p>
    <w:p>
      <w:pPr>
        <w:spacing w:after="0" w:line="141" w:lineRule="exact"/>
        <w:rPr>
          <w:rFonts w:ascii="Arial" w:cs="Arial" w:eastAsia="Arial" w:hAnsi="Arial"/>
          <w:sz w:val="14"/>
          <w:szCs w:val="14"/>
          <w:color w:val="auto"/>
        </w:rPr>
      </w:pPr>
    </w:p>
    <w:p>
      <w:pPr>
        <w:ind w:left="780" w:hanging="254"/>
        <w:spacing w:after="0"/>
        <w:tabs>
          <w:tab w:leader="none" w:pos="7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to promote the success of the Company’s business.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Plan permits the grant of Incentive Stock Options, Nonstatutory Stock Options, Stock Appreciation Rights, Restricted Stock, Restricted Stock Units and Performance Awards.</w:t>
      </w:r>
    </w:p>
    <w:p>
      <w:pPr>
        <w:spacing w:after="0" w:line="138" w:lineRule="exact"/>
        <w:rPr>
          <w:sz w:val="20"/>
          <w:szCs w:val="20"/>
          <w:color w:val="auto"/>
        </w:rPr>
      </w:pPr>
    </w:p>
    <w:p>
      <w:pPr>
        <w:ind w:left="520" w:hanging="254"/>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Definitions</w:t>
      </w:r>
      <w:r>
        <w:rPr>
          <w:rFonts w:ascii="Arial" w:cs="Arial" w:eastAsia="Arial" w:hAnsi="Arial"/>
          <w:sz w:val="14"/>
          <w:szCs w:val="14"/>
          <w:color w:val="auto"/>
        </w:rPr>
        <w:t>. As used herein, the following definitions will apply:</w:t>
      </w:r>
    </w:p>
    <w:p>
      <w:pPr>
        <w:spacing w:after="0" w:line="14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2.1</w:t>
      </w:r>
      <w:r>
        <w:rPr>
          <w:rFonts w:ascii="Arial" w:cs="Arial" w:eastAsia="Arial" w:hAnsi="Arial"/>
          <w:sz w:val="13"/>
          <w:szCs w:val="13"/>
          <w:color w:val="auto"/>
        </w:rPr>
        <w:t>“</w:t>
      </w:r>
      <w:r>
        <w:rPr>
          <w:rFonts w:ascii="Arial" w:cs="Arial" w:eastAsia="Arial" w:hAnsi="Arial"/>
          <w:sz w:val="13"/>
          <w:szCs w:val="13"/>
          <w:b w:val="1"/>
          <w:bCs w:val="1"/>
          <w:color w:val="auto"/>
        </w:rPr>
        <w:t>Administrator</w:t>
      </w:r>
      <w:r>
        <w:rPr>
          <w:rFonts w:ascii="Arial" w:cs="Arial" w:eastAsia="Arial" w:hAnsi="Arial"/>
          <w:sz w:val="13"/>
          <w:szCs w:val="13"/>
          <w:color w:val="auto"/>
        </w:rPr>
        <w:t>” means the Board or any of its Committees as will be administering the Plan, in accordance with Section 4 of the Plan.</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2.2 “</w:t>
      </w:r>
      <w:r>
        <w:rPr>
          <w:rFonts w:ascii="Arial" w:cs="Arial" w:eastAsia="Arial" w:hAnsi="Arial"/>
          <w:sz w:val="14"/>
          <w:szCs w:val="14"/>
          <w:b w:val="1"/>
          <w:bCs w:val="1"/>
          <w:color w:val="auto"/>
        </w:rPr>
        <w:t>Applicable Laws</w:t>
      </w:r>
      <w:r>
        <w:rPr>
          <w:rFonts w:ascii="Arial" w:cs="Arial" w:eastAsia="Arial" w:hAnsi="Arial"/>
          <w:sz w:val="14"/>
          <w:szCs w:val="14"/>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Award</w:t>
      </w:r>
      <w:r>
        <w:rPr>
          <w:rFonts w:ascii="Arial" w:cs="Arial" w:eastAsia="Arial" w:hAnsi="Arial"/>
          <w:sz w:val="13"/>
          <w:szCs w:val="13"/>
          <w:color w:val="auto"/>
        </w:rPr>
        <w:t>” means, individually or collectively, a grant under the Plan of Options, Stock Appreciation Rights, Restricted Stock, Restricted Stock Units, or Performance Awards.</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2.4 “</w:t>
      </w:r>
      <w:r>
        <w:rPr>
          <w:rFonts w:ascii="Arial" w:cs="Arial" w:eastAsia="Arial" w:hAnsi="Arial"/>
          <w:sz w:val="14"/>
          <w:szCs w:val="14"/>
          <w:b w:val="1"/>
          <w:bCs w:val="1"/>
          <w:color w:val="auto"/>
        </w:rPr>
        <w:t>Award Agreement</w:t>
      </w:r>
      <w:r>
        <w:rPr>
          <w:rFonts w:ascii="Arial" w:cs="Arial" w:eastAsia="Arial" w:hAnsi="Arial"/>
          <w:sz w:val="14"/>
          <w:szCs w:val="14"/>
          <w:color w:val="auto"/>
        </w:rPr>
        <w:t>” means the written or electronic agreement setting forth the terms and provisions applicable to each Award granted under the Plan. The Award Agreement is subject to the terms and conditions of the Plan.</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Board</w:t>
      </w:r>
      <w:r>
        <w:rPr>
          <w:rFonts w:ascii="Arial" w:cs="Arial" w:eastAsia="Arial" w:hAnsi="Arial"/>
          <w:sz w:val="13"/>
          <w:szCs w:val="13"/>
          <w:color w:val="auto"/>
        </w:rPr>
        <w:t>” means the Board of Directors of the Company.</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means the occurrence of any of the following events:</w:t>
      </w:r>
    </w:p>
    <w:p>
      <w:pPr>
        <w:spacing w:after="0" w:line="142" w:lineRule="exact"/>
        <w:rPr>
          <w:sz w:val="20"/>
          <w:szCs w:val="20"/>
          <w:color w:val="auto"/>
        </w:rPr>
      </w:pPr>
    </w:p>
    <w:p>
      <w:pPr>
        <w:jc w:val="both"/>
        <w:ind w:firstLine="1110"/>
        <w:spacing w:after="0" w:line="262" w:lineRule="auto"/>
        <w:tabs>
          <w:tab w:leader="none" w:pos="1556"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Change in Ownership of the Company</w:t>
      </w:r>
      <w:r>
        <w:rPr>
          <w:rFonts w:ascii="Arial" w:cs="Arial" w:eastAsia="Arial" w:hAnsi="Arial"/>
          <w:sz w:val="14"/>
          <w:szCs w:val="14"/>
          <w:color w:val="auto"/>
        </w:rPr>
        <w:t>. A change in the ownership of the Company which occurs on the date that any one person, or more than one person acting as a</w:t>
      </w:r>
      <w:r>
        <w:rPr>
          <w:rFonts w:ascii="Arial" w:cs="Arial" w:eastAsia="Arial" w:hAnsi="Arial"/>
          <w:sz w:val="14"/>
          <w:szCs w:val="14"/>
          <w:b w:val="1"/>
          <w:bCs w:val="1"/>
          <w:color w:val="auto"/>
        </w:rPr>
        <w:t xml:space="preserve"> </w:t>
      </w:r>
      <w:r>
        <w:rPr>
          <w:rFonts w:ascii="Arial" w:cs="Arial" w:eastAsia="Arial" w:hAnsi="Arial"/>
          <w:sz w:val="14"/>
          <w:szCs w:val="14"/>
          <w:color w:val="auto"/>
        </w:rPr>
        <w:t>group (“</w:t>
      </w:r>
      <w:r>
        <w:rPr>
          <w:rFonts w:ascii="Arial" w:cs="Arial" w:eastAsia="Arial" w:hAnsi="Arial"/>
          <w:sz w:val="14"/>
          <w:szCs w:val="14"/>
          <w:b w:val="1"/>
          <w:bCs w:val="1"/>
          <w:color w:val="auto"/>
        </w:rPr>
        <w:t>Person</w:t>
      </w:r>
      <w:r>
        <w:rPr>
          <w:rFonts w:ascii="Arial" w:cs="Arial" w:eastAsia="Arial" w:hAnsi="Arial"/>
          <w:sz w:val="14"/>
          <w:szCs w:val="14"/>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03" w:lineRule="exact"/>
        <w:rPr>
          <w:rFonts w:ascii="Arial" w:cs="Arial" w:eastAsia="Arial" w:hAnsi="Arial"/>
          <w:sz w:val="14"/>
          <w:szCs w:val="14"/>
          <w:color w:val="auto"/>
        </w:rPr>
      </w:pPr>
    </w:p>
    <w:p>
      <w:pPr>
        <w:ind w:firstLine="1110"/>
        <w:spacing w:after="0" w:line="296" w:lineRule="auto"/>
        <w:tabs>
          <w:tab w:leader="none" w:pos="1553"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Change in Effective Control of the Company</w:t>
      </w:r>
      <w:r>
        <w:rPr>
          <w:rFonts w:ascii="Arial" w:cs="Arial" w:eastAsia="Arial" w:hAnsi="Arial"/>
          <w:sz w:val="14"/>
          <w:szCs w:val="14"/>
          <w:color w:val="auto"/>
        </w:rPr>
        <w:t>. If the Company has a class of securities registered pursuant to Section 12 of the Exchange Act, a change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 control of the Company which occurs on the date that a majority of members of the Board is replaced during any twelve (12) month period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36" w:right="319" w:bottom="1440" w:gutter="0" w:footer="0" w:header="0"/>
        </w:sectPr>
      </w:pPr>
    </w:p>
    <w:bookmarkStart w:id="66" w:name="page67"/>
    <w:bookmarkEnd w:id="66"/>
    <w:p>
      <w:pPr>
        <w:spacing w:after="0" w:line="330" w:lineRule="auto"/>
        <w:rPr>
          <w:sz w:val="20"/>
          <w:szCs w:val="20"/>
          <w:color w:val="auto"/>
        </w:rPr>
      </w:pPr>
      <w:r>
        <w:rPr>
          <w:rFonts w:ascii="Arial" w:cs="Arial" w:eastAsia="Arial" w:hAnsi="Arial"/>
          <w:sz w:val="13"/>
          <w:szCs w:val="13"/>
          <w:color w:val="auto"/>
        </w:rPr>
        <w:t>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61" w:lineRule="exact"/>
        <w:rPr>
          <w:sz w:val="20"/>
          <w:szCs w:val="20"/>
          <w:color w:val="auto"/>
        </w:rPr>
      </w:pPr>
    </w:p>
    <w:p>
      <w:pPr>
        <w:jc w:val="both"/>
        <w:ind w:firstLine="1110"/>
        <w:spacing w:after="0" w:line="285" w:lineRule="auto"/>
        <w:tabs>
          <w:tab w:leader="none" w:pos="1556"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Change in Ownership of a Substantial Portion of the Company’s Assets</w:t>
      </w:r>
      <w:r>
        <w:rPr>
          <w:rFonts w:ascii="Arial" w:cs="Arial" w:eastAsia="Arial" w:hAnsi="Arial"/>
          <w:sz w:val="13"/>
          <w:szCs w:val="13"/>
          <w:color w:val="auto"/>
        </w:rPr>
        <w:t>. A change in the ownership of a substantial portion of the Company’s assets which occurs</w:t>
      </w:r>
      <w:r>
        <w:rPr>
          <w:rFonts w:ascii="Arial" w:cs="Arial" w:eastAsia="Arial" w:hAnsi="Arial"/>
          <w:sz w:val="13"/>
          <w:szCs w:val="13"/>
          <w:b w:val="1"/>
          <w:bCs w:val="1"/>
          <w:color w:val="auto"/>
        </w:rPr>
        <w:t xml:space="preserve"> </w:t>
      </w:r>
      <w:r>
        <w:rPr>
          <w:rFonts w:ascii="Arial" w:cs="Arial" w:eastAsia="Arial" w:hAnsi="Arial"/>
          <w:sz w:val="13"/>
          <w:szCs w:val="13"/>
          <w:color w:val="auto"/>
        </w:rPr>
        <w:t>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94" w:lineRule="exact"/>
        <w:rPr>
          <w:sz w:val="20"/>
          <w:szCs w:val="20"/>
          <w:color w:val="auto"/>
        </w:rPr>
      </w:pPr>
    </w:p>
    <w:p>
      <w:pPr>
        <w:ind w:firstLine="1233"/>
        <w:spacing w:after="0" w:line="290" w:lineRule="auto"/>
        <w:rPr>
          <w:sz w:val="20"/>
          <w:szCs w:val="20"/>
          <w:color w:val="auto"/>
        </w:rPr>
      </w:pPr>
      <w:r>
        <w:rPr>
          <w:rFonts w:ascii="Arial" w:cs="Arial" w:eastAsia="Arial" w:hAnsi="Arial"/>
          <w:sz w:val="14"/>
          <w:szCs w:val="14"/>
          <w:color w:val="auto"/>
        </w:rPr>
        <w:t>For purposes of this Section 2.7, persons will be considered to be acting as a group if they are owners of a corporation that enters into a merger, consolidation, purchase or acquisition of stock, or similar business transaction with the Company.</w:t>
      </w:r>
    </w:p>
    <w:p>
      <w:pPr>
        <w:spacing w:after="0" w:line="87"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Notwithstanding the foregoing, a transaction will not be deemed a Change in Control unless the transaction qualifies as a change in control event within the meaning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Section 409A.</w:t>
      </w:r>
    </w:p>
    <w:p>
      <w:pPr>
        <w:spacing w:after="0" w:line="133" w:lineRule="exact"/>
        <w:rPr>
          <w:sz w:val="20"/>
          <w:szCs w:val="20"/>
          <w:color w:val="auto"/>
        </w:rPr>
      </w:pPr>
    </w:p>
    <w:p>
      <w:pPr>
        <w:ind w:right="20" w:firstLine="1233"/>
        <w:spacing w:after="0" w:line="274" w:lineRule="auto"/>
        <w:rPr>
          <w:sz w:val="20"/>
          <w:szCs w:val="20"/>
          <w:color w:val="auto"/>
        </w:rPr>
      </w:pPr>
      <w:r>
        <w:rPr>
          <w:rFonts w:ascii="Arial" w:cs="Arial" w:eastAsia="Arial" w:hAnsi="Arial"/>
          <w:sz w:val="14"/>
          <w:szCs w:val="14"/>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94"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2.7 “</w:t>
      </w:r>
      <w:r>
        <w:rPr>
          <w:rFonts w:ascii="Arial" w:cs="Arial" w:eastAsia="Arial" w:hAnsi="Arial"/>
          <w:sz w:val="14"/>
          <w:szCs w:val="14"/>
          <w:b w:val="1"/>
          <w:bCs w:val="1"/>
          <w:color w:val="auto"/>
        </w:rPr>
        <w:t>Code</w:t>
      </w:r>
      <w:r>
        <w:rPr>
          <w:rFonts w:ascii="Arial" w:cs="Arial" w:eastAsia="Arial" w:hAnsi="Arial"/>
          <w:sz w:val="14"/>
          <w:szCs w:val="14"/>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9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2.8 “</w:t>
      </w:r>
      <w:r>
        <w:rPr>
          <w:rFonts w:ascii="Arial" w:cs="Arial" w:eastAsia="Arial" w:hAnsi="Arial"/>
          <w:sz w:val="14"/>
          <w:szCs w:val="14"/>
          <w:b w:val="1"/>
          <w:bCs w:val="1"/>
          <w:color w:val="auto"/>
        </w:rPr>
        <w:t>Committee</w:t>
      </w:r>
      <w:r>
        <w:rPr>
          <w:rFonts w:ascii="Arial" w:cs="Arial" w:eastAsia="Arial" w:hAnsi="Arial"/>
          <w:sz w:val="14"/>
          <w:szCs w:val="14"/>
          <w:color w:val="auto"/>
        </w:rPr>
        <w:t>” means a committee of Directors or of other individuals satisfying Applicable Laws appointed by the Board, or by a duly authorized committee of the Board, in accordance with Section 4 hereof.</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Common Stock</w:t>
      </w:r>
      <w:r>
        <w:rPr>
          <w:rFonts w:ascii="Arial" w:cs="Arial" w:eastAsia="Arial" w:hAnsi="Arial"/>
          <w:sz w:val="13"/>
          <w:szCs w:val="13"/>
          <w:color w:val="auto"/>
        </w:rPr>
        <w:t>” means the common stock of the Company.</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2.10 “</w:t>
      </w:r>
      <w:r>
        <w:rPr>
          <w:rFonts w:ascii="Arial" w:cs="Arial" w:eastAsia="Arial" w:hAnsi="Arial"/>
          <w:sz w:val="14"/>
          <w:szCs w:val="14"/>
          <w:b w:val="1"/>
          <w:bCs w:val="1"/>
          <w:color w:val="auto"/>
        </w:rPr>
        <w:t>Company</w:t>
      </w:r>
      <w:r>
        <w:rPr>
          <w:rFonts w:ascii="Arial" w:cs="Arial" w:eastAsia="Arial" w:hAnsi="Arial"/>
          <w:sz w:val="14"/>
          <w:szCs w:val="14"/>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79"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2.11 “</w:t>
      </w:r>
      <w:r>
        <w:rPr>
          <w:rFonts w:ascii="Arial" w:cs="Arial" w:eastAsia="Arial" w:hAnsi="Arial"/>
          <w:sz w:val="14"/>
          <w:szCs w:val="14"/>
          <w:b w:val="1"/>
          <w:bCs w:val="1"/>
          <w:color w:val="auto"/>
        </w:rPr>
        <w:t>Consultant</w:t>
      </w:r>
      <w:r>
        <w:rPr>
          <w:rFonts w:ascii="Arial" w:cs="Arial" w:eastAsia="Arial" w:hAnsi="Arial"/>
          <w:sz w:val="14"/>
          <w:szCs w:val="14"/>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9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Director”</w:t>
      </w:r>
      <w:r>
        <w:rPr>
          <w:rFonts w:ascii="Arial" w:cs="Arial" w:eastAsia="Arial" w:hAnsi="Arial"/>
          <w:sz w:val="13"/>
          <w:szCs w:val="13"/>
          <w:color w:val="auto"/>
        </w:rPr>
        <w:t xml:space="preserve">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68" w:right="319" w:bottom="1440" w:gutter="0" w:footer="0" w:header="0"/>
        </w:sectPr>
      </w:pPr>
    </w:p>
    <w:bookmarkStart w:id="67" w:name="page68"/>
    <w:bookmarkEnd w:id="67"/>
    <w:p>
      <w:pPr>
        <w:jc w:val="both"/>
        <w:ind w:firstLine="519"/>
        <w:spacing w:after="0" w:line="337" w:lineRule="auto"/>
        <w:rPr>
          <w:sz w:val="20"/>
          <w:szCs w:val="20"/>
          <w:color w:val="auto"/>
        </w:rPr>
      </w:pPr>
      <w:r>
        <w:rPr>
          <w:rFonts w:ascii="Arial" w:cs="Arial" w:eastAsia="Arial" w:hAnsi="Arial"/>
          <w:sz w:val="13"/>
          <w:szCs w:val="13"/>
          <w:color w:val="auto"/>
        </w:rPr>
        <w:t>2.13 “</w:t>
      </w:r>
      <w:r>
        <w:rPr>
          <w:rFonts w:ascii="Arial" w:cs="Arial" w:eastAsia="Arial" w:hAnsi="Arial"/>
          <w:sz w:val="13"/>
          <w:szCs w:val="13"/>
          <w:b w:val="1"/>
          <w:bCs w:val="1"/>
          <w:color w:val="auto"/>
        </w:rPr>
        <w:t>Disability</w:t>
      </w:r>
      <w:r>
        <w:rPr>
          <w:rFonts w:ascii="Arial" w:cs="Arial" w:eastAsia="Arial" w:hAnsi="Arial"/>
          <w:sz w:val="13"/>
          <w:szCs w:val="13"/>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56"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2.14 “</w:t>
      </w:r>
      <w:r>
        <w:rPr>
          <w:rFonts w:ascii="Arial" w:cs="Arial" w:eastAsia="Arial" w:hAnsi="Arial"/>
          <w:sz w:val="14"/>
          <w:szCs w:val="14"/>
          <w:b w:val="1"/>
          <w:bCs w:val="1"/>
          <w:color w:val="auto"/>
        </w:rPr>
        <w:t>Effective Date</w:t>
      </w:r>
      <w:r>
        <w:rPr>
          <w:rFonts w:ascii="Arial" w:cs="Arial" w:eastAsia="Arial" w:hAnsi="Arial"/>
          <w:sz w:val="14"/>
          <w:szCs w:val="14"/>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“Merger”).</w:t>
      </w:r>
    </w:p>
    <w:p>
      <w:pPr>
        <w:spacing w:after="0" w:line="9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2.15 “</w:t>
      </w:r>
      <w:r>
        <w:rPr>
          <w:rFonts w:ascii="Arial" w:cs="Arial" w:eastAsia="Arial" w:hAnsi="Arial"/>
          <w:sz w:val="14"/>
          <w:szCs w:val="14"/>
          <w:b w:val="1"/>
          <w:bCs w:val="1"/>
          <w:color w:val="auto"/>
        </w:rPr>
        <w:t>Employee</w:t>
      </w:r>
      <w:r>
        <w:rPr>
          <w:rFonts w:ascii="Arial" w:cs="Arial" w:eastAsia="Arial" w:hAnsi="Arial"/>
          <w:sz w:val="14"/>
          <w:szCs w:val="14"/>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U.S. Securities Exchange Act of 1934, as amended, including the rules and regulations promulgated thereunder.</w:t>
      </w:r>
    </w:p>
    <w:p>
      <w:pPr>
        <w:spacing w:after="0" w:line="142"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2.17 “</w:t>
      </w:r>
      <w:r>
        <w:rPr>
          <w:rFonts w:ascii="Arial" w:cs="Arial" w:eastAsia="Arial" w:hAnsi="Arial"/>
          <w:sz w:val="14"/>
          <w:szCs w:val="14"/>
          <w:b w:val="1"/>
          <w:bCs w:val="1"/>
          <w:color w:val="auto"/>
        </w:rPr>
        <w:t>Exchange Program</w:t>
      </w:r>
      <w:r>
        <w:rPr>
          <w:rFonts w:ascii="Arial" w:cs="Arial" w:eastAsia="Arial" w:hAnsi="Arial"/>
          <w:sz w:val="14"/>
          <w:szCs w:val="14"/>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9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Fair Market Value</w:t>
      </w:r>
      <w:r>
        <w:rPr>
          <w:rFonts w:ascii="Arial" w:cs="Arial" w:eastAsia="Arial" w:hAnsi="Arial"/>
          <w:sz w:val="13"/>
          <w:szCs w:val="13"/>
          <w:color w:val="auto"/>
        </w:rPr>
        <w:t>” means, as of any date and unless the Administrator determines otherwise, the value of Common Stock determined as follows:</w:t>
      </w:r>
    </w:p>
    <w:p>
      <w:pPr>
        <w:spacing w:after="0" w:line="146" w:lineRule="exact"/>
        <w:rPr>
          <w:sz w:val="20"/>
          <w:szCs w:val="20"/>
          <w:color w:val="auto"/>
        </w:rPr>
      </w:pPr>
    </w:p>
    <w:p>
      <w:pPr>
        <w:jc w:val="both"/>
        <w:ind w:firstLine="1110"/>
        <w:spacing w:after="0" w:line="268" w:lineRule="auto"/>
        <w:tabs>
          <w:tab w:leader="none" w:pos="15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such other source as the Administrator deems reliable;</w:t>
      </w:r>
    </w:p>
    <w:p>
      <w:pPr>
        <w:spacing w:after="0" w:line="103" w:lineRule="exact"/>
        <w:rPr>
          <w:rFonts w:ascii="Arial" w:cs="Arial" w:eastAsia="Arial" w:hAnsi="Arial"/>
          <w:sz w:val="14"/>
          <w:szCs w:val="14"/>
          <w:color w:val="auto"/>
        </w:rPr>
      </w:pPr>
    </w:p>
    <w:p>
      <w:pPr>
        <w:jc w:val="both"/>
        <w:ind w:firstLine="1110"/>
        <w:spacing w:after="0" w:line="274" w:lineRule="auto"/>
        <w:tabs>
          <w:tab w:leader="none" w:pos="1553"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such other source as the Administrator deems reliable; or</w:t>
      </w:r>
    </w:p>
    <w:p>
      <w:pPr>
        <w:spacing w:after="0" w:line="97" w:lineRule="exact"/>
        <w:rPr>
          <w:rFonts w:ascii="Arial" w:cs="Arial" w:eastAsia="Arial" w:hAnsi="Arial"/>
          <w:sz w:val="14"/>
          <w:szCs w:val="14"/>
          <w:color w:val="auto"/>
        </w:rPr>
      </w:pPr>
    </w:p>
    <w:p>
      <w:pPr>
        <w:ind w:left="1560" w:hanging="450"/>
        <w:spacing w:after="0"/>
        <w:tabs>
          <w:tab w:leader="none" w:pos="1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the absence of an established market for the Common Stock, the Fair Market Value will be determined in good faith by the Administrator.</w:t>
      </w:r>
    </w:p>
    <w:p>
      <w:pPr>
        <w:spacing w:after="0" w:line="142" w:lineRule="exact"/>
        <w:rPr>
          <w:sz w:val="20"/>
          <w:szCs w:val="20"/>
          <w:color w:val="auto"/>
        </w:rPr>
      </w:pPr>
    </w:p>
    <w:p>
      <w:pPr>
        <w:jc w:val="both"/>
        <w:ind w:firstLine="260"/>
        <w:spacing w:after="0" w:line="304" w:lineRule="auto"/>
        <w:rPr>
          <w:sz w:val="20"/>
          <w:szCs w:val="20"/>
          <w:color w:val="auto"/>
        </w:rPr>
      </w:pPr>
      <w:r>
        <w:rPr>
          <w:rFonts w:ascii="Arial" w:cs="Arial" w:eastAsia="Arial" w:hAnsi="Arial"/>
          <w:sz w:val="13"/>
          <w:szCs w:val="13"/>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77"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Fiscal Year</w:t>
      </w:r>
      <w:r>
        <w:rPr>
          <w:rFonts w:ascii="Arial" w:cs="Arial" w:eastAsia="Arial" w:hAnsi="Arial"/>
          <w:sz w:val="13"/>
          <w:szCs w:val="13"/>
          <w:color w:val="auto"/>
        </w:rPr>
        <w:t>” means the fiscal year of the Company.</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2.20 “</w:t>
      </w:r>
      <w:r>
        <w:rPr>
          <w:rFonts w:ascii="Arial" w:cs="Arial" w:eastAsia="Arial" w:hAnsi="Arial"/>
          <w:sz w:val="14"/>
          <w:szCs w:val="14"/>
          <w:b w:val="1"/>
          <w:bCs w:val="1"/>
          <w:color w:val="auto"/>
        </w:rPr>
        <w:t>Incentive Stock Option</w:t>
      </w:r>
      <w:r>
        <w:rPr>
          <w:rFonts w:ascii="Arial" w:cs="Arial" w:eastAsia="Arial" w:hAnsi="Arial"/>
          <w:sz w:val="14"/>
          <w:szCs w:val="14"/>
          <w:color w:val="auto"/>
        </w:rPr>
        <w:t>” means an Option that by its terms qualifies and is otherwise intended to qualify as an incentive stock option within the meaning of Code Section 422 and the regulations promulgated thereunder.</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Inside Director</w:t>
      </w:r>
      <w:r>
        <w:rPr>
          <w:rFonts w:ascii="Arial" w:cs="Arial" w:eastAsia="Arial" w:hAnsi="Arial"/>
          <w:sz w:val="13"/>
          <w:szCs w:val="13"/>
          <w:color w:val="auto"/>
        </w:rPr>
        <w:t>” means a Director who is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63" w:right="319" w:bottom="1440" w:gutter="0" w:footer="0" w:header="0"/>
        </w:sectPr>
      </w:pPr>
    </w:p>
    <w:bookmarkStart w:id="68" w:name="page69"/>
    <w:bookmarkEnd w:id="68"/>
    <w:p>
      <w:pPr>
        <w:ind w:left="520"/>
        <w:spacing w:after="0"/>
        <w:tabs>
          <w:tab w:leader="none" w:pos="1020" w:val="left"/>
        </w:tabs>
        <w:rPr>
          <w:sz w:val="20"/>
          <w:szCs w:val="20"/>
          <w:color w:val="auto"/>
        </w:rPr>
      </w:pPr>
      <w:r>
        <w:rPr>
          <w:rFonts w:ascii="Arial" w:cs="Arial" w:eastAsia="Arial" w:hAnsi="Arial"/>
          <w:sz w:val="14"/>
          <w:szCs w:val="14"/>
          <w:color w:val="auto"/>
        </w:rPr>
        <w:t>2.22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Nonstatutory Stock Option</w:t>
      </w:r>
      <w:r>
        <w:rPr>
          <w:rFonts w:ascii="Arial" w:cs="Arial" w:eastAsia="Arial" w:hAnsi="Arial"/>
          <w:sz w:val="13"/>
          <w:szCs w:val="13"/>
          <w:color w:val="auto"/>
        </w:rPr>
        <w:t>” means an Option that by its terms does not qualify or is not intended to qualify as an Incentive Stock Option.</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Officer</w:t>
      </w:r>
      <w:r>
        <w:rPr>
          <w:rFonts w:ascii="Arial" w:cs="Arial" w:eastAsia="Arial" w:hAnsi="Arial"/>
          <w:sz w:val="13"/>
          <w:szCs w:val="13"/>
          <w:color w:val="auto"/>
        </w:rPr>
        <w:t>” means a person who is an officer of the Company within the meaning of Section 16 of the Exchange Act and the rules and regulations promulgated thereunder.</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Option</w:t>
      </w:r>
      <w:r>
        <w:rPr>
          <w:rFonts w:ascii="Arial" w:cs="Arial" w:eastAsia="Arial" w:hAnsi="Arial"/>
          <w:sz w:val="13"/>
          <w:szCs w:val="13"/>
          <w:color w:val="auto"/>
        </w:rPr>
        <w:t>” means a stock option granted pursuant to the Plan.</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Outside Director</w:t>
      </w:r>
      <w:r>
        <w:rPr>
          <w:rFonts w:ascii="Arial" w:cs="Arial" w:eastAsia="Arial" w:hAnsi="Arial"/>
          <w:sz w:val="13"/>
          <w:szCs w:val="13"/>
          <w:color w:val="auto"/>
        </w:rPr>
        <w:t>” means a Director who is not an Employee.</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Parent</w:t>
      </w:r>
      <w:r>
        <w:rPr>
          <w:rFonts w:ascii="Arial" w:cs="Arial" w:eastAsia="Arial" w:hAnsi="Arial"/>
          <w:sz w:val="13"/>
          <w:szCs w:val="13"/>
          <w:color w:val="auto"/>
        </w:rPr>
        <w:t>” means a “parent corporation,” whether now or hereafter existing, as defined in Code Section 424(e).</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Participant</w:t>
      </w:r>
      <w:r>
        <w:rPr>
          <w:rFonts w:ascii="Arial" w:cs="Arial" w:eastAsia="Arial" w:hAnsi="Arial"/>
          <w:sz w:val="13"/>
          <w:szCs w:val="13"/>
          <w:color w:val="auto"/>
        </w:rPr>
        <w:t>” means the holder of an outstanding Award.</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2.28 “</w:t>
      </w:r>
      <w:r>
        <w:rPr>
          <w:rFonts w:ascii="Arial" w:cs="Arial" w:eastAsia="Arial" w:hAnsi="Arial"/>
          <w:sz w:val="14"/>
          <w:szCs w:val="14"/>
          <w:b w:val="1"/>
          <w:bCs w:val="1"/>
          <w:color w:val="auto"/>
        </w:rPr>
        <w:t>Performance Awards</w:t>
      </w:r>
      <w:r>
        <w:rPr>
          <w:rFonts w:ascii="Arial" w:cs="Arial" w:eastAsia="Arial" w:hAnsi="Arial"/>
          <w:sz w:val="14"/>
          <w:szCs w:val="14"/>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Performance Period</w:t>
      </w:r>
      <w:r>
        <w:rPr>
          <w:rFonts w:ascii="Arial" w:cs="Arial" w:eastAsia="Arial" w:hAnsi="Arial"/>
          <w:sz w:val="13"/>
          <w:szCs w:val="13"/>
          <w:color w:val="auto"/>
        </w:rPr>
        <w:t>” means Performance Period as defined in Section 10.1.</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2.30 “</w:t>
      </w:r>
      <w:r>
        <w:rPr>
          <w:rFonts w:ascii="Arial" w:cs="Arial" w:eastAsia="Arial" w:hAnsi="Arial"/>
          <w:sz w:val="14"/>
          <w:szCs w:val="14"/>
          <w:b w:val="1"/>
          <w:bCs w:val="1"/>
          <w:color w:val="auto"/>
        </w:rPr>
        <w:t>Period of Restriction</w:t>
      </w:r>
      <w:r>
        <w:rPr>
          <w:rFonts w:ascii="Arial" w:cs="Arial" w:eastAsia="Arial" w:hAnsi="Arial"/>
          <w:sz w:val="14"/>
          <w:szCs w:val="14"/>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Plan</w:t>
      </w:r>
      <w:r>
        <w:rPr>
          <w:rFonts w:ascii="Arial" w:cs="Arial" w:eastAsia="Arial" w:hAnsi="Arial"/>
          <w:sz w:val="13"/>
          <w:szCs w:val="13"/>
          <w:color w:val="auto"/>
        </w:rPr>
        <w:t>” means this 2021 Equity Incentive Plan, as may be amended from time to time.</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Restricted Stock</w:t>
      </w:r>
      <w:r>
        <w:rPr>
          <w:rFonts w:ascii="Arial" w:cs="Arial" w:eastAsia="Arial" w:hAnsi="Arial"/>
          <w:sz w:val="12"/>
          <w:szCs w:val="12"/>
          <w:color w:val="auto"/>
        </w:rPr>
        <w:t>” means Shares issued pursuant to an Award of Restricted Stock under Section 8 of the Plan, or issued pursuant to the early exercise of an Option.</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2.33 “</w:t>
      </w:r>
      <w:r>
        <w:rPr>
          <w:rFonts w:ascii="Arial" w:cs="Arial" w:eastAsia="Arial" w:hAnsi="Arial"/>
          <w:sz w:val="14"/>
          <w:szCs w:val="14"/>
          <w:b w:val="1"/>
          <w:bCs w:val="1"/>
          <w:color w:val="auto"/>
        </w:rPr>
        <w:t>Restricted Stock Unit</w:t>
      </w:r>
      <w:r>
        <w:rPr>
          <w:rFonts w:ascii="Arial" w:cs="Arial" w:eastAsia="Arial" w:hAnsi="Arial"/>
          <w:sz w:val="14"/>
          <w:szCs w:val="14"/>
          <w:color w:val="auto"/>
        </w:rPr>
        <w:t>” means a bookkeeping entry representing an amount equal to the Fair Market Value of one Share, granted pursuant to Section 9. Each Restricted Stock Unit represents an unfunded and unsecured obligation of the Company.</w:t>
      </w:r>
    </w:p>
    <w:p>
      <w:pPr>
        <w:spacing w:after="0" w:line="79" w:lineRule="exact"/>
        <w:rPr>
          <w:sz w:val="20"/>
          <w:szCs w:val="20"/>
          <w:color w:val="auto"/>
        </w:rPr>
      </w:pPr>
    </w:p>
    <w:p>
      <w:pPr>
        <w:ind w:left="520"/>
        <w:spacing w:after="0" w:line="161" w:lineRule="exact"/>
        <w:tabs>
          <w:tab w:leader="none" w:pos="1020" w:val="left"/>
        </w:tabs>
        <w:rPr>
          <w:sz w:val="20"/>
          <w:szCs w:val="20"/>
          <w:color w:val="auto"/>
        </w:rPr>
      </w:pPr>
      <w:r>
        <w:rPr>
          <w:rFonts w:ascii="Arial" w:cs="Arial" w:eastAsia="Arial" w:hAnsi="Arial"/>
          <w:sz w:val="14"/>
          <w:szCs w:val="14"/>
          <w:color w:val="auto"/>
        </w:rPr>
        <w:t>2.34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Rule 16b</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3</w:t>
      </w:r>
      <w:r>
        <w:rPr>
          <w:rFonts w:ascii="Arial" w:cs="Arial" w:eastAsia="Arial" w:hAnsi="Arial"/>
          <w:sz w:val="13"/>
          <w:szCs w:val="13"/>
          <w:color w:val="auto"/>
        </w:rPr>
        <w:t>” means Rule 16b</w:t>
      </w:r>
      <w:r>
        <w:rPr>
          <w:rFonts w:ascii="MS PGothic" w:cs="MS PGothic" w:eastAsia="MS PGothic" w:hAnsi="MS PGothic"/>
          <w:sz w:val="13"/>
          <w:szCs w:val="13"/>
          <w:color w:val="auto"/>
        </w:rPr>
        <w:t>‑</w:t>
      </w:r>
      <w:r>
        <w:rPr>
          <w:rFonts w:ascii="Arial" w:cs="Arial" w:eastAsia="Arial" w:hAnsi="Arial"/>
          <w:sz w:val="13"/>
          <w:szCs w:val="13"/>
          <w:color w:val="auto"/>
        </w:rPr>
        <w:t>3 of the Exchange Act or any successor to Rule 16b</w:t>
      </w:r>
      <w:r>
        <w:rPr>
          <w:rFonts w:ascii="MS PGothic" w:cs="MS PGothic" w:eastAsia="MS PGothic" w:hAnsi="MS PGothic"/>
          <w:sz w:val="13"/>
          <w:szCs w:val="13"/>
          <w:color w:val="auto"/>
        </w:rPr>
        <w:t>‑</w:t>
      </w:r>
      <w:r>
        <w:rPr>
          <w:rFonts w:ascii="Arial" w:cs="Arial" w:eastAsia="Arial" w:hAnsi="Arial"/>
          <w:sz w:val="13"/>
          <w:szCs w:val="13"/>
          <w:color w:val="auto"/>
        </w:rPr>
        <w:t>3, as in effect when discretion is being exercised with respect to the Plan.</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Section 16b</w:t>
      </w:r>
      <w:r>
        <w:rPr>
          <w:rFonts w:ascii="Arial" w:cs="Arial" w:eastAsia="Arial" w:hAnsi="Arial"/>
          <w:sz w:val="13"/>
          <w:szCs w:val="13"/>
          <w:color w:val="auto"/>
        </w:rPr>
        <w:t>” means Section 16(b) of the Exchange Act.</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2.36 “</w:t>
      </w:r>
      <w:r>
        <w:rPr>
          <w:rFonts w:ascii="Arial" w:cs="Arial" w:eastAsia="Arial" w:hAnsi="Arial"/>
          <w:sz w:val="14"/>
          <w:szCs w:val="14"/>
          <w:b w:val="1"/>
          <w:bCs w:val="1"/>
          <w:color w:val="auto"/>
        </w:rPr>
        <w:t>Section 409A</w:t>
      </w:r>
      <w:r>
        <w:rPr>
          <w:rFonts w:ascii="Arial" w:cs="Arial" w:eastAsia="Arial" w:hAnsi="Arial"/>
          <w:sz w:val="14"/>
          <w:szCs w:val="14"/>
          <w:color w:val="auto"/>
        </w:rPr>
        <w:t>” means Code Section 409A and the U.S. Treasury Regulations and guidance thereunder, and any applicable state law equivalent, as each may be promulgated, amended or modified from time to time.</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Securities Act</w:t>
      </w:r>
      <w:r>
        <w:rPr>
          <w:rFonts w:ascii="Arial" w:cs="Arial" w:eastAsia="Arial" w:hAnsi="Arial"/>
          <w:sz w:val="13"/>
          <w:szCs w:val="13"/>
          <w:color w:val="auto"/>
        </w:rPr>
        <w:t>” means the U.S. Securities Act of 1933, as amended, including the rules and regulations promulgated thereunder.</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Service Provider</w:t>
      </w:r>
      <w:r>
        <w:rPr>
          <w:rFonts w:ascii="Arial" w:cs="Arial" w:eastAsia="Arial" w:hAnsi="Arial"/>
          <w:sz w:val="13"/>
          <w:szCs w:val="13"/>
          <w:color w:val="auto"/>
        </w:rPr>
        <w:t>” means an Employee, Director or Consultant.</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Share</w:t>
      </w:r>
      <w:r>
        <w:rPr>
          <w:rFonts w:ascii="Arial" w:cs="Arial" w:eastAsia="Arial" w:hAnsi="Arial"/>
          <w:sz w:val="12"/>
          <w:szCs w:val="12"/>
          <w:color w:val="auto"/>
        </w:rPr>
        <w:t>” means a share of the Common Stock, as adjusted in accordance with Section 15 of the Plan.</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2.40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Stock Appreciation Right</w:t>
      </w:r>
      <w:r>
        <w:rPr>
          <w:rFonts w:ascii="Arial" w:cs="Arial" w:eastAsia="Arial" w:hAnsi="Arial"/>
          <w:sz w:val="13"/>
          <w:szCs w:val="13"/>
          <w:color w:val="auto"/>
        </w:rPr>
        <w:t>” means an Award, granted alone or in connection with an Option, that pursuant to Section 7 is designated as a Stock Appreciation Right.</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2.41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a “subsidiary corporation,” whether now or hereafter existing, as defined in Code Section 424(f).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64" w:right="319" w:bottom="1440" w:gutter="0" w:footer="0" w:header="0"/>
        </w:sectPr>
      </w:pPr>
    </w:p>
    <w:bookmarkStart w:id="69" w:name="page70"/>
    <w:bookmarkEnd w:id="69"/>
    <w:p>
      <w:pPr>
        <w:jc w:val="both"/>
        <w:ind w:firstLine="519"/>
        <w:spacing w:after="0" w:line="296" w:lineRule="auto"/>
        <w:rPr>
          <w:sz w:val="20"/>
          <w:szCs w:val="20"/>
          <w:color w:val="auto"/>
        </w:rPr>
      </w:pPr>
      <w:r>
        <w:rPr>
          <w:rFonts w:ascii="Arial" w:cs="Arial" w:eastAsia="Arial" w:hAnsi="Arial"/>
          <w:sz w:val="14"/>
          <w:szCs w:val="14"/>
          <w:color w:val="auto"/>
        </w:rPr>
        <w:t>2.42 “</w:t>
      </w:r>
      <w:r>
        <w:rPr>
          <w:rFonts w:ascii="Arial" w:cs="Arial" w:eastAsia="Arial" w:hAnsi="Arial"/>
          <w:sz w:val="14"/>
          <w:szCs w:val="14"/>
          <w:b w:val="1"/>
          <w:bCs w:val="1"/>
          <w:color w:val="auto"/>
        </w:rPr>
        <w:t>Trading Day</w:t>
      </w:r>
      <w:r>
        <w:rPr>
          <w:rFonts w:ascii="Arial" w:cs="Arial" w:eastAsia="Arial" w:hAnsi="Arial"/>
          <w:sz w:val="14"/>
          <w:szCs w:val="14"/>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7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2.43 “</w:t>
      </w:r>
      <w:r>
        <w:rPr>
          <w:rFonts w:ascii="Arial" w:cs="Arial" w:eastAsia="Arial" w:hAnsi="Arial"/>
          <w:sz w:val="14"/>
          <w:szCs w:val="14"/>
          <w:b w:val="1"/>
          <w:bCs w:val="1"/>
          <w:color w:val="auto"/>
        </w:rPr>
        <w:t>U.S. Treasury Regulations</w:t>
      </w:r>
      <w:r>
        <w:rPr>
          <w:rFonts w:ascii="Arial" w:cs="Arial" w:eastAsia="Arial" w:hAnsi="Arial"/>
          <w:sz w:val="14"/>
          <w:szCs w:val="14"/>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92" w:lineRule="exact"/>
        <w:rPr>
          <w:sz w:val="20"/>
          <w:szCs w:val="20"/>
          <w:color w:val="auto"/>
        </w:rPr>
      </w:pPr>
    </w:p>
    <w:p>
      <w:pPr>
        <w:ind w:left="520" w:hanging="254"/>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Stock Subject to the Plan</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265"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Stock Subject to the Plan</w:t>
      </w:r>
      <w:r>
        <w:rPr>
          <w:rFonts w:ascii="Arial" w:cs="Arial" w:eastAsia="Arial" w:hAnsi="Arial"/>
          <w:sz w:val="14"/>
          <w:szCs w:val="14"/>
          <w:color w:val="auto"/>
        </w:rPr>
        <w:t>. Subject to adjustment upon changes in capitalization of the Company as provided in Section 15 and the automatic increase set forth in Section 3.2, the maximum aggregate number of Shares that may be subject to Awards and sold under the Plan will be equal to (a) 16,182,600 Shares, plus (b) any shares of the Company’s common stock subject to stock options or other awards that are assumed in the Merger (“</w:t>
      </w:r>
      <w:r>
        <w:rPr>
          <w:rFonts w:ascii="Arial" w:cs="Arial" w:eastAsia="Arial" w:hAnsi="Arial"/>
          <w:sz w:val="14"/>
          <w:szCs w:val="14"/>
          <w:b w:val="1"/>
          <w:bCs w:val="1"/>
          <w:color w:val="auto"/>
        </w:rPr>
        <w:t>Assumed Awards</w:t>
      </w:r>
      <w:r>
        <w:rPr>
          <w:rFonts w:ascii="Arial" w:cs="Arial" w:eastAsia="Arial" w:hAnsi="Arial"/>
          <w:sz w:val="14"/>
          <w:szCs w:val="14"/>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 In addition, Shares may become available for issuance under Sections 3.2 and 3.3. The Shares may be authorized but unissued, or reacquired Common Stock.</w:t>
      </w:r>
    </w:p>
    <w:p>
      <w:pPr>
        <w:spacing w:after="0" w:line="102"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Automatic Share Reserve Increase</w:t>
      </w:r>
      <w:r>
        <w:rPr>
          <w:rFonts w:ascii="Arial" w:cs="Arial" w:eastAsia="Arial" w:hAnsi="Arial"/>
          <w:sz w:val="14"/>
          <w:szCs w:val="14"/>
          <w:color w:val="auto"/>
        </w:rPr>
        <w:t>.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w:t>
      </w:r>
    </w:p>
    <w:p>
      <w:pPr>
        <w:spacing w:after="0" w:line="98" w:lineRule="exact"/>
        <w:rPr>
          <w:sz w:val="20"/>
          <w:szCs w:val="20"/>
          <w:color w:val="auto"/>
        </w:rPr>
      </w:pPr>
    </w:p>
    <w:p>
      <w:pPr>
        <w:jc w:val="both"/>
        <w:ind w:firstLine="519"/>
        <w:spacing w:after="0" w:line="283"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b w:val="1"/>
          <w:bCs w:val="1"/>
          <w:color w:val="auto"/>
        </w:rPr>
        <w:t>Lapsed Awards</w:t>
      </w:r>
      <w:r>
        <w:rPr>
          <w:rFonts w:ascii="Arial" w:cs="Arial" w:eastAsia="Arial" w:hAnsi="Arial"/>
          <w:sz w:val="13"/>
          <w:szCs w:val="13"/>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3"/>
          <w:szCs w:val="13"/>
          <w:b w:val="1"/>
          <w:bCs w:val="1"/>
          <w:color w:val="auto"/>
        </w:rPr>
        <w:t>Share Reserve</w:t>
      </w:r>
      <w:r>
        <w:rPr>
          <w:rFonts w:ascii="Arial" w:cs="Arial" w:eastAsia="Arial" w:hAnsi="Arial"/>
          <w:sz w:val="13"/>
          <w:szCs w:val="13"/>
          <w:color w:val="auto"/>
        </w:rPr>
        <w:t>. The Company, during the term of this Plan, will at all times reserve and keep available such number of Shares as will be sufficient to satisfy the requirements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the Plan.</w:t>
      </w:r>
    </w:p>
    <w:p>
      <w:pPr>
        <w:spacing w:after="0" w:line="129" w:lineRule="exact"/>
        <w:rPr>
          <w:sz w:val="20"/>
          <w:szCs w:val="20"/>
          <w:color w:val="auto"/>
        </w:rPr>
      </w:pPr>
    </w:p>
    <w:p>
      <w:pPr>
        <w:ind w:left="520" w:hanging="254"/>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Administration of the Plan</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63" w:right="319" w:bottom="1440" w:gutter="0" w:footer="0" w:header="0"/>
        </w:sectPr>
      </w:pPr>
    </w:p>
    <w:bookmarkStart w:id="70" w:name="page71"/>
    <w:bookmarkEnd w:id="70"/>
    <w:p>
      <w:pPr>
        <w:ind w:left="520"/>
        <w:spacing w:after="0"/>
        <w:tabs>
          <w:tab w:leader="none" w:pos="10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b w:val="1"/>
          <w:bCs w:val="1"/>
          <w:color w:val="auto"/>
        </w:rPr>
        <w:t>Procedure</w:t>
      </w:r>
      <w:r>
        <w:rPr>
          <w:rFonts w:ascii="Arial" w:cs="Arial" w:eastAsia="Arial" w:hAnsi="Arial"/>
          <w:sz w:val="13"/>
          <w:szCs w:val="13"/>
          <w:color w:val="auto"/>
        </w:rPr>
        <w:t>.</w:t>
      </w:r>
    </w:p>
    <w:p>
      <w:pPr>
        <w:spacing w:after="0" w:line="142"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4"/>
          <w:szCs w:val="14"/>
          <w:color w:val="auto"/>
        </w:rPr>
        <w:t>4.1.1</w:t>
      </w:r>
      <w:r>
        <w:rPr>
          <w:sz w:val="20"/>
          <w:szCs w:val="20"/>
          <w:color w:val="auto"/>
        </w:rPr>
        <w:tab/>
      </w:r>
      <w:r>
        <w:rPr>
          <w:rFonts w:ascii="Arial" w:cs="Arial" w:eastAsia="Arial" w:hAnsi="Arial"/>
          <w:sz w:val="13"/>
          <w:szCs w:val="13"/>
          <w:b w:val="1"/>
          <w:bCs w:val="1"/>
          <w:color w:val="auto"/>
        </w:rPr>
        <w:t>Multiple Administrative Bodies</w:t>
      </w:r>
      <w:r>
        <w:rPr>
          <w:rFonts w:ascii="Arial" w:cs="Arial" w:eastAsia="Arial" w:hAnsi="Arial"/>
          <w:sz w:val="13"/>
          <w:szCs w:val="13"/>
          <w:color w:val="auto"/>
        </w:rPr>
        <w:t>. Different Committees with respect to different groups of Service Providers may administer the Plan.</w:t>
      </w:r>
    </w:p>
    <w:p>
      <w:pPr>
        <w:spacing w:after="0" w:line="142" w:lineRule="exact"/>
        <w:rPr>
          <w:sz w:val="20"/>
          <w:szCs w:val="20"/>
          <w:color w:val="auto"/>
        </w:rPr>
      </w:pPr>
    </w:p>
    <w:p>
      <w:pPr>
        <w:ind w:firstLine="1039"/>
        <w:spacing w:after="0" w:line="296" w:lineRule="auto"/>
        <w:rPr>
          <w:sz w:val="20"/>
          <w:szCs w:val="20"/>
          <w:color w:val="auto"/>
        </w:rPr>
      </w:pPr>
      <w:r>
        <w:rPr>
          <w:rFonts w:ascii="Arial" w:cs="Arial" w:eastAsia="Arial" w:hAnsi="Arial"/>
          <w:sz w:val="14"/>
          <w:szCs w:val="14"/>
          <w:color w:val="auto"/>
        </w:rPr>
        <w:t xml:space="preserve">4.1.2 </w:t>
      </w:r>
      <w:r>
        <w:rPr>
          <w:rFonts w:ascii="Arial" w:cs="Arial" w:eastAsia="Arial" w:hAnsi="Arial"/>
          <w:sz w:val="14"/>
          <w:szCs w:val="14"/>
          <w:b w:val="1"/>
          <w:bCs w:val="1"/>
          <w:color w:val="auto"/>
        </w:rPr>
        <w:t>Rule 16b-3</w:t>
      </w:r>
      <w:r>
        <w:rPr>
          <w:rFonts w:ascii="Arial" w:cs="Arial" w:eastAsia="Arial" w:hAnsi="Arial"/>
          <w:sz w:val="14"/>
          <w:szCs w:val="14"/>
          <w:color w:val="auto"/>
        </w:rPr>
        <w:t>. To the extent desirable to qualify transactions hereunder as exempt under Rule 16b-3, the transactions contemplated hereunder will be structured to satisfy the requirements for exemption under Rule 16b-3.</w:t>
      </w:r>
    </w:p>
    <w:p>
      <w:pPr>
        <w:spacing w:after="0" w:line="79" w:lineRule="exact"/>
        <w:rPr>
          <w:sz w:val="20"/>
          <w:szCs w:val="20"/>
          <w:color w:val="auto"/>
        </w:rPr>
      </w:pPr>
    </w:p>
    <w:p>
      <w:pPr>
        <w:ind w:firstLine="1039"/>
        <w:spacing w:after="0" w:line="296"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b w:val="1"/>
          <w:bCs w:val="1"/>
          <w:color w:val="auto"/>
        </w:rPr>
        <w:t>Other Administration</w:t>
      </w:r>
      <w:r>
        <w:rPr>
          <w:rFonts w:ascii="Arial" w:cs="Arial" w:eastAsia="Arial" w:hAnsi="Arial"/>
          <w:sz w:val="14"/>
          <w:szCs w:val="14"/>
          <w:color w:val="auto"/>
        </w:rPr>
        <w:t>. Other than as provided above, the Plan will be administered by (A) the Board or (B) a Committee, which Committee will be constituted to comply with Applicable Laws.</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b w:val="1"/>
          <w:bCs w:val="1"/>
          <w:color w:val="auto"/>
        </w:rPr>
        <w:t>Powers of the Administrator</w:t>
      </w:r>
      <w:r>
        <w:rPr>
          <w:rFonts w:ascii="Arial" w:cs="Arial" w:eastAsia="Arial" w:hAnsi="Arial"/>
          <w:sz w:val="13"/>
          <w:szCs w:val="13"/>
          <w:color w:val="auto"/>
        </w:rPr>
        <w:t>. Subject to the provisions of the Plan, and in the case of a Committee, subject to the specific duties delegated by the Board to such Committee,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Administrator will have the authority, in its discretion:</w:t>
      </w:r>
    </w:p>
    <w:p>
      <w:pPr>
        <w:spacing w:after="0" w:line="133" w:lineRule="exact"/>
        <w:rPr>
          <w:sz w:val="20"/>
          <w:szCs w:val="20"/>
          <w:color w:val="auto"/>
        </w:rPr>
      </w:pPr>
    </w:p>
    <w:p>
      <w:pPr>
        <w:ind w:left="1560" w:hanging="515"/>
        <w:spacing w:after="0"/>
        <w:tabs>
          <w:tab w:leader="none" w:pos="1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determine the Fair Market Value;</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select the Service Providers to whom Awards may be granted hereunder;</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determine the number of Shares or dollar amounts to be covered by each Award granted hereunder;</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approve forms of Award Agreements for use under the Plan;</w:t>
      </w:r>
    </w:p>
    <w:p>
      <w:pPr>
        <w:spacing w:after="0" w:line="141" w:lineRule="exact"/>
        <w:rPr>
          <w:rFonts w:ascii="Arial" w:cs="Arial" w:eastAsia="Arial" w:hAnsi="Arial"/>
          <w:sz w:val="14"/>
          <w:szCs w:val="14"/>
          <w:color w:val="auto"/>
        </w:rPr>
      </w:pPr>
    </w:p>
    <w:p>
      <w:pPr>
        <w:jc w:val="both"/>
        <w:ind w:firstLine="1045"/>
        <w:spacing w:after="0" w:line="266" w:lineRule="auto"/>
        <w:tabs>
          <w:tab w:leader="none" w:pos="15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03" w:lineRule="exact"/>
        <w:rPr>
          <w:rFonts w:ascii="Arial" w:cs="Arial" w:eastAsia="Arial" w:hAnsi="Arial"/>
          <w:sz w:val="14"/>
          <w:szCs w:val="14"/>
          <w:color w:val="auto"/>
        </w:rPr>
      </w:pPr>
    </w:p>
    <w:p>
      <w:pPr>
        <w:ind w:firstLine="1045"/>
        <w:spacing w:after="0" w:line="290" w:lineRule="auto"/>
        <w:tabs>
          <w:tab w:leader="none" w:pos="155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institute and determine the terms and conditions of an Exchange Program, including, subject to Section 20.3, to unilaterally implement an Exchange Program without the consent of the applicable Award holder;</w:t>
      </w:r>
    </w:p>
    <w:p>
      <w:pPr>
        <w:spacing w:after="0" w:line="87" w:lineRule="exact"/>
        <w:rPr>
          <w:rFonts w:ascii="Arial" w:cs="Arial" w:eastAsia="Arial" w:hAnsi="Arial"/>
          <w:sz w:val="14"/>
          <w:szCs w:val="14"/>
          <w:color w:val="auto"/>
        </w:rPr>
      </w:pPr>
    </w:p>
    <w:p>
      <w:pPr>
        <w:ind w:left="1560" w:hanging="515"/>
        <w:spacing w:after="0"/>
        <w:tabs>
          <w:tab w:leader="none" w:pos="1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construe and interpret the terms of the Plan and Awards granted pursuant to the Plan;</w:t>
      </w:r>
    </w:p>
    <w:p>
      <w:pPr>
        <w:spacing w:after="0" w:line="141" w:lineRule="exact"/>
        <w:rPr>
          <w:rFonts w:ascii="Arial" w:cs="Arial" w:eastAsia="Arial" w:hAnsi="Arial"/>
          <w:sz w:val="14"/>
          <w:szCs w:val="14"/>
          <w:color w:val="auto"/>
        </w:rPr>
      </w:pPr>
    </w:p>
    <w:p>
      <w:pPr>
        <w:jc w:val="both"/>
        <w:ind w:firstLine="1045"/>
        <w:spacing w:after="0" w:line="176" w:lineRule="exact"/>
        <w:tabs>
          <w:tab w:leader="none" w:pos="1553"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14"/>
          <w:szCs w:val="14"/>
          <w:color w:val="auto"/>
        </w:rPr>
        <w:t>‑</w:t>
      </w:r>
      <w:r>
        <w:rPr>
          <w:rFonts w:ascii="Arial" w:cs="Arial" w:eastAsia="Arial" w:hAnsi="Arial"/>
          <w:sz w:val="14"/>
          <w:szCs w:val="14"/>
          <w:color w:val="auto"/>
        </w:rPr>
        <w:t>U.S. laws, easing the administration of the Plan and/or for qualifying for favorable tax treatment under applicable non</w:t>
      </w:r>
      <w:r>
        <w:rPr>
          <w:rFonts w:ascii="MS PGothic" w:cs="MS PGothic" w:eastAsia="MS PGothic" w:hAnsi="MS PGothic"/>
          <w:sz w:val="14"/>
          <w:szCs w:val="14"/>
          <w:color w:val="auto"/>
        </w:rPr>
        <w:t>‑</w:t>
      </w:r>
      <w:r>
        <w:rPr>
          <w:rFonts w:ascii="Arial" w:cs="Arial" w:eastAsia="Arial" w:hAnsi="Arial"/>
          <w:sz w:val="14"/>
          <w:szCs w:val="14"/>
          <w:color w:val="auto"/>
        </w:rPr>
        <w:t>U.S. laws, in each case as the Administrator may deem necessary or advisable;</w:t>
      </w:r>
    </w:p>
    <w:p>
      <w:pPr>
        <w:spacing w:after="0" w:line="121" w:lineRule="exact"/>
        <w:rPr>
          <w:rFonts w:ascii="Arial" w:cs="Arial" w:eastAsia="Arial" w:hAnsi="Arial"/>
          <w:sz w:val="14"/>
          <w:szCs w:val="14"/>
          <w:color w:val="auto"/>
        </w:rPr>
      </w:pPr>
    </w:p>
    <w:p>
      <w:pPr>
        <w:ind w:firstLine="1045"/>
        <w:spacing w:after="0" w:line="290" w:lineRule="auto"/>
        <w:tabs>
          <w:tab w:leader="none" w:pos="1554"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87" w:lineRule="exact"/>
        <w:rPr>
          <w:rFonts w:ascii="Arial" w:cs="Arial" w:eastAsia="Arial" w:hAnsi="Arial"/>
          <w:sz w:val="14"/>
          <w:szCs w:val="14"/>
          <w:color w:val="auto"/>
        </w:rPr>
      </w:pPr>
    </w:p>
    <w:p>
      <w:pPr>
        <w:ind w:left="1560" w:hanging="515"/>
        <w:spacing w:after="0"/>
        <w:tabs>
          <w:tab w:leader="none" w:pos="1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allow Participants to satisfy withholding tax obligations in a manner prescribed in Section 16;</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 authorize any person to execute on behalf of the Company any instrument required to effect the grant of an Award previously granted by the Administrator;</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to allow a Participant to defer the receipt of the payment of cash or the delivery of Shares that otherwise would be due to such Participant under an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164" w:right="319" w:bottom="1440" w:gutter="0" w:footer="0" w:header="0"/>
        </w:sectPr>
      </w:pPr>
    </w:p>
    <w:bookmarkStart w:id="71" w:name="page72"/>
    <w:bookmarkEnd w:id="71"/>
    <w:p>
      <w:pPr>
        <w:ind w:left="1560" w:hanging="515"/>
        <w:spacing w:after="0"/>
        <w:tabs>
          <w:tab w:leader="none" w:pos="15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 make all other determinations deemed necessary or advisable for administering the Plan.</w:t>
      </w:r>
    </w:p>
    <w:p>
      <w:pPr>
        <w:spacing w:after="0" w:line="138" w:lineRule="exact"/>
        <w:rPr>
          <w:sz w:val="20"/>
          <w:szCs w:val="20"/>
          <w:color w:val="auto"/>
        </w:rPr>
      </w:pPr>
    </w:p>
    <w:p>
      <w:pPr>
        <w:ind w:firstLine="519"/>
        <w:spacing w:after="0" w:line="296"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b w:val="1"/>
          <w:bCs w:val="1"/>
          <w:color w:val="auto"/>
        </w:rPr>
        <w:t>Effect of Administrator’s Decision</w:t>
      </w:r>
      <w:r>
        <w:rPr>
          <w:rFonts w:ascii="Arial" w:cs="Arial" w:eastAsia="Arial" w:hAnsi="Arial"/>
          <w:sz w:val="14"/>
          <w:szCs w:val="14"/>
          <w:color w:val="auto"/>
        </w:rPr>
        <w:t>. The Administrator’s decisions, determinations and interpretations will be final and binding on all Participants and any other holders of Awards and will be given the maximum deference permitted by Applicable Laws.</w:t>
      </w:r>
    </w:p>
    <w:p>
      <w:pPr>
        <w:spacing w:after="0" w:line="79" w:lineRule="exact"/>
        <w:rPr>
          <w:sz w:val="20"/>
          <w:szCs w:val="20"/>
          <w:color w:val="auto"/>
        </w:rPr>
      </w:pPr>
    </w:p>
    <w:p>
      <w:pPr>
        <w:ind w:firstLine="266"/>
        <w:spacing w:after="0" w:line="296" w:lineRule="auto"/>
        <w:tabs>
          <w:tab w:leader="none" w:pos="519"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auto"/>
        </w:rPr>
        <w:t>Eligibility</w:t>
      </w:r>
      <w:r>
        <w:rPr>
          <w:rFonts w:ascii="Arial" w:cs="Arial" w:eastAsia="Arial" w:hAnsi="Arial"/>
          <w:sz w:val="14"/>
          <w:szCs w:val="14"/>
          <w:color w:val="auto"/>
        </w:rPr>
        <w:t>. Nonstatutory Stock Options, Stock Appreciation Rights, Restricted Stock, Restricted Stock Units, or Performance Awards may be granted to Service Providers. Incentive</w:t>
      </w:r>
      <w:r>
        <w:rPr>
          <w:rFonts w:ascii="Arial" w:cs="Arial" w:eastAsia="Arial" w:hAnsi="Arial"/>
          <w:sz w:val="14"/>
          <w:szCs w:val="14"/>
          <w:b w:val="1"/>
          <w:bCs w:val="1"/>
          <w:color w:val="auto"/>
        </w:rPr>
        <w:t xml:space="preserve"> </w:t>
      </w:r>
      <w:r>
        <w:rPr>
          <w:rFonts w:ascii="Arial" w:cs="Arial" w:eastAsia="Arial" w:hAnsi="Arial"/>
          <w:sz w:val="14"/>
          <w:szCs w:val="14"/>
          <w:color w:val="auto"/>
        </w:rPr>
        <w:t>Stock Options may be granted only to Employees.</w:t>
      </w:r>
    </w:p>
    <w:p>
      <w:pPr>
        <w:spacing w:after="0" w:line="78" w:lineRule="exact"/>
        <w:rPr>
          <w:rFonts w:ascii="Arial" w:cs="Arial" w:eastAsia="Arial" w:hAnsi="Arial"/>
          <w:sz w:val="14"/>
          <w:szCs w:val="14"/>
          <w:color w:val="auto"/>
        </w:rPr>
      </w:pPr>
    </w:p>
    <w:p>
      <w:pPr>
        <w:ind w:left="520" w:hanging="254"/>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b w:val="1"/>
          <w:bCs w:val="1"/>
          <w:color w:val="auto"/>
        </w:rPr>
        <w:t>Stock Options</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Grant of Options</w:t>
      </w:r>
      <w:r>
        <w:rPr>
          <w:rFonts w:ascii="Arial" w:cs="Arial" w:eastAsia="Arial" w:hAnsi="Arial"/>
          <w:sz w:val="14"/>
          <w:szCs w:val="14"/>
          <w:color w:val="auto"/>
        </w:rPr>
        <w:t>. Subject to the terms and provisions of the Plan, the Administrator, at any time and from time to time, may grant Options to Service Providers in such amounts as the Administrator, in its sole discretion, will determine.</w:t>
      </w:r>
    </w:p>
    <w:p>
      <w:pPr>
        <w:spacing w:after="0" w:line="79"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b w:val="1"/>
          <w:bCs w:val="1"/>
          <w:color w:val="auto"/>
        </w:rPr>
        <w:t>Option Agreement</w:t>
      </w:r>
      <w:r>
        <w:rPr>
          <w:rFonts w:ascii="Arial" w:cs="Arial" w:eastAsia="Arial" w:hAnsi="Arial"/>
          <w:sz w:val="14"/>
          <w:szCs w:val="14"/>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79" w:lineRule="exact"/>
        <w:rPr>
          <w:sz w:val="20"/>
          <w:szCs w:val="20"/>
          <w:color w:val="auto"/>
        </w:rPr>
      </w:pPr>
    </w:p>
    <w:p>
      <w:pPr>
        <w:jc w:val="both"/>
        <w:ind w:firstLine="519"/>
        <w:spacing w:after="0" w:line="292"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b w:val="1"/>
          <w:bCs w:val="1"/>
          <w:color w:val="auto"/>
        </w:rPr>
        <w:t>Limitations</w:t>
      </w:r>
      <w:r>
        <w:rPr>
          <w:rFonts w:ascii="Arial" w:cs="Arial" w:eastAsia="Arial" w:hAnsi="Arial"/>
          <w:sz w:val="13"/>
          <w:szCs w:val="13"/>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86"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color w:val="auto"/>
        </w:rPr>
        <w:t>Term of Option</w:t>
      </w:r>
      <w:r>
        <w:rPr>
          <w:rFonts w:ascii="Arial" w:cs="Arial" w:eastAsia="Arial" w:hAnsi="Arial"/>
          <w:sz w:val="14"/>
          <w:szCs w:val="14"/>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9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3"/>
          <w:szCs w:val="13"/>
          <w:b w:val="1"/>
          <w:bCs w:val="1"/>
          <w:color w:val="auto"/>
        </w:rPr>
        <w:t>Option Exercise Price and Consideration</w:t>
      </w:r>
      <w:r>
        <w:rPr>
          <w:rFonts w:ascii="Arial" w:cs="Arial" w:eastAsia="Arial" w:hAnsi="Arial"/>
          <w:sz w:val="13"/>
          <w:szCs w:val="13"/>
          <w:color w:val="auto"/>
        </w:rPr>
        <w:t>.</w:t>
      </w:r>
    </w:p>
    <w:p>
      <w:pPr>
        <w:spacing w:after="0" w:line="142" w:lineRule="exact"/>
        <w:rPr>
          <w:sz w:val="20"/>
          <w:szCs w:val="20"/>
          <w:color w:val="auto"/>
        </w:rPr>
      </w:pPr>
    </w:p>
    <w:p>
      <w:pPr>
        <w:jc w:val="both"/>
        <w:ind w:firstLine="1039"/>
        <w:spacing w:after="0" w:line="292" w:lineRule="auto"/>
        <w:rPr>
          <w:sz w:val="20"/>
          <w:szCs w:val="20"/>
          <w:color w:val="auto"/>
        </w:rPr>
      </w:pPr>
      <w:r>
        <w:rPr>
          <w:rFonts w:ascii="Arial" w:cs="Arial" w:eastAsia="Arial" w:hAnsi="Arial"/>
          <w:sz w:val="13"/>
          <w:szCs w:val="13"/>
          <w:color w:val="auto"/>
        </w:rPr>
        <w:t xml:space="preserve">6.5.1 </w:t>
      </w:r>
      <w:r>
        <w:rPr>
          <w:rFonts w:ascii="Arial" w:cs="Arial" w:eastAsia="Arial" w:hAnsi="Arial"/>
          <w:sz w:val="13"/>
          <w:szCs w:val="13"/>
          <w:b w:val="1"/>
          <w:bCs w:val="1"/>
          <w:color w:val="auto"/>
        </w:rPr>
        <w:t>Exercise Price</w:t>
      </w:r>
      <w:r>
        <w:rPr>
          <w:rFonts w:ascii="Arial" w:cs="Arial" w:eastAsia="Arial" w:hAnsi="Arial"/>
          <w:sz w:val="13"/>
          <w:szCs w:val="13"/>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86" w:lineRule="exact"/>
        <w:rPr>
          <w:sz w:val="20"/>
          <w:szCs w:val="20"/>
          <w:color w:val="auto"/>
        </w:rPr>
      </w:pPr>
    </w:p>
    <w:p>
      <w:pPr>
        <w:jc w:val="both"/>
        <w:ind w:firstLine="1039"/>
        <w:spacing w:after="0" w:line="296" w:lineRule="auto"/>
        <w:rPr>
          <w:sz w:val="20"/>
          <w:szCs w:val="20"/>
          <w:color w:val="auto"/>
        </w:rPr>
      </w:pPr>
      <w:r>
        <w:rPr>
          <w:rFonts w:ascii="Arial" w:cs="Arial" w:eastAsia="Arial" w:hAnsi="Arial"/>
          <w:sz w:val="14"/>
          <w:szCs w:val="14"/>
          <w:color w:val="auto"/>
        </w:rPr>
        <w:t xml:space="preserve">6.5.2 </w:t>
      </w:r>
      <w:r>
        <w:rPr>
          <w:rFonts w:ascii="Arial" w:cs="Arial" w:eastAsia="Arial" w:hAnsi="Arial"/>
          <w:sz w:val="14"/>
          <w:szCs w:val="14"/>
          <w:b w:val="1"/>
          <w:bCs w:val="1"/>
          <w:color w:val="auto"/>
        </w:rPr>
        <w:t>Waiting Period and Exercise Dates</w:t>
      </w:r>
      <w:r>
        <w:rPr>
          <w:rFonts w:ascii="Arial" w:cs="Arial" w:eastAsia="Arial" w:hAnsi="Arial"/>
          <w:sz w:val="14"/>
          <w:szCs w:val="14"/>
          <w:color w:val="auto"/>
        </w:rPr>
        <w:t>. At the time an Option is granted, the Administrator will fix the period within which the Option may be exercised and will determine any conditions that must be satisfied before the Option may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168" w:right="319" w:bottom="1440" w:gutter="0" w:footer="0" w:header="0"/>
        </w:sectPr>
      </w:pPr>
    </w:p>
    <w:bookmarkStart w:id="72" w:name="page73"/>
    <w:bookmarkEnd w:id="72"/>
    <w:p>
      <w:pPr>
        <w:jc w:val="both"/>
        <w:ind w:firstLine="1039"/>
        <w:spacing w:after="0" w:line="263" w:lineRule="auto"/>
        <w:rPr>
          <w:sz w:val="20"/>
          <w:szCs w:val="20"/>
          <w:color w:val="auto"/>
        </w:rPr>
      </w:pPr>
      <w:r>
        <w:rPr>
          <w:rFonts w:ascii="Arial" w:cs="Arial" w:eastAsia="Arial" w:hAnsi="Arial"/>
          <w:sz w:val="14"/>
          <w:szCs w:val="14"/>
          <w:color w:val="auto"/>
        </w:rPr>
        <w:t xml:space="preserve">6.5.3 </w:t>
      </w:r>
      <w:r>
        <w:rPr>
          <w:rFonts w:ascii="Arial" w:cs="Arial" w:eastAsia="Arial" w:hAnsi="Arial"/>
          <w:sz w:val="14"/>
          <w:szCs w:val="14"/>
          <w:b w:val="1"/>
          <w:bCs w:val="1"/>
          <w:color w:val="auto"/>
        </w:rPr>
        <w:t>Form of Consideration</w:t>
      </w:r>
      <w:r>
        <w:rPr>
          <w:rFonts w:ascii="Arial" w:cs="Arial" w:eastAsia="Arial" w:hAnsi="Arial"/>
          <w:sz w:val="14"/>
          <w:szCs w:val="14"/>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0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2"/>
          <w:szCs w:val="12"/>
          <w:b w:val="1"/>
          <w:bCs w:val="1"/>
          <w:color w:val="auto"/>
        </w:rPr>
        <w:t>Exercise of Option</w:t>
      </w:r>
      <w:r>
        <w:rPr>
          <w:rFonts w:ascii="Arial" w:cs="Arial" w:eastAsia="Arial" w:hAnsi="Arial"/>
          <w:sz w:val="12"/>
          <w:szCs w:val="12"/>
          <w:color w:val="auto"/>
        </w:rPr>
        <w:t>.</w:t>
      </w:r>
    </w:p>
    <w:p>
      <w:pPr>
        <w:spacing w:after="0" w:line="142" w:lineRule="exact"/>
        <w:rPr>
          <w:sz w:val="20"/>
          <w:szCs w:val="20"/>
          <w:color w:val="auto"/>
        </w:rPr>
      </w:pPr>
    </w:p>
    <w:p>
      <w:pPr>
        <w:jc w:val="both"/>
        <w:ind w:firstLine="1039"/>
        <w:spacing w:after="0" w:line="296" w:lineRule="auto"/>
        <w:rPr>
          <w:sz w:val="20"/>
          <w:szCs w:val="20"/>
          <w:color w:val="auto"/>
        </w:rPr>
      </w:pPr>
      <w:r>
        <w:rPr>
          <w:rFonts w:ascii="Arial" w:cs="Arial" w:eastAsia="Arial" w:hAnsi="Arial"/>
          <w:sz w:val="14"/>
          <w:szCs w:val="14"/>
          <w:color w:val="auto"/>
        </w:rPr>
        <w:t xml:space="preserve">6.6.1 </w:t>
      </w:r>
      <w:r>
        <w:rPr>
          <w:rFonts w:ascii="Arial" w:cs="Arial" w:eastAsia="Arial" w:hAnsi="Arial"/>
          <w:sz w:val="14"/>
          <w:szCs w:val="14"/>
          <w:b w:val="1"/>
          <w:bCs w:val="1"/>
          <w:color w:val="auto"/>
        </w:rPr>
        <w:t>Procedure for Exercise; Rights as a Stockholder</w:t>
      </w:r>
      <w:r>
        <w:rPr>
          <w:rFonts w:ascii="Arial" w:cs="Arial" w:eastAsia="Arial" w:hAnsi="Arial"/>
          <w:sz w:val="14"/>
          <w:szCs w:val="14"/>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83" w:lineRule="exact"/>
        <w:rPr>
          <w:sz w:val="20"/>
          <w:szCs w:val="20"/>
          <w:color w:val="auto"/>
        </w:rPr>
      </w:pPr>
    </w:p>
    <w:p>
      <w:pPr>
        <w:jc w:val="both"/>
        <w:ind w:firstLine="1039"/>
        <w:spacing w:after="0" w:line="286" w:lineRule="auto"/>
        <w:rPr>
          <w:sz w:val="20"/>
          <w:szCs w:val="20"/>
          <w:color w:val="auto"/>
        </w:rPr>
      </w:pPr>
      <w:r>
        <w:rPr>
          <w:rFonts w:ascii="Arial" w:cs="Arial" w:eastAsia="Arial" w:hAnsi="Arial"/>
          <w:sz w:val="13"/>
          <w:szCs w:val="13"/>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95" w:lineRule="exact"/>
        <w:rPr>
          <w:sz w:val="20"/>
          <w:szCs w:val="20"/>
          <w:color w:val="auto"/>
        </w:rPr>
      </w:pPr>
    </w:p>
    <w:p>
      <w:pPr>
        <w:jc w:val="both"/>
        <w:ind w:firstLine="1039"/>
        <w:spacing w:after="0" w:line="290" w:lineRule="auto"/>
        <w:rPr>
          <w:sz w:val="20"/>
          <w:szCs w:val="20"/>
          <w:color w:val="auto"/>
        </w:rPr>
      </w:pPr>
      <w:r>
        <w:rPr>
          <w:rFonts w:ascii="Arial" w:cs="Arial" w:eastAsia="Arial" w:hAnsi="Arial"/>
          <w:sz w:val="14"/>
          <w:szCs w:val="14"/>
          <w:color w:val="auto"/>
        </w:rPr>
        <w:t>Exercising an Option in any manner will decrease the number of Shares thereafter available, both for purposes of the Plan and for sale under the Option, by the number of Shares as to which the Option is exercised.</w:t>
      </w:r>
    </w:p>
    <w:p>
      <w:pPr>
        <w:spacing w:after="0" w:line="83" w:lineRule="exact"/>
        <w:rPr>
          <w:sz w:val="20"/>
          <w:szCs w:val="20"/>
          <w:color w:val="auto"/>
        </w:rPr>
      </w:pPr>
    </w:p>
    <w:p>
      <w:pPr>
        <w:jc w:val="both"/>
        <w:ind w:firstLine="1039"/>
        <w:spacing w:after="0" w:line="289" w:lineRule="auto"/>
        <w:rPr>
          <w:sz w:val="20"/>
          <w:szCs w:val="20"/>
          <w:color w:val="auto"/>
        </w:rPr>
      </w:pPr>
      <w:r>
        <w:rPr>
          <w:rFonts w:ascii="Arial" w:cs="Arial" w:eastAsia="Arial" w:hAnsi="Arial"/>
          <w:sz w:val="13"/>
          <w:szCs w:val="13"/>
          <w:color w:val="auto"/>
        </w:rPr>
        <w:t xml:space="preserve">6.6.2 </w:t>
      </w:r>
      <w:r>
        <w:rPr>
          <w:rFonts w:ascii="Arial" w:cs="Arial" w:eastAsia="Arial" w:hAnsi="Arial"/>
          <w:sz w:val="13"/>
          <w:szCs w:val="13"/>
          <w:b w:val="1"/>
          <w:bCs w:val="1"/>
          <w:color w:val="auto"/>
        </w:rPr>
        <w:t>Termination of Relationship as a Service Provider</w:t>
      </w:r>
      <w:r>
        <w:rPr>
          <w:rFonts w:ascii="Arial" w:cs="Arial" w:eastAsia="Arial" w:hAnsi="Arial"/>
          <w:sz w:val="13"/>
          <w:szCs w:val="13"/>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89" w:lineRule="exact"/>
        <w:rPr>
          <w:sz w:val="20"/>
          <w:szCs w:val="20"/>
          <w:color w:val="auto"/>
        </w:rPr>
      </w:pPr>
    </w:p>
    <w:p>
      <w:pPr>
        <w:jc w:val="both"/>
        <w:ind w:firstLine="1039"/>
        <w:spacing w:after="0" w:line="292" w:lineRule="auto"/>
        <w:rPr>
          <w:sz w:val="20"/>
          <w:szCs w:val="20"/>
          <w:color w:val="auto"/>
        </w:rPr>
      </w:pPr>
      <w:r>
        <w:rPr>
          <w:rFonts w:ascii="Arial" w:cs="Arial" w:eastAsia="Arial" w:hAnsi="Arial"/>
          <w:sz w:val="13"/>
          <w:szCs w:val="13"/>
          <w:color w:val="auto"/>
        </w:rPr>
        <w:t xml:space="preserve">6.6.3 </w:t>
      </w:r>
      <w:r>
        <w:rPr>
          <w:rFonts w:ascii="Arial" w:cs="Arial" w:eastAsia="Arial" w:hAnsi="Arial"/>
          <w:sz w:val="13"/>
          <w:szCs w:val="13"/>
          <w:b w:val="1"/>
          <w:bCs w:val="1"/>
          <w:color w:val="auto"/>
        </w:rPr>
        <w:t>Disability of Participant</w:t>
      </w:r>
      <w:r>
        <w:rPr>
          <w:rFonts w:ascii="Arial" w:cs="Arial" w:eastAsia="Arial" w:hAnsi="Arial"/>
          <w:sz w:val="13"/>
          <w:szCs w:val="13"/>
          <w:color w:val="auto"/>
        </w:rPr>
        <w:t>.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164"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after such cessation the Participant does not exercise his or her Option within the time specified herein, the Option will terminate, and the Shares covered by such Option will revert to the Plan.</w:t>
      </w:r>
    </w:p>
    <w:p>
      <w:pPr>
        <w:spacing w:after="0" w:line="149" w:lineRule="exact"/>
        <w:rPr>
          <w:sz w:val="20"/>
          <w:szCs w:val="20"/>
          <w:color w:val="auto"/>
        </w:rPr>
      </w:pPr>
    </w:p>
    <w:p>
      <w:pPr>
        <w:jc w:val="both"/>
        <w:ind w:firstLine="1039"/>
        <w:spacing w:after="0" w:line="284" w:lineRule="auto"/>
        <w:rPr>
          <w:sz w:val="20"/>
          <w:szCs w:val="20"/>
          <w:color w:val="auto"/>
        </w:rPr>
      </w:pPr>
      <w:r>
        <w:rPr>
          <w:rFonts w:ascii="Arial" w:cs="Arial" w:eastAsia="Arial" w:hAnsi="Arial"/>
          <w:sz w:val="13"/>
          <w:szCs w:val="13"/>
          <w:color w:val="auto"/>
        </w:rPr>
        <w:t xml:space="preserve">6.6.4 </w:t>
      </w:r>
      <w:r>
        <w:rPr>
          <w:rFonts w:ascii="Arial" w:cs="Arial" w:eastAsia="Arial" w:hAnsi="Arial"/>
          <w:sz w:val="13"/>
          <w:szCs w:val="13"/>
          <w:b w:val="1"/>
          <w:bCs w:val="1"/>
          <w:color w:val="auto"/>
        </w:rPr>
        <w:t>Death of Participant</w:t>
      </w:r>
      <w:r>
        <w:rPr>
          <w:rFonts w:ascii="Arial" w:cs="Arial" w:eastAsia="Arial" w:hAnsi="Arial"/>
          <w:sz w:val="13"/>
          <w:szCs w:val="13"/>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13"/>
          <w:szCs w:val="13"/>
          <w:b w:val="1"/>
          <w:bCs w:val="1"/>
          <w:color w:val="auto"/>
        </w:rPr>
        <w:t>Legal</w:t>
      </w:r>
      <w:r>
        <w:rPr>
          <w:rFonts w:ascii="Arial" w:cs="Arial" w:eastAsia="Arial" w:hAnsi="Arial"/>
          <w:sz w:val="13"/>
          <w:szCs w:val="13"/>
          <w:color w:val="auto"/>
        </w:rPr>
        <w:t xml:space="preserve"> </w:t>
      </w:r>
      <w:r>
        <w:rPr>
          <w:rFonts w:ascii="Arial" w:cs="Arial" w:eastAsia="Arial" w:hAnsi="Arial"/>
          <w:sz w:val="13"/>
          <w:szCs w:val="13"/>
          <w:b w:val="1"/>
          <w:bCs w:val="1"/>
          <w:color w:val="auto"/>
        </w:rPr>
        <w:t>Representative</w:t>
      </w:r>
      <w:r>
        <w:rPr>
          <w:rFonts w:ascii="Arial" w:cs="Arial" w:eastAsia="Arial" w:hAnsi="Arial"/>
          <w:sz w:val="13"/>
          <w:szCs w:val="13"/>
          <w:color w:val="auto"/>
        </w:rPr>
        <w:t>”). If the Option is exercised pursuant to this Section 6.6.4, Participant’s designated beneficiary or Legal Representative shall be subject to the terms of this Plan and the Award</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92"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4"/>
          <w:szCs w:val="14"/>
          <w:color w:val="auto"/>
        </w:rPr>
        <w:t>6.6.5</w:t>
      </w:r>
      <w:r>
        <w:rPr>
          <w:sz w:val="20"/>
          <w:szCs w:val="20"/>
          <w:color w:val="auto"/>
        </w:rPr>
        <w:tab/>
      </w:r>
      <w:r>
        <w:rPr>
          <w:rFonts w:ascii="Arial" w:cs="Arial" w:eastAsia="Arial" w:hAnsi="Arial"/>
          <w:sz w:val="13"/>
          <w:szCs w:val="13"/>
          <w:b w:val="1"/>
          <w:bCs w:val="1"/>
          <w:color w:val="auto"/>
        </w:rPr>
        <w:t>Tolling Expiration</w:t>
      </w:r>
      <w:r>
        <w:rPr>
          <w:rFonts w:ascii="Arial" w:cs="Arial" w:eastAsia="Arial" w:hAnsi="Arial"/>
          <w:sz w:val="13"/>
          <w:szCs w:val="13"/>
          <w:color w:val="auto"/>
        </w:rPr>
        <w:t>. A Participant’s Award Agreement may also provide that:</w:t>
      </w:r>
    </w:p>
    <w:p>
      <w:pPr>
        <w:spacing w:after="0" w:line="146" w:lineRule="exact"/>
        <w:rPr>
          <w:sz w:val="20"/>
          <w:szCs w:val="20"/>
          <w:color w:val="auto"/>
        </w:rPr>
      </w:pPr>
    </w:p>
    <w:p>
      <w:pPr>
        <w:jc w:val="both"/>
        <w:ind w:firstLine="1565"/>
        <w:spacing w:after="0" w:line="274" w:lineRule="auto"/>
        <w:tabs>
          <w:tab w:leader="none" w:pos="2075" w:val="left"/>
        </w:tabs>
        <w:numPr>
          <w:ilvl w:val="1"/>
          <w:numId w:val="50"/>
        </w:numPr>
        <w:rPr>
          <w:rFonts w:ascii="Arial" w:cs="Arial" w:eastAsia="Arial" w:hAnsi="Arial"/>
          <w:sz w:val="14"/>
          <w:szCs w:val="14"/>
          <w:color w:val="auto"/>
        </w:rPr>
      </w:pPr>
      <w:r>
        <w:rPr>
          <w:rFonts w:ascii="Arial" w:cs="Arial" w:eastAsia="Arial" w:hAnsi="Arial"/>
          <w:sz w:val="14"/>
          <w:szCs w:val="14"/>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spacing w:after="0" w:line="97" w:lineRule="exact"/>
        <w:rPr>
          <w:rFonts w:ascii="Arial" w:cs="Arial" w:eastAsia="Arial" w:hAnsi="Arial"/>
          <w:sz w:val="14"/>
          <w:szCs w:val="14"/>
          <w:color w:val="auto"/>
        </w:rPr>
      </w:pPr>
    </w:p>
    <w:p>
      <w:pPr>
        <w:jc w:val="both"/>
        <w:ind w:firstLine="1565"/>
        <w:spacing w:after="0" w:line="268" w:lineRule="auto"/>
        <w:tabs>
          <w:tab w:leader="none" w:pos="2072" w:val="left"/>
        </w:tabs>
        <w:numPr>
          <w:ilvl w:val="1"/>
          <w:numId w:val="50"/>
        </w:numPr>
        <w:rPr>
          <w:rFonts w:ascii="Arial" w:cs="Arial" w:eastAsia="Arial" w:hAnsi="Arial"/>
          <w:sz w:val="14"/>
          <w:szCs w:val="14"/>
          <w:color w:val="auto"/>
        </w:rPr>
      </w:pPr>
      <w:r>
        <w:rPr>
          <w:rFonts w:ascii="Arial" w:cs="Arial" w:eastAsia="Arial" w:hAnsi="Arial"/>
          <w:sz w:val="14"/>
          <w:szCs w:val="14"/>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99" w:lineRule="exact"/>
        <w:rPr>
          <w:rFonts w:ascii="Arial" w:cs="Arial" w:eastAsia="Arial" w:hAnsi="Arial"/>
          <w:sz w:val="14"/>
          <w:szCs w:val="14"/>
          <w:color w:val="auto"/>
        </w:rPr>
      </w:pPr>
    </w:p>
    <w:p>
      <w:pPr>
        <w:ind w:left="520" w:hanging="254"/>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auto"/>
        </w:rPr>
        <w:t>Stock Appreciation Rights</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7.1</w:t>
      </w:r>
      <w:r>
        <w:rPr>
          <w:rFonts w:ascii="Arial" w:cs="Arial" w:eastAsia="Arial" w:hAnsi="Arial"/>
          <w:sz w:val="13"/>
          <w:szCs w:val="13"/>
          <w:b w:val="1"/>
          <w:bCs w:val="1"/>
          <w:color w:val="auto"/>
        </w:rPr>
        <w:t>Grant of Stock Appreciation Rights</w:t>
      </w:r>
      <w:r>
        <w:rPr>
          <w:rFonts w:ascii="Arial" w:cs="Arial" w:eastAsia="Arial" w:hAnsi="Arial"/>
          <w:sz w:val="13"/>
          <w:szCs w:val="13"/>
          <w:color w:val="auto"/>
        </w:rPr>
        <w:t>. Subject to the terms and conditions of the Plan, a Stock Appreciation Right may be granted to Service Providers at any time and from</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time to time as will be determined by the Administrator, in its sole discretion.</w:t>
      </w:r>
    </w:p>
    <w:p>
      <w:pPr>
        <w:spacing w:after="0" w:line="12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3"/>
          <w:szCs w:val="13"/>
          <w:b w:val="1"/>
          <w:bCs w:val="1"/>
          <w:color w:val="auto"/>
        </w:rPr>
        <w:t>Number of Shares</w:t>
      </w:r>
      <w:r>
        <w:rPr>
          <w:rFonts w:ascii="Arial" w:cs="Arial" w:eastAsia="Arial" w:hAnsi="Arial"/>
          <w:sz w:val="13"/>
          <w:szCs w:val="13"/>
          <w:color w:val="auto"/>
        </w:rPr>
        <w:t>. The Administrator will have complete discretion to determine the number of Shares subject to any Award of Stock Appreciation Rights.</w:t>
      </w:r>
    </w:p>
    <w:p>
      <w:pPr>
        <w:spacing w:after="0" w:line="142" w:lineRule="exact"/>
        <w:rPr>
          <w:sz w:val="20"/>
          <w:szCs w:val="20"/>
          <w:color w:val="auto"/>
        </w:rPr>
      </w:pPr>
    </w:p>
    <w:p>
      <w:pPr>
        <w:jc w:val="both"/>
        <w:ind w:firstLine="519"/>
        <w:spacing w:after="0" w:line="307"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b w:val="1"/>
          <w:bCs w:val="1"/>
          <w:color w:val="auto"/>
        </w:rPr>
        <w:t>Exercise Price and Other Terms</w:t>
      </w:r>
      <w:r>
        <w:rPr>
          <w:rFonts w:ascii="Arial" w:cs="Arial" w:eastAsia="Arial" w:hAnsi="Arial"/>
          <w:sz w:val="13"/>
          <w:szCs w:val="13"/>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76"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Stock Appreciation Right Agreement</w:t>
      </w:r>
      <w:r>
        <w:rPr>
          <w:rFonts w:ascii="Arial" w:cs="Arial" w:eastAsia="Arial" w:hAnsi="Arial"/>
          <w:sz w:val="14"/>
          <w:szCs w:val="14"/>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1168" w:right="319" w:bottom="1440" w:gutter="0" w:footer="0" w:header="0"/>
        </w:sectPr>
      </w:pPr>
    </w:p>
    <w:bookmarkStart w:id="74" w:name="page75"/>
    <w:bookmarkEnd w:id="74"/>
    <w:p>
      <w:pPr>
        <w:jc w:val="both"/>
        <w:ind w:firstLine="519"/>
        <w:spacing w:after="0" w:line="277"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b w:val="1"/>
          <w:bCs w:val="1"/>
          <w:color w:val="auto"/>
        </w:rPr>
        <w:t>Expiration of Stock Appreciation Rights</w:t>
      </w:r>
      <w:r>
        <w:rPr>
          <w:rFonts w:ascii="Arial" w:cs="Arial" w:eastAsia="Arial" w:hAnsi="Arial"/>
          <w:sz w:val="14"/>
          <w:szCs w:val="14"/>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9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b w:val="1"/>
          <w:bCs w:val="1"/>
          <w:color w:val="auto"/>
        </w:rPr>
        <w:t>Payment of Stock Appreciation Right Amount</w:t>
      </w:r>
      <w:r>
        <w:rPr>
          <w:rFonts w:ascii="Arial" w:cs="Arial" w:eastAsia="Arial" w:hAnsi="Arial"/>
          <w:sz w:val="14"/>
          <w:szCs w:val="14"/>
          <w:color w:val="auto"/>
        </w:rPr>
        <w:t>. Upon exercise of a Stock Appreciation Right, a Participant will be entitled to receive payment from the Company in an amount determined by multiplying:</w:t>
      </w:r>
    </w:p>
    <w:p>
      <w:pPr>
        <w:spacing w:after="0" w:line="83" w:lineRule="exact"/>
        <w:rPr>
          <w:sz w:val="20"/>
          <w:szCs w:val="20"/>
          <w:color w:val="auto"/>
        </w:rPr>
      </w:pPr>
    </w:p>
    <w:p>
      <w:pPr>
        <w:ind w:left="1560" w:hanging="515"/>
        <w:spacing w:after="0"/>
        <w:tabs>
          <w:tab w:leader="none" w:pos="1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difference between the Fair Market Value of a Share on the date of exercise over the exercise price; times</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number of Shares with respect to which the Stock Appreciation Right is exercised.</w:t>
      </w:r>
    </w:p>
    <w:p>
      <w:pPr>
        <w:spacing w:after="0" w:line="14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At the discretion of the Administrator, the payment upon Stock Appreciation Right exercise may be in cash, in Shares of equivalent value, or in some combination thereof.</w:t>
      </w:r>
    </w:p>
    <w:p>
      <w:pPr>
        <w:spacing w:after="0" w:line="149" w:lineRule="exact"/>
        <w:rPr>
          <w:sz w:val="20"/>
          <w:szCs w:val="20"/>
          <w:color w:val="auto"/>
        </w:rPr>
      </w:pPr>
    </w:p>
    <w:p>
      <w:pPr>
        <w:ind w:left="520" w:hanging="254"/>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Restricted Stock</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Grant of Restricted Stock</w:t>
      </w:r>
      <w:r>
        <w:rPr>
          <w:rFonts w:ascii="Arial" w:cs="Arial" w:eastAsia="Arial" w:hAnsi="Arial"/>
          <w:sz w:val="14"/>
          <w:szCs w:val="14"/>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79"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Restricted Stock Agreement</w:t>
      </w:r>
      <w:r>
        <w:rPr>
          <w:rFonts w:ascii="Arial" w:cs="Arial" w:eastAsia="Arial" w:hAnsi="Arial"/>
          <w:sz w:val="14"/>
          <w:szCs w:val="14"/>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98"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color w:val="auto"/>
        </w:rPr>
        <w:t>Transferability</w:t>
      </w:r>
      <w:r>
        <w:rPr>
          <w:rFonts w:ascii="Arial" w:cs="Arial" w:eastAsia="Arial" w:hAnsi="Arial"/>
          <w:sz w:val="14"/>
          <w:szCs w:val="14"/>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3"/>
          <w:szCs w:val="13"/>
          <w:b w:val="1"/>
          <w:bCs w:val="1"/>
          <w:color w:val="auto"/>
        </w:rPr>
        <w:t>Other Restrictions</w:t>
      </w:r>
      <w:r>
        <w:rPr>
          <w:rFonts w:ascii="Arial" w:cs="Arial" w:eastAsia="Arial" w:hAnsi="Arial"/>
          <w:sz w:val="13"/>
          <w:szCs w:val="13"/>
          <w:color w:val="auto"/>
        </w:rPr>
        <w:t>. The Administrator, in its sole discretion, may impose such other restrictions on Shares of Restricted Stock as it may deem advisable or appropriate.</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Removal of Restrictions</w:t>
      </w:r>
      <w:r>
        <w:rPr>
          <w:rFonts w:ascii="Arial" w:cs="Arial" w:eastAsia="Arial" w:hAnsi="Arial"/>
          <w:sz w:val="14"/>
          <w:szCs w:val="14"/>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9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Voting Rights</w:t>
      </w:r>
      <w:r>
        <w:rPr>
          <w:rFonts w:ascii="Arial" w:cs="Arial" w:eastAsia="Arial" w:hAnsi="Arial"/>
          <w:sz w:val="14"/>
          <w:szCs w:val="14"/>
          <w:color w:val="auto"/>
        </w:rPr>
        <w:t>. During the Period of Restriction, Service Providers holding Shares of Restricted Stock granted hereunder may exercise full voting rights with respect to those Shares, unless the Administrator determines otherwise.</w:t>
      </w:r>
    </w:p>
    <w:p>
      <w:pPr>
        <w:spacing w:after="0" w:line="7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Dividends and Other Distributions</w:t>
      </w:r>
      <w:r>
        <w:rPr>
          <w:rFonts w:ascii="Arial" w:cs="Arial" w:eastAsia="Arial" w:hAnsi="Arial"/>
          <w:sz w:val="14"/>
          <w:szCs w:val="14"/>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92" w:lineRule="exact"/>
        <w:rPr>
          <w:sz w:val="20"/>
          <w:szCs w:val="20"/>
          <w:color w:val="auto"/>
        </w:rPr>
      </w:pPr>
    </w:p>
    <w:p>
      <w:pPr>
        <w:ind w:right="80" w:firstLine="519"/>
        <w:spacing w:after="0" w:line="296"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color w:val="auto"/>
        </w:rPr>
        <w:t>Return of Restricted Stock to Company</w:t>
      </w:r>
      <w:r>
        <w:rPr>
          <w:rFonts w:ascii="Arial" w:cs="Arial" w:eastAsia="Arial" w:hAnsi="Arial"/>
          <w:sz w:val="14"/>
          <w:szCs w:val="14"/>
          <w:color w:val="auto"/>
        </w:rPr>
        <w:t>. On the date set forth in the Award Agreement, the Restricted Stock for which restrictions have not lapsed will revert to the Company and again will become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164" w:right="319" w:bottom="1440" w:gutter="0" w:footer="0" w:header="0"/>
        </w:sectPr>
      </w:pPr>
    </w:p>
    <w:bookmarkStart w:id="75" w:name="page76"/>
    <w:bookmarkEnd w:id="75"/>
    <w:p>
      <w:pPr>
        <w:ind w:left="520" w:hanging="254"/>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Restricted Stock Units</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337"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b w:val="1"/>
          <w:bCs w:val="1"/>
          <w:color w:val="auto"/>
        </w:rPr>
        <w:t>Grant</w:t>
      </w:r>
      <w:r>
        <w:rPr>
          <w:rFonts w:ascii="Arial" w:cs="Arial" w:eastAsia="Arial" w:hAnsi="Arial"/>
          <w:sz w:val="13"/>
          <w:szCs w:val="13"/>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56" w:lineRule="exact"/>
        <w:rPr>
          <w:sz w:val="20"/>
          <w:szCs w:val="20"/>
          <w:color w:val="auto"/>
        </w:rPr>
      </w:pPr>
    </w:p>
    <w:p>
      <w:pPr>
        <w:jc w:val="both"/>
        <w:ind w:firstLine="519"/>
        <w:spacing w:after="0" w:line="307"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b w:val="1"/>
          <w:bCs w:val="1"/>
          <w:color w:val="auto"/>
        </w:rPr>
        <w:t>Vesting Criteria and Other Terms</w:t>
      </w:r>
      <w:r>
        <w:rPr>
          <w:rFonts w:ascii="Arial" w:cs="Arial" w:eastAsia="Arial" w:hAnsi="Arial"/>
          <w:sz w:val="13"/>
          <w:szCs w:val="13"/>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76"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Earning Restricted Stock Units</w:t>
      </w:r>
      <w:r>
        <w:rPr>
          <w:rFonts w:ascii="Arial" w:cs="Arial" w:eastAsia="Arial" w:hAnsi="Arial"/>
          <w:sz w:val="14"/>
          <w:szCs w:val="14"/>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3"/>
          <w:szCs w:val="13"/>
          <w:b w:val="1"/>
          <w:bCs w:val="1"/>
          <w:color w:val="auto"/>
        </w:rPr>
        <w:t>Form and Timing of Payment</w:t>
      </w:r>
      <w:r>
        <w:rPr>
          <w:rFonts w:ascii="Arial" w:cs="Arial" w:eastAsia="Arial" w:hAnsi="Arial"/>
          <w:sz w:val="13"/>
          <w:szCs w:val="13"/>
          <w:color w:val="auto"/>
        </w:rPr>
        <w:t>. Payment of earned Restricted Stock Units will be made at the time(s) determined by the Administrator and set forth in the Award Agreement.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The Administrator, in its sole discretion, may settle earned Restricted Stock Units in cash, Shares, or a combination of both.</w:t>
      </w:r>
    </w:p>
    <w:p>
      <w:pPr>
        <w:spacing w:after="0" w:line="12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3"/>
          <w:szCs w:val="13"/>
          <w:b w:val="1"/>
          <w:bCs w:val="1"/>
          <w:color w:val="auto"/>
        </w:rPr>
        <w:t>Cancellation</w:t>
      </w:r>
      <w:r>
        <w:rPr>
          <w:rFonts w:ascii="Arial" w:cs="Arial" w:eastAsia="Arial" w:hAnsi="Arial"/>
          <w:sz w:val="13"/>
          <w:szCs w:val="13"/>
          <w:color w:val="auto"/>
        </w:rPr>
        <w:t>. On the date set forth in the Award Agreement, all unearned Restricted Stock Units will be forfeited to the Company.</w:t>
      </w:r>
    </w:p>
    <w:p>
      <w:pPr>
        <w:spacing w:after="0" w:line="142" w:lineRule="exact"/>
        <w:rPr>
          <w:sz w:val="20"/>
          <w:szCs w:val="20"/>
          <w:color w:val="auto"/>
        </w:rPr>
      </w:pPr>
    </w:p>
    <w:p>
      <w:pPr>
        <w:ind w:left="520" w:hanging="254"/>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Performance Awards</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color w:val="auto"/>
        </w:rPr>
        <w:t>Award Agreement</w:t>
      </w:r>
      <w:r>
        <w:rPr>
          <w:rFonts w:ascii="Arial" w:cs="Arial" w:eastAsia="Arial" w:hAnsi="Arial"/>
          <w:sz w:val="14"/>
          <w:szCs w:val="14"/>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92"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b w:val="1"/>
          <w:bCs w:val="1"/>
          <w:color w:val="auto"/>
        </w:rPr>
        <w:t>Objectives or Vesting Provisions and Other Terms</w:t>
      </w:r>
      <w:r>
        <w:rPr>
          <w:rFonts w:ascii="Arial" w:cs="Arial" w:eastAsia="Arial" w:hAnsi="Arial"/>
          <w:sz w:val="14"/>
          <w:szCs w:val="14"/>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98" w:lineRule="exact"/>
        <w:rPr>
          <w:sz w:val="20"/>
          <w:szCs w:val="20"/>
          <w:color w:val="auto"/>
        </w:rPr>
      </w:pPr>
    </w:p>
    <w:p>
      <w:pPr>
        <w:ind w:right="100" w:firstLine="454"/>
        <w:spacing w:after="0" w:line="277"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Earning Performance Awards</w:t>
      </w:r>
      <w:r>
        <w:rPr>
          <w:rFonts w:ascii="Arial" w:cs="Arial" w:eastAsia="Arial" w:hAnsi="Arial"/>
          <w:sz w:val="14"/>
          <w:szCs w:val="14"/>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92" w:lineRule="exact"/>
        <w:rPr>
          <w:sz w:val="20"/>
          <w:szCs w:val="20"/>
          <w:color w:val="auto"/>
        </w:rPr>
      </w:pPr>
    </w:p>
    <w:p>
      <w:pPr>
        <w:ind w:firstLine="454"/>
        <w:spacing w:after="0" w:line="296"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b w:val="1"/>
          <w:bCs w:val="1"/>
          <w:color w:val="auto"/>
        </w:rPr>
        <w:t>Form and Timing of Payment</w:t>
      </w:r>
      <w:r>
        <w:rPr>
          <w:rFonts w:ascii="Arial" w:cs="Arial" w:eastAsia="Arial" w:hAnsi="Arial"/>
          <w:sz w:val="14"/>
          <w:szCs w:val="14"/>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79" w:lineRule="exact"/>
        <w:rPr>
          <w:sz w:val="20"/>
          <w:szCs w:val="20"/>
          <w:color w:val="auto"/>
        </w:rPr>
      </w:pPr>
    </w:p>
    <w:p>
      <w:pPr>
        <w:ind w:firstLine="454"/>
        <w:spacing w:after="0" w:line="296"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b w:val="1"/>
          <w:bCs w:val="1"/>
          <w:color w:val="auto"/>
        </w:rPr>
        <w:t>Cancellation of Performance Awards</w:t>
      </w:r>
      <w:r>
        <w:rPr>
          <w:rFonts w:ascii="Arial" w:cs="Arial" w:eastAsia="Arial" w:hAnsi="Arial"/>
          <w:sz w:val="14"/>
          <w:szCs w:val="14"/>
          <w:color w:val="auto"/>
        </w:rPr>
        <w:t>. On the date set forth in the Award Agreement, all unearned or unvested Performance Awards will be forfeited to the Company, and again will be available for grant under the Plan.</w:t>
      </w:r>
    </w:p>
    <w:p>
      <w:pPr>
        <w:spacing w:after="0" w:line="79" w:lineRule="exact"/>
        <w:rPr>
          <w:sz w:val="20"/>
          <w:szCs w:val="20"/>
          <w:color w:val="auto"/>
        </w:rPr>
      </w:pPr>
    </w:p>
    <w:p>
      <w:pPr>
        <w:ind w:right="40" w:firstLine="266"/>
        <w:spacing w:after="0" w:line="277" w:lineRule="auto"/>
        <w:tabs>
          <w:tab w:leader="none" w:pos="510"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Outside Director Award Limitations</w:t>
      </w:r>
      <w:r>
        <w:rPr>
          <w:rFonts w:ascii="Arial" w:cs="Arial" w:eastAsia="Arial" w:hAnsi="Arial"/>
          <w:sz w:val="14"/>
          <w:szCs w:val="14"/>
          <w:color w:val="auto"/>
        </w:rPr>
        <w:t>. No Outside Director may be granted, in any Fiscal Year, equity awards (including any Awards granted under this Plan), the value of which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based on their grant date fair value determined in accordance with U.S. generally accepted accounting principles, and be provided any other compensation (including without limitation any cash retainers or fees) in amounts that, in the aggregate,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1163"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color w:val="auto"/>
        </w:rPr>
        <w:t>$750,000, provided that such amount is increased to $1,000,000 in the Fiscal Year of his or her initial service as an Outside Director. Any Awards or other compensation provided to an individual</w:t>
      </w:r>
    </w:p>
    <w:p>
      <w:pPr>
        <w:spacing w:after="0" w:line="33" w:lineRule="exact"/>
        <w:rPr>
          <w:sz w:val="20"/>
          <w:szCs w:val="20"/>
          <w:color w:val="auto"/>
        </w:rPr>
      </w:pPr>
    </w:p>
    <w:p>
      <w:pPr>
        <w:ind w:right="20" w:firstLine="7"/>
        <w:spacing w:after="0" w:line="276" w:lineRule="auto"/>
        <w:tabs>
          <w:tab w:leader="none" w:pos="196"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his or her services as an Employee, or for his or her services as a Consultant other than as an Outside Director, or (b) prior to the closing of the Merger, will be excluded for purposes of this Section 11.</w:t>
      </w:r>
    </w:p>
    <w:p>
      <w:pPr>
        <w:spacing w:after="0" w:line="92" w:lineRule="exact"/>
        <w:rPr>
          <w:rFonts w:ascii="Arial" w:cs="Arial" w:eastAsia="Arial" w:hAnsi="Arial"/>
          <w:sz w:val="14"/>
          <w:szCs w:val="14"/>
          <w:color w:val="auto"/>
        </w:rPr>
      </w:pPr>
    </w:p>
    <w:p>
      <w:pPr>
        <w:ind w:firstLine="266"/>
        <w:spacing w:after="0" w:line="286" w:lineRule="auto"/>
        <w:tabs>
          <w:tab w:leader="none" w:pos="516" w:val="left"/>
        </w:tabs>
        <w:numPr>
          <w:ilvl w:val="1"/>
          <w:numId w:val="57"/>
        </w:numPr>
        <w:rPr>
          <w:rFonts w:ascii="Arial" w:cs="Arial" w:eastAsia="Arial" w:hAnsi="Arial"/>
          <w:sz w:val="13"/>
          <w:szCs w:val="13"/>
          <w:color w:val="auto"/>
        </w:rPr>
      </w:pPr>
      <w:r>
        <w:rPr>
          <w:rFonts w:ascii="Arial" w:cs="Arial" w:eastAsia="Arial" w:hAnsi="Arial"/>
          <w:sz w:val="13"/>
          <w:szCs w:val="13"/>
          <w:b w:val="1"/>
          <w:bCs w:val="1"/>
          <w:color w:val="auto"/>
        </w:rPr>
        <w:t>Compliance With Section 409A</w:t>
      </w:r>
      <w:r>
        <w:rPr>
          <w:rFonts w:ascii="Arial" w:cs="Arial" w:eastAsia="Arial" w:hAnsi="Arial"/>
          <w:sz w:val="13"/>
          <w:szCs w:val="13"/>
          <w:color w:val="auto"/>
        </w:rPr>
        <w:t>. Awards will be designed and operated in such a manner that they are either exempt from the application of, or comply with, the requirements of</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89" w:lineRule="exact"/>
        <w:rPr>
          <w:rFonts w:ascii="Arial" w:cs="Arial" w:eastAsia="Arial" w:hAnsi="Arial"/>
          <w:sz w:val="13"/>
          <w:szCs w:val="13"/>
          <w:color w:val="auto"/>
        </w:rPr>
      </w:pPr>
    </w:p>
    <w:p>
      <w:pPr>
        <w:ind w:right="120" w:firstLine="266"/>
        <w:spacing w:after="0" w:line="283" w:lineRule="auto"/>
        <w:tabs>
          <w:tab w:leader="none" w:pos="516" w:val="left"/>
        </w:tabs>
        <w:numPr>
          <w:ilvl w:val="1"/>
          <w:numId w:val="57"/>
        </w:numPr>
        <w:rPr>
          <w:rFonts w:ascii="Arial" w:cs="Arial" w:eastAsia="Arial" w:hAnsi="Arial"/>
          <w:sz w:val="13"/>
          <w:szCs w:val="13"/>
          <w:color w:val="auto"/>
        </w:rPr>
      </w:pPr>
      <w:r>
        <w:rPr>
          <w:rFonts w:ascii="Arial" w:cs="Arial" w:eastAsia="Arial" w:hAnsi="Arial"/>
          <w:sz w:val="13"/>
          <w:szCs w:val="13"/>
          <w:b w:val="1"/>
          <w:bCs w:val="1"/>
          <w:color w:val="auto"/>
        </w:rPr>
        <w:t>Leaves of Absence/Transfer Between Locations</w:t>
      </w:r>
      <w:r>
        <w:rPr>
          <w:rFonts w:ascii="Arial" w:cs="Arial" w:eastAsia="Arial" w:hAnsi="Arial"/>
          <w:sz w:val="13"/>
          <w:szCs w:val="13"/>
          <w:color w:val="auto"/>
        </w:rPr>
        <w:t>. Unless the Administrator provides otherwise or as otherwise required by Applicable Laws, vesting of Awards granted hereunder will</w:t>
      </w:r>
      <w:r>
        <w:rPr>
          <w:rFonts w:ascii="Arial" w:cs="Arial" w:eastAsia="Arial" w:hAnsi="Arial"/>
          <w:sz w:val="13"/>
          <w:szCs w:val="13"/>
          <w:b w:val="1"/>
          <w:bCs w:val="1"/>
          <w:color w:val="auto"/>
        </w:rPr>
        <w:t xml:space="preserve"> </w:t>
      </w:r>
      <w:r>
        <w:rPr>
          <w:rFonts w:ascii="Arial" w:cs="Arial" w:eastAsia="Arial" w:hAnsi="Arial"/>
          <w:sz w:val="13"/>
          <w:szCs w:val="13"/>
          <w:color w:val="auto"/>
        </w:rPr>
        <w:t>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w:t>
      </w:r>
    </w:p>
    <w:p>
      <w:pPr>
        <w:ind w:right="100"/>
        <w:spacing w:after="0" w:line="276" w:lineRule="auto"/>
        <w:rPr>
          <w:rFonts w:ascii="Arial" w:cs="Arial" w:eastAsia="Arial" w:hAnsi="Arial"/>
          <w:sz w:val="13"/>
          <w:szCs w:val="13"/>
          <w:color w:val="auto"/>
        </w:rPr>
      </w:pPr>
      <w:r>
        <w:rPr>
          <w:rFonts w:ascii="Arial" w:cs="Arial" w:eastAsia="Arial" w:hAnsi="Arial"/>
          <w:sz w:val="14"/>
          <w:szCs w:val="14"/>
          <w:color w:val="auto"/>
        </w:rPr>
        <w:t>(6) months following the first (1st) day of such leave, any Incentive Stock Option held by the Participant will cease to be treated as an Incentive Stock Option and will be treated for tax purposes as a Nonstatutory Stock Option.</w:t>
      </w:r>
    </w:p>
    <w:p>
      <w:pPr>
        <w:spacing w:after="0" w:line="92" w:lineRule="exact"/>
        <w:rPr>
          <w:rFonts w:ascii="Arial" w:cs="Arial" w:eastAsia="Arial" w:hAnsi="Arial"/>
          <w:sz w:val="13"/>
          <w:szCs w:val="13"/>
          <w:color w:val="auto"/>
        </w:rPr>
      </w:pPr>
    </w:p>
    <w:p>
      <w:pPr>
        <w:ind w:right="100" w:firstLine="266"/>
        <w:spacing w:after="0" w:line="270" w:lineRule="auto"/>
        <w:tabs>
          <w:tab w:leader="none" w:pos="516" w:val="left"/>
        </w:tabs>
        <w:numPr>
          <w:ilvl w:val="1"/>
          <w:numId w:val="57"/>
        </w:numPr>
        <w:rPr>
          <w:rFonts w:ascii="Arial" w:cs="Arial" w:eastAsia="Arial" w:hAnsi="Arial"/>
          <w:sz w:val="14"/>
          <w:szCs w:val="14"/>
          <w:color w:val="auto"/>
        </w:rPr>
      </w:pPr>
      <w:r>
        <w:rPr>
          <w:rFonts w:ascii="Arial" w:cs="Arial" w:eastAsia="Arial" w:hAnsi="Arial"/>
          <w:sz w:val="14"/>
          <w:szCs w:val="14"/>
          <w:b w:val="1"/>
          <w:bCs w:val="1"/>
          <w:color w:val="auto"/>
        </w:rPr>
        <w:t>Limited Transferability of Awards</w:t>
      </w:r>
      <w:r>
        <w:rPr>
          <w:rFonts w:ascii="Arial" w:cs="Arial" w:eastAsia="Arial" w:hAnsi="Arial"/>
          <w:sz w:val="14"/>
          <w:szCs w:val="14"/>
          <w:color w:val="auto"/>
        </w:rPr>
        <w:t>. Unless determined otherwise by the Administrator, Awards may not be sold, pledged, assigned, hypothecated, transferred, or disposed of in any</w:t>
      </w:r>
      <w:r>
        <w:rPr>
          <w:rFonts w:ascii="Arial" w:cs="Arial" w:eastAsia="Arial" w:hAnsi="Arial"/>
          <w:sz w:val="14"/>
          <w:szCs w:val="14"/>
          <w:b w:val="1"/>
          <w:bCs w:val="1"/>
          <w:color w:val="auto"/>
        </w:rPr>
        <w:t xml:space="preserve"> </w:t>
      </w:r>
      <w:r>
        <w:rPr>
          <w:rFonts w:ascii="Arial" w:cs="Arial" w:eastAsia="Arial" w:hAnsi="Arial"/>
          <w:sz w:val="14"/>
          <w:szCs w:val="14"/>
          <w:color w:val="auto"/>
        </w:rPr>
        <w:t>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97" w:lineRule="exact"/>
        <w:rPr>
          <w:rFonts w:ascii="Arial" w:cs="Arial" w:eastAsia="Arial" w:hAnsi="Arial"/>
          <w:sz w:val="14"/>
          <w:szCs w:val="14"/>
          <w:color w:val="auto"/>
        </w:rPr>
      </w:pPr>
    </w:p>
    <w:p>
      <w:pPr>
        <w:ind w:left="520" w:hanging="254"/>
        <w:spacing w:after="0"/>
        <w:tabs>
          <w:tab w:leader="none" w:pos="520" w:val="left"/>
        </w:tabs>
        <w:numPr>
          <w:ilvl w:val="1"/>
          <w:numId w:val="57"/>
        </w:numPr>
        <w:rPr>
          <w:rFonts w:ascii="Arial" w:cs="Arial" w:eastAsia="Arial" w:hAnsi="Arial"/>
          <w:sz w:val="14"/>
          <w:szCs w:val="14"/>
          <w:color w:val="auto"/>
        </w:rPr>
      </w:pPr>
      <w:r>
        <w:rPr>
          <w:rFonts w:ascii="Arial" w:cs="Arial" w:eastAsia="Arial" w:hAnsi="Arial"/>
          <w:sz w:val="14"/>
          <w:szCs w:val="14"/>
          <w:b w:val="1"/>
          <w:bCs w:val="1"/>
          <w:color w:val="auto"/>
        </w:rPr>
        <w:t>Adjustments; Dissolution or Liquidation; Merger or Change in Control</w:t>
      </w:r>
      <w:r>
        <w:rPr>
          <w:rFonts w:ascii="Arial" w:cs="Arial" w:eastAsia="Arial" w:hAnsi="Arial"/>
          <w:sz w:val="14"/>
          <w:szCs w:val="14"/>
          <w:color w:val="auto"/>
        </w:rPr>
        <w:t>.</w:t>
      </w:r>
    </w:p>
    <w:p>
      <w:pPr>
        <w:spacing w:after="0" w:line="142"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Adjustments</w:t>
      </w:r>
      <w:r>
        <w:rPr>
          <w:rFonts w:ascii="Arial" w:cs="Arial" w:eastAsia="Arial" w:hAnsi="Arial"/>
          <w:sz w:val="14"/>
          <w:szCs w:val="14"/>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00" w:lineRule="exact"/>
        <w:rPr>
          <w:sz w:val="20"/>
          <w:szCs w:val="20"/>
          <w:color w:val="auto"/>
        </w:rPr>
      </w:pPr>
    </w:p>
    <w:p>
      <w:pPr>
        <w:jc w:val="both"/>
        <w:ind w:firstLine="454"/>
        <w:spacing w:after="0" w:line="337"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b w:val="1"/>
          <w:bCs w:val="1"/>
          <w:color w:val="auto"/>
        </w:rPr>
        <w:t>Dissolution or Liquidation</w:t>
      </w:r>
      <w:r>
        <w:rPr>
          <w:rFonts w:ascii="Arial" w:cs="Arial" w:eastAsia="Arial" w:hAnsi="Arial"/>
          <w:sz w:val="13"/>
          <w:szCs w:val="13"/>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56" w:lineRule="exact"/>
        <w:rPr>
          <w:sz w:val="20"/>
          <w:szCs w:val="20"/>
          <w:color w:val="auto"/>
        </w:rPr>
      </w:pPr>
    </w:p>
    <w:p>
      <w:pPr>
        <w:jc w:val="both"/>
        <w:ind w:firstLine="454"/>
        <w:spacing w:after="0" w:line="296"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b w:val="1"/>
          <w:bCs w:val="1"/>
          <w:color w:val="auto"/>
        </w:rPr>
        <w:t>Merger or Change in Control</w:t>
      </w:r>
      <w:r>
        <w:rPr>
          <w:rFonts w:ascii="Arial" w:cs="Arial" w:eastAsia="Arial" w:hAnsi="Arial"/>
          <w:sz w:val="14"/>
          <w:szCs w:val="14"/>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1167" w:right="319" w:bottom="1440" w:gutter="0" w:footer="0" w:header="0"/>
        </w:sectPr>
      </w:pPr>
    </w:p>
    <w:bookmarkStart w:id="77" w:name="page78"/>
    <w:bookmarkEnd w:id="77"/>
    <w:p>
      <w:pPr>
        <w:jc w:val="both"/>
        <w:spacing w:after="0" w:line="261" w:lineRule="auto"/>
        <w:rPr>
          <w:sz w:val="20"/>
          <w:szCs w:val="20"/>
          <w:color w:val="auto"/>
        </w:rPr>
      </w:pPr>
      <w:r>
        <w:rPr>
          <w:rFonts w:ascii="Arial" w:cs="Arial" w:eastAsia="Arial" w:hAnsi="Arial"/>
          <w:sz w:val="14"/>
          <w:szCs w:val="14"/>
          <w:color w:val="auto"/>
        </w:rPr>
        <w:t>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10" w:lineRule="exact"/>
        <w:rPr>
          <w:sz w:val="20"/>
          <w:szCs w:val="20"/>
          <w:color w:val="auto"/>
        </w:rPr>
      </w:pPr>
    </w:p>
    <w:p>
      <w:pPr>
        <w:jc w:val="both"/>
        <w:ind w:firstLine="1039"/>
        <w:spacing w:after="0" w:line="261" w:lineRule="auto"/>
        <w:rPr>
          <w:sz w:val="20"/>
          <w:szCs w:val="20"/>
          <w:color w:val="auto"/>
        </w:rPr>
      </w:pPr>
      <w:r>
        <w:rPr>
          <w:rFonts w:ascii="Arial" w:cs="Arial" w:eastAsia="Arial" w:hAnsi="Arial"/>
          <w:sz w:val="14"/>
          <w:szCs w:val="14"/>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10" w:lineRule="exact"/>
        <w:rPr>
          <w:sz w:val="20"/>
          <w:szCs w:val="20"/>
          <w:color w:val="auto"/>
        </w:rPr>
      </w:pPr>
    </w:p>
    <w:p>
      <w:pPr>
        <w:jc w:val="both"/>
        <w:ind w:firstLine="1039"/>
        <w:spacing w:after="0" w:line="286" w:lineRule="auto"/>
        <w:rPr>
          <w:sz w:val="20"/>
          <w:szCs w:val="20"/>
          <w:color w:val="auto"/>
        </w:rPr>
      </w:pPr>
      <w:r>
        <w:rPr>
          <w:rFonts w:ascii="Arial" w:cs="Arial" w:eastAsia="Arial" w:hAnsi="Arial"/>
          <w:sz w:val="13"/>
          <w:szCs w:val="13"/>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95" w:lineRule="exact"/>
        <w:rPr>
          <w:sz w:val="20"/>
          <w:szCs w:val="20"/>
          <w:color w:val="auto"/>
        </w:rPr>
      </w:pPr>
    </w:p>
    <w:p>
      <w:pPr>
        <w:jc w:val="both"/>
        <w:ind w:firstLine="1039"/>
        <w:spacing w:after="0" w:line="266" w:lineRule="auto"/>
        <w:rPr>
          <w:sz w:val="20"/>
          <w:szCs w:val="20"/>
          <w:color w:val="auto"/>
        </w:rPr>
      </w:pPr>
      <w:r>
        <w:rPr>
          <w:rFonts w:ascii="Arial" w:cs="Arial" w:eastAsia="Arial" w:hAnsi="Arial"/>
          <w:sz w:val="14"/>
          <w:szCs w:val="14"/>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1167" w:right="319" w:bottom="1440" w:gutter="0" w:footer="0" w:header="0"/>
        </w:sectPr>
      </w:pPr>
    </w:p>
    <w:bookmarkStart w:id="78" w:name="page79"/>
    <w:bookmarkEnd w:id="78"/>
    <w:p>
      <w:pPr>
        <w:ind w:right="140" w:firstLine="1039"/>
        <w:spacing w:after="0" w:line="295" w:lineRule="auto"/>
        <w:rPr>
          <w:sz w:val="20"/>
          <w:szCs w:val="20"/>
          <w:color w:val="auto"/>
        </w:rPr>
      </w:pPr>
      <w:r>
        <w:rPr>
          <w:rFonts w:ascii="Arial" w:cs="Arial" w:eastAsia="Arial" w:hAnsi="Arial"/>
          <w:sz w:val="13"/>
          <w:szCs w:val="13"/>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83"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4"/>
          <w:szCs w:val="14"/>
          <w:color w:val="auto"/>
        </w:rPr>
        <w:t xml:space="preserve">15.4 </w:t>
      </w:r>
      <w:r>
        <w:rPr>
          <w:rFonts w:ascii="Arial" w:cs="Arial" w:eastAsia="Arial" w:hAnsi="Arial"/>
          <w:sz w:val="14"/>
          <w:szCs w:val="14"/>
          <w:b w:val="1"/>
          <w:bCs w:val="1"/>
          <w:color w:val="auto"/>
        </w:rPr>
        <w:t>Outside Director Awards</w:t>
      </w:r>
      <w:r>
        <w:rPr>
          <w:rFonts w:ascii="Arial" w:cs="Arial" w:eastAsia="Arial" w:hAnsi="Arial"/>
          <w:sz w:val="14"/>
          <w:szCs w:val="14"/>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02" w:lineRule="exact"/>
        <w:rPr>
          <w:sz w:val="20"/>
          <w:szCs w:val="20"/>
          <w:color w:val="auto"/>
        </w:rPr>
      </w:pPr>
    </w:p>
    <w:p>
      <w:pPr>
        <w:ind w:left="520" w:hanging="254"/>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b w:val="1"/>
          <w:bCs w:val="1"/>
          <w:color w:val="auto"/>
        </w:rPr>
        <w:t>Tax Withholding</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177" w:lineRule="exact"/>
        <w:rPr>
          <w:sz w:val="20"/>
          <w:szCs w:val="20"/>
          <w:color w:val="auto"/>
        </w:rPr>
      </w:pPr>
      <w:r>
        <w:rPr>
          <w:rFonts w:ascii="Arial" w:cs="Arial" w:eastAsia="Arial" w:hAnsi="Arial"/>
          <w:sz w:val="13"/>
          <w:szCs w:val="13"/>
          <w:color w:val="auto"/>
        </w:rPr>
        <w:t xml:space="preserve">16.1 </w:t>
      </w:r>
      <w:r>
        <w:rPr>
          <w:rFonts w:ascii="Arial" w:cs="Arial" w:eastAsia="Arial" w:hAnsi="Arial"/>
          <w:sz w:val="13"/>
          <w:szCs w:val="13"/>
          <w:b w:val="1"/>
          <w:bCs w:val="1"/>
          <w:color w:val="auto"/>
        </w:rPr>
        <w:t>Withholding Requirements</w:t>
      </w:r>
      <w:r>
        <w:rPr>
          <w:rFonts w:ascii="Arial" w:cs="Arial" w:eastAsia="Arial" w:hAnsi="Arial"/>
          <w:sz w:val="13"/>
          <w:szCs w:val="13"/>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13"/>
          <w:szCs w:val="13"/>
          <w:color w:val="auto"/>
        </w:rPr>
        <w:t>‑</w:t>
      </w:r>
      <w:r>
        <w:rPr>
          <w:rFonts w:ascii="Arial" w:cs="Arial" w:eastAsia="Arial" w:hAnsi="Arial"/>
          <w:sz w:val="13"/>
          <w:szCs w:val="13"/>
          <w:color w:val="auto"/>
        </w:rPr>
        <w:t>U.S., and other taxes (including the Participant’s FICA or other social insurance contribution obligation) required to be withheld or paid with respect to such Award (or exercise thereof).</w:t>
      </w:r>
    </w:p>
    <w:p>
      <w:pPr>
        <w:spacing w:after="0" w:line="117" w:lineRule="exact"/>
        <w:rPr>
          <w:sz w:val="20"/>
          <w:szCs w:val="20"/>
          <w:color w:val="auto"/>
        </w:rPr>
      </w:pPr>
    </w:p>
    <w:p>
      <w:pPr>
        <w:jc w:val="both"/>
        <w:ind w:firstLine="519"/>
        <w:spacing w:after="0" w:line="261" w:lineRule="auto"/>
        <w:rPr>
          <w:sz w:val="20"/>
          <w:szCs w:val="20"/>
          <w:color w:val="auto"/>
        </w:rPr>
      </w:pPr>
      <w:r>
        <w:rPr>
          <w:rFonts w:ascii="Arial" w:cs="Arial" w:eastAsia="Arial" w:hAnsi="Arial"/>
          <w:sz w:val="14"/>
          <w:szCs w:val="14"/>
          <w:color w:val="auto"/>
        </w:rPr>
        <w:t xml:space="preserve">16.2 </w:t>
      </w:r>
      <w:r>
        <w:rPr>
          <w:rFonts w:ascii="Arial" w:cs="Arial" w:eastAsia="Arial" w:hAnsi="Arial"/>
          <w:sz w:val="14"/>
          <w:szCs w:val="14"/>
          <w:b w:val="1"/>
          <w:bCs w:val="1"/>
          <w:color w:val="auto"/>
        </w:rPr>
        <w:t>Withholding Arrangements</w:t>
      </w:r>
      <w:r>
        <w:rPr>
          <w:rFonts w:ascii="Arial" w:cs="Arial" w:eastAsia="Arial" w:hAnsi="Arial"/>
          <w:sz w:val="14"/>
          <w:szCs w:val="14"/>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04" w:lineRule="exact"/>
        <w:rPr>
          <w:sz w:val="20"/>
          <w:szCs w:val="20"/>
          <w:color w:val="auto"/>
        </w:rPr>
      </w:pPr>
    </w:p>
    <w:p>
      <w:pPr>
        <w:ind w:right="360" w:firstLine="266"/>
        <w:spacing w:after="0" w:line="296" w:lineRule="auto"/>
        <w:tabs>
          <w:tab w:leader="none" w:pos="516" w:val="left"/>
        </w:tabs>
        <w:numPr>
          <w:ilvl w:val="0"/>
          <w:numId w:val="59"/>
        </w:numPr>
        <w:rPr>
          <w:rFonts w:ascii="Arial" w:cs="Arial" w:eastAsia="Arial" w:hAnsi="Arial"/>
          <w:sz w:val="14"/>
          <w:szCs w:val="14"/>
          <w:color w:val="auto"/>
        </w:rPr>
      </w:pPr>
      <w:r>
        <w:rPr>
          <w:rFonts w:ascii="Arial" w:cs="Arial" w:eastAsia="Arial" w:hAnsi="Arial"/>
          <w:sz w:val="14"/>
          <w:szCs w:val="14"/>
          <w:b w:val="1"/>
          <w:bCs w:val="1"/>
          <w:color w:val="auto"/>
        </w:rPr>
        <w:t>No Effect on Employment or Service</w:t>
      </w:r>
      <w:r>
        <w:rPr>
          <w:rFonts w:ascii="Arial" w:cs="Arial" w:eastAsia="Arial" w:hAnsi="Arial"/>
          <w:sz w:val="14"/>
          <w:szCs w:val="14"/>
          <w:color w:val="auto"/>
        </w:rPr>
        <w:t>. Neither the Plan nor any Award will confer upon a Participant any right with respect to continuing the Participant’s relationship as a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Provider with the Company or its Subsidiaries or Parents, as applicable, nor will they interfere in any way with the Participant’s right or the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1167"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the Company and its Subsidiaries or Parents, as applicable, to terminate such relationship at any time, free from any liability or claim under the Plan.</w:t>
      </w:r>
    </w:p>
    <w:p>
      <w:pPr>
        <w:spacing w:after="0" w:line="138" w:lineRule="exact"/>
        <w:rPr>
          <w:sz w:val="20"/>
          <w:szCs w:val="20"/>
          <w:color w:val="auto"/>
        </w:rPr>
      </w:pPr>
    </w:p>
    <w:p>
      <w:pPr>
        <w:ind w:right="180" w:firstLine="266"/>
        <w:spacing w:after="0" w:line="296" w:lineRule="auto"/>
        <w:tabs>
          <w:tab w:leader="none" w:pos="516" w:val="left"/>
        </w:tabs>
        <w:numPr>
          <w:ilvl w:val="1"/>
          <w:numId w:val="60"/>
        </w:numPr>
        <w:rPr>
          <w:rFonts w:ascii="Arial" w:cs="Arial" w:eastAsia="Arial" w:hAnsi="Arial"/>
          <w:sz w:val="14"/>
          <w:szCs w:val="14"/>
          <w:color w:val="auto"/>
        </w:rPr>
      </w:pPr>
      <w:r>
        <w:rPr>
          <w:rFonts w:ascii="Arial" w:cs="Arial" w:eastAsia="Arial" w:hAnsi="Arial"/>
          <w:sz w:val="14"/>
          <w:szCs w:val="14"/>
          <w:b w:val="1"/>
          <w:bCs w:val="1"/>
          <w:color w:val="auto"/>
        </w:rPr>
        <w:t>Date of Grant</w:t>
      </w:r>
      <w:r>
        <w:rPr>
          <w:rFonts w:ascii="Arial" w:cs="Arial" w:eastAsia="Arial" w:hAnsi="Arial"/>
          <w:sz w:val="14"/>
          <w:szCs w:val="14"/>
          <w:color w:val="auto"/>
        </w:rPr>
        <w:t>. The date of grant of an Award will be, for all purposes, the date on which the Administrator makes the determination granting such Award, or such other later date as is</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determined by the Administrator. Notice of the determination will be provided to each Participant within a reasonable time after the date of such grant.</w:t>
      </w:r>
    </w:p>
    <w:p>
      <w:pPr>
        <w:spacing w:after="0" w:line="78" w:lineRule="exact"/>
        <w:rPr>
          <w:rFonts w:ascii="Arial" w:cs="Arial" w:eastAsia="Arial" w:hAnsi="Arial"/>
          <w:sz w:val="14"/>
          <w:szCs w:val="14"/>
          <w:color w:val="auto"/>
        </w:rPr>
      </w:pPr>
    </w:p>
    <w:p>
      <w:pPr>
        <w:ind w:left="520" w:hanging="254"/>
        <w:spacing w:after="0"/>
        <w:tabs>
          <w:tab w:leader="none" w:pos="520" w:val="left"/>
        </w:tabs>
        <w:numPr>
          <w:ilvl w:val="1"/>
          <w:numId w:val="60"/>
        </w:numPr>
        <w:rPr>
          <w:rFonts w:ascii="Arial" w:cs="Arial" w:eastAsia="Arial" w:hAnsi="Arial"/>
          <w:sz w:val="13"/>
          <w:szCs w:val="13"/>
          <w:color w:val="auto"/>
        </w:rPr>
      </w:pPr>
      <w:r>
        <w:rPr>
          <w:rFonts w:ascii="Arial" w:cs="Arial" w:eastAsia="Arial" w:hAnsi="Arial"/>
          <w:sz w:val="13"/>
          <w:szCs w:val="13"/>
          <w:b w:val="1"/>
          <w:bCs w:val="1"/>
          <w:color w:val="auto"/>
        </w:rPr>
        <w:t>Term of Plan</w:t>
      </w:r>
      <w:r>
        <w:rPr>
          <w:rFonts w:ascii="Arial" w:cs="Arial" w:eastAsia="Arial" w:hAnsi="Arial"/>
          <w:sz w:val="13"/>
          <w:szCs w:val="13"/>
          <w:color w:val="auto"/>
        </w:rPr>
        <w:t>. Subject to Section 23 of the Plan, the Plan will become effective upon the later to occur of (a) its adoption by the Board, (b) approval by the Company’s stockholders, or</w:t>
      </w:r>
    </w:p>
    <w:p>
      <w:pPr>
        <w:spacing w:after="0" w:line="37" w:lineRule="exact"/>
        <w:rPr>
          <w:rFonts w:ascii="Arial" w:cs="Arial" w:eastAsia="Arial" w:hAnsi="Arial"/>
          <w:sz w:val="13"/>
          <w:szCs w:val="13"/>
          <w:color w:val="auto"/>
        </w:rPr>
      </w:pPr>
    </w:p>
    <w:p>
      <w:pPr>
        <w:ind w:right="320" w:firstLine="7"/>
        <w:spacing w:after="0" w:line="267" w:lineRule="auto"/>
        <w:tabs>
          <w:tab w:leader="none" w:pos="196"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spacing w:after="0" w:line="98" w:lineRule="exact"/>
        <w:rPr>
          <w:rFonts w:ascii="Arial" w:cs="Arial" w:eastAsia="Arial" w:hAnsi="Arial"/>
          <w:sz w:val="14"/>
          <w:szCs w:val="14"/>
          <w:color w:val="auto"/>
        </w:rPr>
      </w:pPr>
    </w:p>
    <w:p>
      <w:pPr>
        <w:ind w:left="520" w:hanging="254"/>
        <w:spacing w:after="0"/>
        <w:tabs>
          <w:tab w:leader="none" w:pos="520" w:val="left"/>
        </w:tabs>
        <w:numPr>
          <w:ilvl w:val="1"/>
          <w:numId w:val="61"/>
        </w:numPr>
        <w:rPr>
          <w:rFonts w:ascii="Arial" w:cs="Arial" w:eastAsia="Arial" w:hAnsi="Arial"/>
          <w:sz w:val="14"/>
          <w:szCs w:val="14"/>
          <w:color w:val="auto"/>
        </w:rPr>
      </w:pPr>
      <w:r>
        <w:rPr>
          <w:rFonts w:ascii="Arial" w:cs="Arial" w:eastAsia="Arial" w:hAnsi="Arial"/>
          <w:sz w:val="14"/>
          <w:szCs w:val="14"/>
          <w:b w:val="1"/>
          <w:bCs w:val="1"/>
          <w:color w:val="auto"/>
        </w:rPr>
        <w:t>Amendment and Termination of the Plan</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20.1</w:t>
      </w:r>
      <w:r>
        <w:rPr>
          <w:rFonts w:ascii="Arial" w:cs="Arial" w:eastAsia="Arial" w:hAnsi="Arial"/>
          <w:sz w:val="13"/>
          <w:szCs w:val="13"/>
          <w:b w:val="1"/>
          <w:bCs w:val="1"/>
          <w:color w:val="auto"/>
        </w:rPr>
        <w:t>Amendment and Termination</w:t>
      </w:r>
      <w:r>
        <w:rPr>
          <w:rFonts w:ascii="Arial" w:cs="Arial" w:eastAsia="Arial" w:hAnsi="Arial"/>
          <w:sz w:val="13"/>
          <w:szCs w:val="13"/>
          <w:color w:val="auto"/>
        </w:rPr>
        <w:t>. The Administrator, in its sole discretion, may amend, alter, suspend or terminate the Plan, or any part thereof, at any time and for any reason.</w:t>
      </w:r>
    </w:p>
    <w:p>
      <w:pPr>
        <w:spacing w:after="0" w:line="14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20.2</w:t>
      </w:r>
      <w:r>
        <w:rPr>
          <w:rFonts w:ascii="Arial" w:cs="Arial" w:eastAsia="Arial" w:hAnsi="Arial"/>
          <w:sz w:val="13"/>
          <w:szCs w:val="13"/>
          <w:b w:val="1"/>
          <w:bCs w:val="1"/>
          <w:color w:val="auto"/>
        </w:rPr>
        <w:t>Stockholder Approval</w:t>
      </w:r>
      <w:r>
        <w:rPr>
          <w:rFonts w:ascii="Arial" w:cs="Arial" w:eastAsia="Arial" w:hAnsi="Arial"/>
          <w:sz w:val="13"/>
          <w:szCs w:val="13"/>
          <w:color w:val="auto"/>
        </w:rPr>
        <w:t>. The Company will obtain stockholder approval of any Plan amendment to the extent necessary and desirable to comply with Applicable Laws.</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20.3 </w:t>
      </w:r>
      <w:r>
        <w:rPr>
          <w:rFonts w:ascii="Arial" w:cs="Arial" w:eastAsia="Arial" w:hAnsi="Arial"/>
          <w:sz w:val="14"/>
          <w:szCs w:val="14"/>
          <w:b w:val="1"/>
          <w:bCs w:val="1"/>
          <w:color w:val="auto"/>
        </w:rPr>
        <w:t>Effect of Amendment or Termination</w:t>
      </w:r>
      <w:r>
        <w:rPr>
          <w:rFonts w:ascii="Arial" w:cs="Arial" w:eastAsia="Arial" w:hAnsi="Arial"/>
          <w:sz w:val="14"/>
          <w:szCs w:val="14"/>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92" w:lineRule="exact"/>
        <w:rPr>
          <w:sz w:val="20"/>
          <w:szCs w:val="20"/>
          <w:color w:val="auto"/>
        </w:rPr>
      </w:pPr>
    </w:p>
    <w:p>
      <w:pPr>
        <w:ind w:left="520" w:hanging="254"/>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Conditions Upon Issuance of Shares</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b w:val="1"/>
          <w:bCs w:val="1"/>
          <w:color w:val="auto"/>
        </w:rPr>
        <w:t>Legal Compliance</w:t>
      </w:r>
      <w:r>
        <w:rPr>
          <w:rFonts w:ascii="Arial" w:cs="Arial" w:eastAsia="Arial" w:hAnsi="Arial"/>
          <w:sz w:val="14"/>
          <w:szCs w:val="14"/>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7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b w:val="1"/>
          <w:bCs w:val="1"/>
          <w:color w:val="auto"/>
        </w:rPr>
        <w:t>Investment Representations</w:t>
      </w:r>
      <w:r>
        <w:rPr>
          <w:rFonts w:ascii="Arial" w:cs="Arial" w:eastAsia="Arial" w:hAnsi="Arial"/>
          <w:sz w:val="14"/>
          <w:szCs w:val="14"/>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92" w:lineRule="exact"/>
        <w:rPr>
          <w:sz w:val="20"/>
          <w:szCs w:val="20"/>
          <w:color w:val="auto"/>
        </w:rPr>
      </w:pPr>
    </w:p>
    <w:p>
      <w:pPr>
        <w:ind w:right="140" w:firstLine="266"/>
        <w:spacing w:after="0" w:line="176" w:lineRule="exact"/>
        <w:tabs>
          <w:tab w:leader="none" w:pos="516" w:val="left"/>
        </w:tabs>
        <w:numPr>
          <w:ilvl w:val="0"/>
          <w:numId w:val="63"/>
        </w:numPr>
        <w:rPr>
          <w:rFonts w:ascii="Arial" w:cs="Arial" w:eastAsia="Arial" w:hAnsi="Arial"/>
          <w:sz w:val="13"/>
          <w:szCs w:val="13"/>
          <w:color w:val="auto"/>
        </w:rPr>
      </w:pPr>
      <w:r>
        <w:rPr>
          <w:rFonts w:ascii="Arial" w:cs="Arial" w:eastAsia="Arial" w:hAnsi="Arial"/>
          <w:sz w:val="13"/>
          <w:szCs w:val="13"/>
          <w:b w:val="1"/>
          <w:bCs w:val="1"/>
          <w:color w:val="auto"/>
        </w:rPr>
        <w:t>Inability to Obtain Authority</w:t>
      </w:r>
      <w:r>
        <w:rPr>
          <w:rFonts w:ascii="Arial" w:cs="Arial" w:eastAsia="Arial" w:hAnsi="Arial"/>
          <w:sz w:val="13"/>
          <w:szCs w:val="13"/>
          <w:color w:val="auto"/>
        </w:rPr>
        <w:t>. If the Company determines it to be impossible or impractical to obtain authority from any regulatory body having jurisdiction or to complete or comply</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requirements of any registration or other qualification of the Shares under any U.S. state or federal law or non</w:t>
      </w:r>
      <w:r>
        <w:rPr>
          <w:rFonts w:ascii="MS PGothic" w:cs="MS PGothic" w:eastAsia="MS PGothic" w:hAnsi="MS PGothic"/>
          <w:sz w:val="13"/>
          <w:szCs w:val="13"/>
          <w:color w:val="auto"/>
        </w:rPr>
        <w:t>‑</w:t>
      </w:r>
      <w:r>
        <w:rPr>
          <w:rFonts w:ascii="Arial" w:cs="Arial" w:eastAsia="Arial" w:hAnsi="Arial"/>
          <w:sz w:val="13"/>
          <w:szCs w:val="13"/>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17" w:lineRule="exact"/>
        <w:rPr>
          <w:rFonts w:ascii="Arial" w:cs="Arial" w:eastAsia="Arial" w:hAnsi="Arial"/>
          <w:sz w:val="13"/>
          <w:szCs w:val="13"/>
          <w:color w:val="auto"/>
        </w:rPr>
      </w:pPr>
    </w:p>
    <w:p>
      <w:pPr>
        <w:ind w:right="500" w:firstLine="266"/>
        <w:spacing w:after="0" w:line="296" w:lineRule="auto"/>
        <w:tabs>
          <w:tab w:leader="none" w:pos="516"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Stockholder Approval</w:t>
      </w:r>
      <w:r>
        <w:rPr>
          <w:rFonts w:ascii="Arial" w:cs="Arial" w:eastAsia="Arial" w:hAnsi="Arial"/>
          <w:sz w:val="14"/>
          <w:szCs w:val="14"/>
          <w:color w:val="auto"/>
        </w:rPr>
        <w:t>. The Plan will be subject to approval by the stockholders of the Company within twelve (12) months after the date the Plan is adopted by the Board. Such</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 approval will be obtained in the manner and to the degree required under Applicable Laws.</w:t>
      </w:r>
    </w:p>
    <w:p>
      <w:pPr>
        <w:spacing w:after="0" w:line="78" w:lineRule="exact"/>
        <w:rPr>
          <w:rFonts w:ascii="Arial" w:cs="Arial" w:eastAsia="Arial" w:hAnsi="Arial"/>
          <w:sz w:val="14"/>
          <w:szCs w:val="14"/>
          <w:color w:val="auto"/>
        </w:rPr>
      </w:pPr>
    </w:p>
    <w:p>
      <w:pPr>
        <w:jc w:val="both"/>
        <w:ind w:right="60" w:firstLine="266"/>
        <w:spacing w:after="0" w:line="277" w:lineRule="auto"/>
        <w:tabs>
          <w:tab w:leader="none" w:pos="516"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Forfeiture Events</w:t>
      </w:r>
      <w:r>
        <w:rPr>
          <w:rFonts w:ascii="Arial" w:cs="Arial" w:eastAsia="Arial" w:hAnsi="Arial"/>
          <w:sz w:val="14"/>
          <w:szCs w:val="14"/>
          <w:color w:val="auto"/>
        </w:rPr>
        <w:t>. The Administrator may specify in an Award Agreement that the Participant’s rights, payments, and benefits with respect to an Award will be subject to the reduction,</w:t>
      </w:r>
      <w:r>
        <w:rPr>
          <w:rFonts w:ascii="Arial" w:cs="Arial" w:eastAsia="Arial" w:hAnsi="Arial"/>
          <w:sz w:val="14"/>
          <w:szCs w:val="14"/>
          <w:b w:val="1"/>
          <w:bCs w:val="1"/>
          <w:color w:val="auto"/>
        </w:rPr>
        <w:t xml:space="preserve"> </w:t>
      </w:r>
      <w:r>
        <w:rPr>
          <w:rFonts w:ascii="Arial" w:cs="Arial" w:eastAsia="Arial" w:hAnsi="Arial"/>
          <w:sz w:val="14"/>
          <w:szCs w:val="14"/>
          <w:color w:val="auto"/>
        </w:rPr>
        <w:t>cancellation, forfeiture, recoupment, reimbursement, or reacquisition upon the occurrence of certain specified events, in addition to any otherwise applicable vesting or performance conditions of an Award. Such events may include,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1167" w:right="319" w:bottom="1440" w:gutter="0" w:footer="0" w:header="0"/>
        </w:sectPr>
      </w:pPr>
    </w:p>
    <w:bookmarkStart w:id="80" w:name="page81"/>
    <w:bookmarkEnd w:id="80"/>
    <w:p>
      <w:pPr>
        <w:spacing w:after="0" w:line="285" w:lineRule="auto"/>
        <w:rPr>
          <w:sz w:val="20"/>
          <w:szCs w:val="20"/>
          <w:color w:val="auto"/>
        </w:rPr>
      </w:pPr>
      <w:r>
        <w:rPr>
          <w:rFonts w:ascii="Arial" w:cs="Arial" w:eastAsia="Arial" w:hAnsi="Arial"/>
          <w:sz w:val="13"/>
          <w:szCs w:val="13"/>
          <w:color w:val="auto"/>
        </w:rPr>
        <w:t>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Arial" w:cs="Arial" w:eastAsia="Arial" w:hAnsi="Arial"/>
          <w:sz w:val="13"/>
          <w:szCs w:val="13"/>
          <w:b w:val="1"/>
          <w:bCs w:val="1"/>
          <w:color w:val="auto"/>
        </w:rPr>
        <w:t>Clawback Policy</w:t>
      </w:r>
      <w:r>
        <w:rPr>
          <w:rFonts w:ascii="Arial" w:cs="Arial" w:eastAsia="Arial" w:hAnsi="Arial"/>
          <w:sz w:val="13"/>
          <w:szCs w:val="13"/>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w:t>
      </w:r>
    </w:p>
    <w:p>
      <w:pPr>
        <w:spacing w:after="0" w:line="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will constitute an event that triggers or contributes to any right of a Participant to resign for “good reason” or “constructive termination” (or similar term) under any agreement with the Company or any Parent or Subsidiary of the Company.</w:t>
      </w:r>
    </w:p>
    <w:p>
      <w:pPr>
        <w:spacing w:after="0" w:line="87" w:lineRule="exact"/>
        <w:rPr>
          <w:sz w:val="20"/>
          <w:szCs w:val="20"/>
          <w:color w:val="auto"/>
        </w:rPr>
      </w:pPr>
    </w:p>
    <w:p>
      <w:pPr>
        <w:ind w:left="5220"/>
        <w:spacing w:after="0"/>
        <w:tabs>
          <w:tab w:leader="none" w:pos="5580" w:val="left"/>
          <w:tab w:leader="none" w:pos="59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00"/>
          </w:cols>
          <w:pgMar w:left="300" w:top="1167" w:right="399" w:bottom="1440" w:gutter="0" w:footer="0" w:header="0"/>
        </w:sectPr>
      </w:pPr>
    </w:p>
    <w:bookmarkStart w:id="81" w:name="page82"/>
    <w:bookmarkEnd w:id="81"/>
    <w:p>
      <w:pPr>
        <w:ind w:left="10540"/>
        <w:spacing w:after="0"/>
        <w:rPr>
          <w:sz w:val="20"/>
          <w:szCs w:val="20"/>
          <w:color w:val="auto"/>
        </w:rPr>
      </w:pPr>
      <w:r>
        <w:rPr>
          <w:rFonts w:ascii="Arial" w:cs="Arial" w:eastAsia="Arial" w:hAnsi="Arial"/>
          <w:sz w:val="13"/>
          <w:szCs w:val="13"/>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NAUTILUS BIOTECHNOLOGY,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 EMPLOYEE STOCK PURCHASE PLAN</w:t>
      </w:r>
    </w:p>
    <w:p>
      <w:pPr>
        <w:spacing w:after="0" w:line="146" w:lineRule="exact"/>
        <w:rPr>
          <w:sz w:val="20"/>
          <w:szCs w:val="20"/>
          <w:color w:val="auto"/>
        </w:rPr>
      </w:pPr>
    </w:p>
    <w:p>
      <w:pPr>
        <w:jc w:val="both"/>
        <w:ind w:firstLine="266"/>
        <w:spacing w:after="0" w:line="174" w:lineRule="exact"/>
        <w:tabs>
          <w:tab w:leader="none" w:pos="519" w:val="left"/>
        </w:tabs>
        <w:numPr>
          <w:ilvl w:val="0"/>
          <w:numId w:val="64"/>
        </w:numPr>
        <w:rPr>
          <w:rFonts w:ascii="Arial" w:cs="Arial" w:eastAsia="Arial" w:hAnsi="Arial"/>
          <w:sz w:val="13"/>
          <w:szCs w:val="13"/>
          <w:b w:val="1"/>
          <w:bCs w:val="1"/>
          <w:color w:val="auto"/>
        </w:rPr>
      </w:pPr>
      <w:r>
        <w:rPr>
          <w:rFonts w:ascii="Arial" w:cs="Arial" w:eastAsia="Arial" w:hAnsi="Arial"/>
          <w:sz w:val="13"/>
          <w:szCs w:val="13"/>
          <w:u w:val="single" w:color="auto"/>
          <w:color w:val="auto"/>
        </w:rPr>
        <w:t>Purpose</w:t>
      </w:r>
      <w:r>
        <w:rPr>
          <w:rFonts w:ascii="Arial" w:cs="Arial" w:eastAsia="Arial" w:hAnsi="Arial"/>
          <w:sz w:val="13"/>
          <w:szCs w:val="13"/>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3"/>
          <w:szCs w:val="13"/>
          <w:b w:val="1"/>
          <w:bCs w:val="1"/>
          <w:color w:val="auto"/>
        </w:rPr>
        <w:t>423</w:t>
      </w:r>
      <w:r>
        <w:rPr>
          <w:rFonts w:ascii="Arial" w:cs="Arial" w:eastAsia="Arial" w:hAnsi="Arial"/>
          <w:sz w:val="13"/>
          <w:szCs w:val="13"/>
          <w:color w:val="auto"/>
        </w:rPr>
        <w:t xml:space="preserve"> </w:t>
      </w:r>
      <w:r>
        <w:rPr>
          <w:rFonts w:ascii="Arial" w:cs="Arial" w:eastAsia="Arial" w:hAnsi="Arial"/>
          <w:sz w:val="13"/>
          <w:szCs w:val="13"/>
          <w:b w:val="1"/>
          <w:bCs w:val="1"/>
          <w:color w:val="auto"/>
        </w:rPr>
        <w:t>Component</w:t>
      </w:r>
      <w:r>
        <w:rPr>
          <w:rFonts w:ascii="Arial" w:cs="Arial" w:eastAsia="Arial" w:hAnsi="Arial"/>
          <w:sz w:val="13"/>
          <w:szCs w:val="13"/>
          <w:color w:val="auto"/>
        </w:rPr>
        <w:t>”) and a component that is not intended to qualify as an “employee stock purchase plan” under Code Section 423 (the “</w:t>
      </w:r>
      <w:r>
        <w:rPr>
          <w:rFonts w:ascii="Arial" w:cs="Arial" w:eastAsia="Arial" w:hAnsi="Arial"/>
          <w:sz w:val="13"/>
          <w:szCs w:val="13"/>
          <w:b w:val="1"/>
          <w:bCs w:val="1"/>
          <w:color w:val="auto"/>
        </w:rPr>
        <w:t>Non</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423 Component</w:t>
      </w:r>
      <w:r>
        <w:rPr>
          <w:rFonts w:ascii="Arial" w:cs="Arial" w:eastAsia="Arial" w:hAnsi="Arial"/>
          <w:sz w:val="13"/>
          <w:szCs w:val="13"/>
          <w:color w:val="auto"/>
        </w:rPr>
        <w:t>”). The provisions of the 423</w:t>
      </w:r>
      <w:r>
        <w:rPr>
          <w:rFonts w:ascii="Arial" w:cs="Arial" w:eastAsia="Arial" w:hAnsi="Arial"/>
          <w:sz w:val="13"/>
          <w:szCs w:val="13"/>
          <w:b w:val="1"/>
          <w:bCs w:val="1"/>
          <w:color w:val="auto"/>
        </w:rPr>
        <w:t xml:space="preserve"> </w:t>
      </w:r>
      <w:r>
        <w:rPr>
          <w:rFonts w:ascii="Arial" w:cs="Arial" w:eastAsia="Arial" w:hAnsi="Arial"/>
          <w:sz w:val="13"/>
          <w:szCs w:val="13"/>
          <w:color w:val="auto"/>
        </w:rPr>
        <w:t>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13"/>
          <w:szCs w:val="13"/>
          <w:color w:val="auto"/>
        </w:rPr>
        <w:t>‑</w:t>
      </w:r>
      <w:r>
        <w:rPr>
          <w:rFonts w:ascii="Arial" w:cs="Arial" w:eastAsia="Arial" w:hAnsi="Arial"/>
          <w:sz w:val="13"/>
          <w:szCs w:val="13"/>
          <w:color w:val="auto"/>
        </w:rPr>
        <w:t>423 Component that does not qualify as an “employee stock purchase plan” under Code Section 423; an option granted under the Non</w:t>
      </w:r>
      <w:r>
        <w:rPr>
          <w:rFonts w:ascii="MS PGothic" w:cs="MS PGothic" w:eastAsia="MS PGothic" w:hAnsi="MS PGothic"/>
          <w:sz w:val="13"/>
          <w:szCs w:val="13"/>
          <w:color w:val="auto"/>
        </w:rPr>
        <w:t>‑</w:t>
      </w:r>
      <w:r>
        <w:rPr>
          <w:rFonts w:ascii="Arial" w:cs="Arial" w:eastAsia="Arial" w:hAnsi="Arial"/>
          <w:sz w:val="13"/>
          <w:szCs w:val="13"/>
          <w:color w:val="auto"/>
        </w:rPr>
        <w:t>423 Component will provide for substantially the same benefits as an option granted under the 423 Component, except that a Non</w:t>
      </w:r>
      <w:r>
        <w:rPr>
          <w:rFonts w:ascii="MS PGothic" w:cs="MS PGothic" w:eastAsia="MS PGothic" w:hAnsi="MS PGothic"/>
          <w:sz w:val="13"/>
          <w:szCs w:val="13"/>
          <w:color w:val="auto"/>
        </w:rPr>
        <w:t>‑</w:t>
      </w:r>
      <w:r>
        <w:rPr>
          <w:rFonts w:ascii="Arial" w:cs="Arial" w:eastAsia="Arial" w:hAnsi="Arial"/>
          <w:sz w:val="13"/>
          <w:szCs w:val="13"/>
          <w:color w:val="auto"/>
        </w:rPr>
        <w:t>423 Component option may include features necessary to comply with applicable non</w:t>
      </w:r>
      <w:r>
        <w:rPr>
          <w:rFonts w:ascii="MS PGothic" w:cs="MS PGothic" w:eastAsia="MS PGothic" w:hAnsi="MS PGothic"/>
          <w:sz w:val="13"/>
          <w:szCs w:val="13"/>
          <w:color w:val="auto"/>
        </w:rPr>
        <w:t>‑</w:t>
      </w:r>
      <w:r>
        <w:rPr>
          <w:rFonts w:ascii="Arial" w:cs="Arial" w:eastAsia="Arial" w:hAnsi="Arial"/>
          <w:sz w:val="13"/>
          <w:szCs w:val="13"/>
          <w:color w:val="auto"/>
        </w:rPr>
        <w:t>U.S. laws pursuant to rules, procedures or sub</w:t>
      </w:r>
      <w:r>
        <w:rPr>
          <w:rFonts w:ascii="MS PGothic" w:cs="MS PGothic" w:eastAsia="MS PGothic" w:hAnsi="MS PGothic"/>
          <w:sz w:val="13"/>
          <w:szCs w:val="13"/>
          <w:color w:val="auto"/>
        </w:rPr>
        <w:t>‑</w:t>
      </w:r>
      <w:r>
        <w:rPr>
          <w:rFonts w:ascii="Arial" w:cs="Arial" w:eastAsia="Arial" w:hAnsi="Arial"/>
          <w:sz w:val="13"/>
          <w:szCs w:val="13"/>
          <w:color w:val="auto"/>
        </w:rPr>
        <w:t>plans adopted by the Administrator. Except as otherwise provided herein or by the Administrator, the Non</w:t>
      </w:r>
      <w:r>
        <w:rPr>
          <w:rFonts w:ascii="MS PGothic" w:cs="MS PGothic" w:eastAsia="MS PGothic" w:hAnsi="MS PGothic"/>
          <w:sz w:val="13"/>
          <w:szCs w:val="13"/>
          <w:color w:val="auto"/>
        </w:rPr>
        <w:t>‑</w:t>
      </w:r>
      <w:r>
        <w:rPr>
          <w:rFonts w:ascii="Arial" w:cs="Arial" w:eastAsia="Arial" w:hAnsi="Arial"/>
          <w:sz w:val="13"/>
          <w:szCs w:val="13"/>
          <w:color w:val="auto"/>
        </w:rPr>
        <w:t>423 Component will operate and be administered in the same manner as the 423 Component.</w:t>
      </w:r>
    </w:p>
    <w:p>
      <w:pPr>
        <w:spacing w:after="0" w:line="120" w:lineRule="exact"/>
        <w:rPr>
          <w:rFonts w:ascii="Arial" w:cs="Arial" w:eastAsia="Arial" w:hAnsi="Arial"/>
          <w:sz w:val="13"/>
          <w:szCs w:val="13"/>
          <w:b w:val="1"/>
          <w:bCs w:val="1"/>
          <w:color w:val="auto"/>
        </w:rPr>
      </w:pPr>
    </w:p>
    <w:p>
      <w:pPr>
        <w:ind w:left="520" w:hanging="254"/>
        <w:spacing w:after="0"/>
        <w:tabs>
          <w:tab w:leader="none" w:pos="52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w:t>
      </w:r>
      <w:r>
        <w:rPr>
          <w:rFonts w:ascii="Arial" w:cs="Arial" w:eastAsia="Arial" w:hAnsi="Arial"/>
          <w:sz w:val="14"/>
          <w:szCs w:val="14"/>
          <w:color w:val="auto"/>
        </w:rPr>
        <w:t>.</w:t>
      </w:r>
    </w:p>
    <w:p>
      <w:pPr>
        <w:spacing w:after="0" w:line="141"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Arial" w:cs="Arial" w:eastAsia="Arial" w:hAnsi="Arial"/>
          <w:sz w:val="14"/>
          <w:szCs w:val="14"/>
          <w:color w:val="auto"/>
        </w:rPr>
        <w:t>2.1.</w:t>
      </w:r>
      <w:r>
        <w:rPr>
          <w:rFonts w:ascii="Arial" w:cs="Arial" w:eastAsia="Arial" w:hAnsi="Arial"/>
          <w:sz w:val="13"/>
          <w:szCs w:val="13"/>
          <w:color w:val="auto"/>
        </w:rPr>
        <w:t>“</w:t>
      </w:r>
      <w:r>
        <w:rPr>
          <w:rFonts w:ascii="Arial" w:cs="Arial" w:eastAsia="Arial" w:hAnsi="Arial"/>
          <w:sz w:val="13"/>
          <w:szCs w:val="13"/>
          <w:b w:val="1"/>
          <w:bCs w:val="1"/>
          <w:color w:val="auto"/>
        </w:rPr>
        <w:t>Administrator</w:t>
      </w:r>
      <w:r>
        <w:rPr>
          <w:rFonts w:ascii="Arial" w:cs="Arial" w:eastAsia="Arial" w:hAnsi="Arial"/>
          <w:sz w:val="13"/>
          <w:szCs w:val="13"/>
          <w:color w:val="auto"/>
        </w:rPr>
        <w:t>” means the Board or any Committee designated by the Board to administer the Plan pursuant to Section 3.</w:t>
      </w:r>
    </w:p>
    <w:p>
      <w:pPr>
        <w:spacing w:after="0" w:line="142" w:lineRule="exact"/>
        <w:rPr>
          <w:sz w:val="20"/>
          <w:szCs w:val="20"/>
          <w:color w:val="auto"/>
        </w:rPr>
      </w:pPr>
    </w:p>
    <w:p>
      <w:pPr>
        <w:jc w:val="both"/>
        <w:ind w:firstLine="519"/>
        <w:spacing w:after="0" w:line="178" w:lineRule="exact"/>
        <w:rPr>
          <w:sz w:val="20"/>
          <w:szCs w:val="20"/>
          <w:color w:val="auto"/>
        </w:rPr>
      </w:pPr>
      <w:r>
        <w:rPr>
          <w:rFonts w:ascii="Arial" w:cs="Arial" w:eastAsia="Arial" w:hAnsi="Arial"/>
          <w:sz w:val="14"/>
          <w:szCs w:val="14"/>
          <w:color w:val="auto"/>
        </w:rPr>
        <w:t>2.2. “</w:t>
      </w:r>
      <w:r>
        <w:rPr>
          <w:rFonts w:ascii="Arial" w:cs="Arial" w:eastAsia="Arial" w:hAnsi="Arial"/>
          <w:sz w:val="14"/>
          <w:szCs w:val="14"/>
          <w:b w:val="1"/>
          <w:bCs w:val="1"/>
          <w:color w:val="auto"/>
        </w:rPr>
        <w:t>Applicable Laws</w:t>
      </w:r>
      <w:r>
        <w:rPr>
          <w:rFonts w:ascii="Arial" w:cs="Arial" w:eastAsia="Arial" w:hAnsi="Arial"/>
          <w:sz w:val="14"/>
          <w:szCs w:val="14"/>
          <w:color w:val="auto"/>
        </w:rPr>
        <w:t>” means the legal and regulatory requirements relating to the administration of equity</w:t>
      </w:r>
      <w:r>
        <w:rPr>
          <w:rFonts w:ascii="MS PGothic" w:cs="MS PGothic" w:eastAsia="MS PGothic" w:hAnsi="MS PGothic"/>
          <w:sz w:val="14"/>
          <w:szCs w:val="14"/>
          <w:color w:val="auto"/>
        </w:rPr>
        <w:t>‑</w:t>
      </w:r>
      <w:r>
        <w:rPr>
          <w:rFonts w:ascii="Arial" w:cs="Arial" w:eastAsia="Arial" w:hAnsi="Arial"/>
          <w:sz w:val="14"/>
          <w:szCs w:val="14"/>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14"/>
          <w:szCs w:val="14"/>
          <w:color w:val="auto"/>
        </w:rPr>
        <w:t>‑</w:t>
      </w:r>
      <w:r>
        <w:rPr>
          <w:rFonts w:ascii="Arial" w:cs="Arial" w:eastAsia="Arial" w:hAnsi="Arial"/>
          <w:sz w:val="14"/>
          <w:szCs w:val="14"/>
          <w:color w:val="auto"/>
        </w:rPr>
        <w:t>U.S. country or jurisdiction where options are, or will be, granted under the Plan.</w:t>
      </w:r>
    </w:p>
    <w:p>
      <w:pPr>
        <w:spacing w:after="0" w:line="11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Board</w:t>
      </w:r>
      <w:r>
        <w:rPr>
          <w:rFonts w:ascii="Arial" w:cs="Arial" w:eastAsia="Arial" w:hAnsi="Arial"/>
          <w:sz w:val="13"/>
          <w:szCs w:val="13"/>
          <w:color w:val="auto"/>
        </w:rPr>
        <w:t>” means the Board of Directors of the Company.</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means the occurrence of any of the following events:</w:t>
      </w:r>
    </w:p>
    <w:p>
      <w:pPr>
        <w:spacing w:after="0" w:line="142" w:lineRule="exact"/>
        <w:rPr>
          <w:sz w:val="20"/>
          <w:szCs w:val="20"/>
          <w:color w:val="auto"/>
        </w:rPr>
      </w:pPr>
    </w:p>
    <w:p>
      <w:pPr>
        <w:jc w:val="both"/>
        <w:ind w:firstLine="1045"/>
        <w:spacing w:after="0" w:line="262" w:lineRule="auto"/>
        <w:tabs>
          <w:tab w:leader="none" w:pos="1556"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Change in Ownership of the Company</w:t>
      </w:r>
      <w:r>
        <w:rPr>
          <w:rFonts w:ascii="Arial" w:cs="Arial" w:eastAsia="Arial" w:hAnsi="Arial"/>
          <w:sz w:val="14"/>
          <w:szCs w:val="14"/>
          <w:color w:val="auto"/>
        </w:rPr>
        <w:t>. A change in the ownership of the Company which occurs on the date that any one person, or more than one person acting as a</w:t>
      </w:r>
      <w:r>
        <w:rPr>
          <w:rFonts w:ascii="Arial" w:cs="Arial" w:eastAsia="Arial" w:hAnsi="Arial"/>
          <w:sz w:val="14"/>
          <w:szCs w:val="14"/>
          <w:b w:val="1"/>
          <w:bCs w:val="1"/>
          <w:color w:val="auto"/>
        </w:rPr>
        <w:t xml:space="preserve"> </w:t>
      </w:r>
      <w:r>
        <w:rPr>
          <w:rFonts w:ascii="Arial" w:cs="Arial" w:eastAsia="Arial" w:hAnsi="Arial"/>
          <w:sz w:val="14"/>
          <w:szCs w:val="14"/>
          <w:color w:val="auto"/>
        </w:rPr>
        <w:t>group (“Person”),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03" w:lineRule="exact"/>
        <w:rPr>
          <w:rFonts w:ascii="Arial" w:cs="Arial" w:eastAsia="Arial" w:hAnsi="Arial"/>
          <w:sz w:val="14"/>
          <w:szCs w:val="14"/>
          <w:color w:val="auto"/>
        </w:rPr>
      </w:pPr>
    </w:p>
    <w:p>
      <w:pPr>
        <w:jc w:val="both"/>
        <w:ind w:firstLine="1045"/>
        <w:spacing w:after="0" w:line="307" w:lineRule="auto"/>
        <w:tabs>
          <w:tab w:leader="none" w:pos="1553"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Change in Effective Control of the Company</w:t>
      </w:r>
      <w:r>
        <w:rPr>
          <w:rFonts w:ascii="Arial" w:cs="Arial" w:eastAsia="Arial" w:hAnsi="Arial"/>
          <w:sz w:val="13"/>
          <w:szCs w:val="13"/>
          <w:color w:val="auto"/>
        </w:rPr>
        <w:t>. If the Company has a class of securities registered pursuant to Section 12 of the Exchange Act, a change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3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auto"/>
        </w:rPr>
        <w:t>control of the Company, the acquisition of additional control of the Company by the same Person will not be considered a Change in Control; or</w:t>
      </w:r>
    </w:p>
    <w:p>
      <w:pPr>
        <w:spacing w:after="0" w:line="138" w:lineRule="exact"/>
        <w:rPr>
          <w:sz w:val="20"/>
          <w:szCs w:val="20"/>
          <w:color w:val="auto"/>
        </w:rPr>
      </w:pPr>
    </w:p>
    <w:p>
      <w:pPr>
        <w:jc w:val="both"/>
        <w:ind w:firstLine="1045"/>
        <w:spacing w:after="0" w:line="285" w:lineRule="auto"/>
        <w:tabs>
          <w:tab w:leader="none" w:pos="1556"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Change in Ownership of a Substantial Portion of the Company’s Assets</w:t>
      </w:r>
      <w:r>
        <w:rPr>
          <w:rFonts w:ascii="Arial" w:cs="Arial" w:eastAsia="Arial" w:hAnsi="Arial"/>
          <w:sz w:val="13"/>
          <w:szCs w:val="13"/>
          <w:color w:val="auto"/>
        </w:rPr>
        <w:t>. A change in the ownership of a substantial portion of the Company’s assets which occurs</w:t>
      </w:r>
      <w:r>
        <w:rPr>
          <w:rFonts w:ascii="Arial" w:cs="Arial" w:eastAsia="Arial" w:hAnsi="Arial"/>
          <w:sz w:val="13"/>
          <w:szCs w:val="13"/>
          <w:b w:val="1"/>
          <w:bCs w:val="1"/>
          <w:color w:val="auto"/>
        </w:rPr>
        <w:t xml:space="preserve"> </w:t>
      </w:r>
      <w:r>
        <w:rPr>
          <w:rFonts w:ascii="Arial" w:cs="Arial" w:eastAsia="Arial" w:hAnsi="Arial"/>
          <w:sz w:val="13"/>
          <w:szCs w:val="13"/>
          <w:color w:val="auto"/>
        </w:rPr>
        <w:t>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94"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Notwithstanding the foregoing, a transaction will not be deemed a Change in Control unless the transaction qualifies as a change in control event within the meaning of Section 409A.</w:t>
      </w:r>
    </w:p>
    <w:p>
      <w:pPr>
        <w:spacing w:after="0" w:line="153" w:lineRule="exact"/>
        <w:rPr>
          <w:sz w:val="20"/>
          <w:szCs w:val="20"/>
          <w:color w:val="auto"/>
        </w:rPr>
      </w:pPr>
    </w:p>
    <w:p>
      <w:pPr>
        <w:jc w:val="both"/>
        <w:ind w:firstLine="519"/>
        <w:spacing w:after="0" w:line="330" w:lineRule="auto"/>
        <w:rPr>
          <w:sz w:val="20"/>
          <w:szCs w:val="20"/>
          <w:color w:val="auto"/>
        </w:rPr>
      </w:pPr>
      <w:r>
        <w:rPr>
          <w:rFonts w:ascii="Arial" w:cs="Arial" w:eastAsia="Arial" w:hAnsi="Arial"/>
          <w:sz w:val="13"/>
          <w:szCs w:val="13"/>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61"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2.5. “</w:t>
      </w:r>
      <w:r>
        <w:rPr>
          <w:rFonts w:ascii="Arial" w:cs="Arial" w:eastAsia="Arial" w:hAnsi="Arial"/>
          <w:sz w:val="14"/>
          <w:szCs w:val="14"/>
          <w:b w:val="1"/>
          <w:bCs w:val="1"/>
          <w:color w:val="auto"/>
        </w:rPr>
        <w:t>Code</w:t>
      </w:r>
      <w:r>
        <w:rPr>
          <w:rFonts w:ascii="Arial" w:cs="Arial" w:eastAsia="Arial" w:hAnsi="Arial"/>
          <w:sz w:val="14"/>
          <w:szCs w:val="14"/>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Committee</w:t>
      </w:r>
      <w:r>
        <w:rPr>
          <w:rFonts w:ascii="Arial" w:cs="Arial" w:eastAsia="Arial" w:hAnsi="Arial"/>
          <w:sz w:val="13"/>
          <w:szCs w:val="13"/>
          <w:color w:val="auto"/>
        </w:rPr>
        <w:t>” means a committee of the Board appointed in accordance with Section 3 hereof.</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Common Stock</w:t>
      </w:r>
      <w:r>
        <w:rPr>
          <w:rFonts w:ascii="Arial" w:cs="Arial" w:eastAsia="Arial" w:hAnsi="Arial"/>
          <w:sz w:val="13"/>
          <w:szCs w:val="13"/>
          <w:color w:val="auto"/>
        </w:rPr>
        <w:t>” means the common stock of the Company.</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2.8. “</w:t>
      </w:r>
      <w:r>
        <w:rPr>
          <w:rFonts w:ascii="Arial" w:cs="Arial" w:eastAsia="Arial" w:hAnsi="Arial"/>
          <w:sz w:val="14"/>
          <w:szCs w:val="14"/>
          <w:b w:val="1"/>
          <w:bCs w:val="1"/>
          <w:color w:val="auto"/>
        </w:rPr>
        <w:t>Company</w:t>
      </w:r>
      <w:r>
        <w:rPr>
          <w:rFonts w:ascii="Arial" w:cs="Arial" w:eastAsia="Arial" w:hAnsi="Arial"/>
          <w:sz w:val="14"/>
          <w:szCs w:val="14"/>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7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2.9. “</w:t>
      </w:r>
      <w:r>
        <w:rPr>
          <w:rFonts w:ascii="Arial" w:cs="Arial" w:eastAsia="Arial" w:hAnsi="Arial"/>
          <w:sz w:val="14"/>
          <w:szCs w:val="14"/>
          <w:b w:val="1"/>
          <w:bCs w:val="1"/>
          <w:color w:val="auto"/>
        </w:rPr>
        <w:t>Compensation</w:t>
      </w:r>
      <w:r>
        <w:rPr>
          <w:rFonts w:ascii="Arial" w:cs="Arial" w:eastAsia="Arial" w:hAnsi="Arial"/>
          <w:sz w:val="14"/>
          <w:szCs w:val="14"/>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9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2.10. “</w:t>
      </w:r>
      <w:r>
        <w:rPr>
          <w:rFonts w:ascii="Arial" w:cs="Arial" w:eastAsia="Arial" w:hAnsi="Arial"/>
          <w:sz w:val="14"/>
          <w:szCs w:val="14"/>
          <w:b w:val="1"/>
          <w:bCs w:val="1"/>
          <w:color w:val="auto"/>
        </w:rPr>
        <w:t>Contributions</w:t>
      </w:r>
      <w:r>
        <w:rPr>
          <w:rFonts w:ascii="Arial" w:cs="Arial" w:eastAsia="Arial" w:hAnsi="Arial"/>
          <w:sz w:val="14"/>
          <w:szCs w:val="14"/>
          <w:color w:val="auto"/>
        </w:rPr>
        <w:t>” means the payroll deductions and other additional payments that the Company may permit to be made by a Participant to fund the exercise of options granted pursuant to the Plan.</w:t>
      </w:r>
    </w:p>
    <w:p>
      <w:pPr>
        <w:spacing w:after="0" w:line="79"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2.11. “</w:t>
      </w:r>
      <w:r>
        <w:rPr>
          <w:rFonts w:ascii="Arial" w:cs="Arial" w:eastAsia="Arial" w:hAnsi="Arial"/>
          <w:sz w:val="14"/>
          <w:szCs w:val="14"/>
          <w:b w:val="1"/>
          <w:bCs w:val="1"/>
          <w:color w:val="auto"/>
        </w:rPr>
        <w:t>Designated Company</w:t>
      </w:r>
      <w:r>
        <w:rPr>
          <w:rFonts w:ascii="Arial" w:cs="Arial" w:eastAsia="Arial" w:hAnsi="Arial"/>
          <w:sz w:val="14"/>
          <w:szCs w:val="14"/>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67" w:right="319" w:bottom="1440" w:gutter="0" w:footer="0" w:header="0"/>
        </w:sectPr>
      </w:pPr>
    </w:p>
    <w:bookmarkStart w:id="83" w:name="page84"/>
    <w:bookmarkEnd w:id="83"/>
    <w:p>
      <w:pPr>
        <w:spacing w:after="0" w:line="161" w:lineRule="exact"/>
        <w:rPr>
          <w:sz w:val="20"/>
          <w:szCs w:val="20"/>
          <w:color w:val="auto"/>
        </w:rPr>
      </w:pPr>
      <w:r>
        <w:rPr>
          <w:rFonts w:ascii="Arial" w:cs="Arial" w:eastAsia="Arial" w:hAnsi="Arial"/>
          <w:sz w:val="14"/>
          <w:szCs w:val="14"/>
          <w:color w:val="auto"/>
        </w:rPr>
        <w:t>Subsidiary that is a Designated Company under the 423 Component will not be a Designated Company under the Non</w:t>
      </w:r>
      <w:r>
        <w:rPr>
          <w:rFonts w:ascii="MS PGothic" w:cs="MS PGothic" w:eastAsia="MS PGothic" w:hAnsi="MS PGothic"/>
          <w:sz w:val="14"/>
          <w:szCs w:val="14"/>
          <w:color w:val="auto"/>
        </w:rPr>
        <w:t>‑</w:t>
      </w:r>
      <w:r>
        <w:rPr>
          <w:rFonts w:ascii="Arial" w:cs="Arial" w:eastAsia="Arial" w:hAnsi="Arial"/>
          <w:sz w:val="14"/>
          <w:szCs w:val="14"/>
          <w:color w:val="auto"/>
        </w:rPr>
        <w:t>423 Component.</w:t>
      </w:r>
    </w:p>
    <w:p>
      <w:pPr>
        <w:spacing w:after="0" w:line="13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Director</w:t>
      </w:r>
      <w:r>
        <w:rPr>
          <w:rFonts w:ascii="Arial" w:cs="Arial" w:eastAsia="Arial" w:hAnsi="Arial"/>
          <w:sz w:val="13"/>
          <w:szCs w:val="13"/>
          <w:color w:val="auto"/>
        </w:rPr>
        <w:t>” means a member of the Board.</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2.13. “</w:t>
      </w:r>
      <w:r>
        <w:rPr>
          <w:rFonts w:ascii="Arial" w:cs="Arial" w:eastAsia="Arial" w:hAnsi="Arial"/>
          <w:sz w:val="14"/>
          <w:szCs w:val="14"/>
          <w:b w:val="1"/>
          <w:bCs w:val="1"/>
          <w:color w:val="auto"/>
        </w:rPr>
        <w:t>Effective Date</w:t>
      </w:r>
      <w:r>
        <w:rPr>
          <w:rFonts w:ascii="Arial" w:cs="Arial" w:eastAsia="Arial" w:hAnsi="Arial"/>
          <w:sz w:val="14"/>
          <w:szCs w:val="14"/>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w:t>
      </w:r>
      <w:r>
        <w:rPr>
          <w:rFonts w:ascii="Arial" w:cs="Arial" w:eastAsia="Arial" w:hAnsi="Arial"/>
          <w:sz w:val="14"/>
          <w:szCs w:val="14"/>
          <w:b w:val="1"/>
          <w:bCs w:val="1"/>
          <w:color w:val="auto"/>
        </w:rPr>
        <w:t>Merger</w:t>
      </w:r>
      <w:r>
        <w:rPr>
          <w:rFonts w:ascii="Arial" w:cs="Arial" w:eastAsia="Arial" w:hAnsi="Arial"/>
          <w:sz w:val="14"/>
          <w:szCs w:val="14"/>
          <w:color w:val="auto"/>
        </w:rPr>
        <w:t>”).</w:t>
      </w:r>
    </w:p>
    <w:p>
      <w:pPr>
        <w:spacing w:after="0" w:line="92" w:lineRule="exact"/>
        <w:rPr>
          <w:sz w:val="20"/>
          <w:szCs w:val="20"/>
          <w:color w:val="auto"/>
        </w:rPr>
      </w:pPr>
    </w:p>
    <w:p>
      <w:pPr>
        <w:jc w:val="both"/>
        <w:ind w:firstLine="519"/>
        <w:spacing w:after="0" w:line="174" w:lineRule="exact"/>
        <w:rPr>
          <w:sz w:val="20"/>
          <w:szCs w:val="20"/>
          <w:color w:val="auto"/>
        </w:rPr>
      </w:pPr>
      <w:r>
        <w:rPr>
          <w:rFonts w:ascii="Arial" w:cs="Arial" w:eastAsia="Arial" w:hAnsi="Arial"/>
          <w:sz w:val="13"/>
          <w:szCs w:val="13"/>
          <w:color w:val="auto"/>
        </w:rPr>
        <w:t>2.14. “</w:t>
      </w:r>
      <w:r>
        <w:rPr>
          <w:rFonts w:ascii="Arial" w:cs="Arial" w:eastAsia="Arial" w:hAnsi="Arial"/>
          <w:sz w:val="13"/>
          <w:szCs w:val="13"/>
          <w:b w:val="1"/>
          <w:bCs w:val="1"/>
          <w:color w:val="auto"/>
        </w:rPr>
        <w:t>Eligible Employee</w:t>
      </w:r>
      <w:r>
        <w:rPr>
          <w:rFonts w:ascii="Arial" w:cs="Arial" w:eastAsia="Arial" w:hAnsi="Arial"/>
          <w:sz w:val="13"/>
          <w:szCs w:val="13"/>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13"/>
          <w:szCs w:val="13"/>
          <w:color w:val="auto"/>
        </w:rPr>
        <w:t>‑</w:t>
      </w:r>
      <w:r>
        <w:rPr>
          <w:rFonts w:ascii="Arial" w:cs="Arial" w:eastAsia="Arial" w:hAnsi="Arial"/>
          <w:sz w:val="13"/>
          <w:szCs w:val="13"/>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13"/>
          <w:szCs w:val="13"/>
          <w:color w:val="auto"/>
        </w:rPr>
        <w:t>‑</w:t>
      </w:r>
      <w:r>
        <w:rPr>
          <w:rFonts w:ascii="Arial" w:cs="Arial" w:eastAsia="Arial" w:hAnsi="Arial"/>
          <w:sz w:val="13"/>
          <w:szCs w:val="13"/>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13"/>
          <w:szCs w:val="13"/>
          <w:color w:val="auto"/>
        </w:rPr>
        <w:t>‑</w:t>
      </w:r>
      <w:r>
        <w:rPr>
          <w:rFonts w:ascii="Arial" w:cs="Arial" w:eastAsia="Arial" w:hAnsi="Arial"/>
          <w:sz w:val="13"/>
          <w:szCs w:val="13"/>
          <w:color w:val="auto"/>
        </w:rPr>
        <w:t>2(e)(2)(ii). Such exclusions may be applied with respect to an Offering under the Non</w:t>
      </w:r>
      <w:r>
        <w:rPr>
          <w:rFonts w:ascii="MS PGothic" w:cs="MS PGothic" w:eastAsia="MS PGothic" w:hAnsi="MS PGothic"/>
          <w:sz w:val="13"/>
          <w:szCs w:val="13"/>
          <w:color w:val="auto"/>
        </w:rPr>
        <w:t>‑</w:t>
      </w:r>
      <w:r>
        <w:rPr>
          <w:rFonts w:ascii="Arial" w:cs="Arial" w:eastAsia="Arial" w:hAnsi="Arial"/>
          <w:sz w:val="13"/>
          <w:szCs w:val="13"/>
          <w:color w:val="auto"/>
        </w:rPr>
        <w:t>423 Component without regard to the limitations of U.S. Treasury Regulations Section 1.423</w:t>
      </w:r>
      <w:r>
        <w:rPr>
          <w:rFonts w:ascii="MS PGothic" w:cs="MS PGothic" w:eastAsia="MS PGothic" w:hAnsi="MS PGothic"/>
          <w:sz w:val="13"/>
          <w:szCs w:val="13"/>
          <w:color w:val="auto"/>
        </w:rPr>
        <w:t>‑</w:t>
      </w:r>
      <w:r>
        <w:rPr>
          <w:rFonts w:ascii="Arial" w:cs="Arial" w:eastAsia="Arial" w:hAnsi="Arial"/>
          <w:sz w:val="13"/>
          <w:szCs w:val="13"/>
          <w:color w:val="auto"/>
        </w:rPr>
        <w:t>2.</w:t>
      </w:r>
    </w:p>
    <w:p>
      <w:pPr>
        <w:spacing w:after="0" w:line="120"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Employer</w:t>
      </w:r>
      <w:r>
        <w:rPr>
          <w:rFonts w:ascii="Arial" w:cs="Arial" w:eastAsia="Arial" w:hAnsi="Arial"/>
          <w:sz w:val="13"/>
          <w:szCs w:val="13"/>
          <w:color w:val="auto"/>
        </w:rPr>
        <w:t>” means the employer of the applicable Eligible Employee(s).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Enrollment Date</w:t>
      </w:r>
      <w:r>
        <w:rPr>
          <w:rFonts w:ascii="Arial" w:cs="Arial" w:eastAsia="Arial" w:hAnsi="Arial"/>
          <w:sz w:val="13"/>
          <w:szCs w:val="13"/>
          <w:color w:val="auto"/>
        </w:rPr>
        <w:t>” means the first Trading Day of each Offering Period.</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U.S. Securities Exchange Act of 1934, as amended, including the rules and regulations promulgated thereunder.</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2.18. “</w:t>
      </w:r>
      <w:r>
        <w:rPr>
          <w:rFonts w:ascii="Arial" w:cs="Arial" w:eastAsia="Arial" w:hAnsi="Arial"/>
          <w:sz w:val="14"/>
          <w:szCs w:val="14"/>
          <w:b w:val="1"/>
          <w:bCs w:val="1"/>
          <w:color w:val="auto"/>
        </w:rPr>
        <w:t>Exercise Date</w:t>
      </w:r>
      <w:r>
        <w:rPr>
          <w:rFonts w:ascii="Arial" w:cs="Arial" w:eastAsia="Arial" w:hAnsi="Arial"/>
          <w:sz w:val="14"/>
          <w:szCs w:val="14"/>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Fair Market Value</w:t>
      </w:r>
      <w:r>
        <w:rPr>
          <w:rFonts w:ascii="Arial" w:cs="Arial" w:eastAsia="Arial" w:hAnsi="Arial"/>
          <w:sz w:val="13"/>
          <w:szCs w:val="13"/>
          <w:color w:val="auto"/>
        </w:rPr>
        <w:t>” means, as of any date and unless the Administrator determines otherwise, the value of Common Stock determined as follows:</w:t>
      </w:r>
    </w:p>
    <w:p>
      <w:pPr>
        <w:spacing w:after="0" w:line="146" w:lineRule="exact"/>
        <w:rPr>
          <w:sz w:val="20"/>
          <w:szCs w:val="20"/>
          <w:color w:val="auto"/>
        </w:rPr>
      </w:pPr>
    </w:p>
    <w:p>
      <w:pPr>
        <w:ind w:firstLine="1045"/>
        <w:spacing w:after="0" w:line="290" w:lineRule="auto"/>
        <w:tabs>
          <w:tab w:leader="none" w:pos="1556" w:val="left"/>
        </w:tabs>
        <w:numPr>
          <w:ilvl w:val="0"/>
          <w:numId w:val="67"/>
        </w:numPr>
        <w:rPr>
          <w:rFonts w:ascii="Arial" w:cs="Arial" w:eastAsia="Arial" w:hAnsi="Arial"/>
          <w:sz w:val="14"/>
          <w:szCs w:val="14"/>
          <w:color w:val="auto"/>
        </w:rPr>
      </w:pPr>
      <w:r>
        <w:rPr>
          <w:rFonts w:ascii="Arial" w:cs="Arial" w:eastAsia="Arial" w:hAnsi="Arial"/>
          <w:sz w:val="14"/>
          <w:szCs w:val="14"/>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67" w:right="319" w:bottom="1440" w:gutter="0" w:footer="0" w:header="0"/>
        </w:sectPr>
      </w:pPr>
    </w:p>
    <w:bookmarkStart w:id="84" w:name="page85"/>
    <w:bookmarkEnd w:id="84"/>
    <w:p>
      <w:pPr>
        <w:spacing w:after="0" w:line="290" w:lineRule="auto"/>
        <w:rPr>
          <w:sz w:val="20"/>
          <w:szCs w:val="20"/>
          <w:color w:val="auto"/>
        </w:rPr>
      </w:pPr>
      <w:r>
        <w:rPr>
          <w:rFonts w:ascii="Arial" w:cs="Arial" w:eastAsia="Arial" w:hAnsi="Arial"/>
          <w:sz w:val="14"/>
          <w:szCs w:val="14"/>
          <w:color w:val="auto"/>
        </w:rPr>
        <w:t xml:space="preserve">sales price for such stock (or, if no closing sales price was reported on that date, as applicable, on the last Trading Day such closing sales price was reported) as quoted on such exchange or system on the date of determination, as reported in The </w:t>
      </w:r>
      <w:r>
        <w:rPr>
          <w:rFonts w:ascii="Arial" w:cs="Arial" w:eastAsia="Arial" w:hAnsi="Arial"/>
          <w:sz w:val="14"/>
          <w:szCs w:val="14"/>
          <w:i w:val="1"/>
          <w:iCs w:val="1"/>
          <w:color w:val="auto"/>
        </w:rPr>
        <w:t>Wall Street Journal</w:t>
      </w:r>
      <w:r>
        <w:rPr>
          <w:rFonts w:ascii="Arial" w:cs="Arial" w:eastAsia="Arial" w:hAnsi="Arial"/>
          <w:sz w:val="14"/>
          <w:szCs w:val="14"/>
          <w:color w:val="auto"/>
        </w:rPr>
        <w:t xml:space="preserve"> or such other source as the Administrator deems reliable;</w:t>
      </w:r>
    </w:p>
    <w:p>
      <w:pPr>
        <w:spacing w:after="0" w:line="87" w:lineRule="exact"/>
        <w:rPr>
          <w:sz w:val="20"/>
          <w:szCs w:val="20"/>
          <w:color w:val="auto"/>
        </w:rPr>
      </w:pPr>
    </w:p>
    <w:p>
      <w:pPr>
        <w:jc w:val="both"/>
        <w:ind w:firstLine="1045"/>
        <w:spacing w:after="0" w:line="274" w:lineRule="auto"/>
        <w:tabs>
          <w:tab w:leader="none" w:pos="1553"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such other source as the Administrator deems reliable; or</w:t>
      </w:r>
    </w:p>
    <w:p>
      <w:pPr>
        <w:spacing w:after="0" w:line="97" w:lineRule="exact"/>
        <w:rPr>
          <w:rFonts w:ascii="Arial" w:cs="Arial" w:eastAsia="Arial" w:hAnsi="Arial"/>
          <w:sz w:val="14"/>
          <w:szCs w:val="14"/>
          <w:color w:val="auto"/>
        </w:rPr>
      </w:pPr>
    </w:p>
    <w:p>
      <w:pPr>
        <w:ind w:left="1560" w:hanging="515"/>
        <w:spacing w:after="0"/>
        <w:tabs>
          <w:tab w:leader="none" w:pos="15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the absence of an established market for the Common Stock, the Fair Market Value will be determined in good faith by the Administrator.</w:t>
      </w:r>
    </w:p>
    <w:p>
      <w:pPr>
        <w:spacing w:after="0" w:line="142"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Fiscal Year</w:t>
      </w:r>
      <w:r>
        <w:rPr>
          <w:rFonts w:ascii="Arial" w:cs="Arial" w:eastAsia="Arial" w:hAnsi="Arial"/>
          <w:sz w:val="13"/>
          <w:szCs w:val="13"/>
          <w:color w:val="auto"/>
        </w:rPr>
        <w:t>” means the fiscal year of the Company.</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New Exercise Date</w:t>
      </w:r>
      <w:r>
        <w:rPr>
          <w:rFonts w:ascii="Arial" w:cs="Arial" w:eastAsia="Arial" w:hAnsi="Arial"/>
          <w:sz w:val="13"/>
          <w:szCs w:val="13"/>
          <w:color w:val="auto"/>
        </w:rPr>
        <w:t>” means a new Exercise Date if the Administrator shortens any Offering Period then in progress.</w:t>
      </w:r>
    </w:p>
    <w:p>
      <w:pPr>
        <w:spacing w:after="0" w:line="142" w:lineRule="exact"/>
        <w:rPr>
          <w:sz w:val="20"/>
          <w:szCs w:val="20"/>
          <w:color w:val="auto"/>
        </w:rPr>
      </w:pPr>
    </w:p>
    <w:p>
      <w:pPr>
        <w:jc w:val="both"/>
        <w:ind w:firstLine="519"/>
        <w:spacing w:after="0" w:line="177" w:lineRule="exact"/>
        <w:rPr>
          <w:sz w:val="20"/>
          <w:szCs w:val="20"/>
          <w:color w:val="auto"/>
        </w:rPr>
      </w:pPr>
      <w:r>
        <w:rPr>
          <w:rFonts w:ascii="Arial" w:cs="Arial" w:eastAsia="Arial" w:hAnsi="Arial"/>
          <w:sz w:val="13"/>
          <w:szCs w:val="13"/>
          <w:color w:val="auto"/>
        </w:rPr>
        <w:t>2.22. “</w:t>
      </w:r>
      <w:r>
        <w:rPr>
          <w:rFonts w:ascii="Arial" w:cs="Arial" w:eastAsia="Arial" w:hAnsi="Arial"/>
          <w:sz w:val="13"/>
          <w:szCs w:val="13"/>
          <w:b w:val="1"/>
          <w:bCs w:val="1"/>
          <w:color w:val="auto"/>
        </w:rPr>
        <w:t>Offering</w:t>
      </w:r>
      <w:r>
        <w:rPr>
          <w:rFonts w:ascii="Arial" w:cs="Arial" w:eastAsia="Arial" w:hAnsi="Arial"/>
          <w:sz w:val="13"/>
          <w:szCs w:val="13"/>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13"/>
          <w:szCs w:val="13"/>
          <w:color w:val="auto"/>
        </w:rPr>
        <w:t>‑</w:t>
      </w:r>
      <w:r>
        <w:rPr>
          <w:rFonts w:ascii="Arial" w:cs="Arial" w:eastAsia="Arial" w:hAnsi="Arial"/>
          <w:sz w:val="13"/>
          <w:szCs w:val="13"/>
          <w:color w:val="auto"/>
        </w:rPr>
        <w:t>2(a)(1), the terms of each Offering need not be identical provided that the terms of the Plan and an Offering together satisfy U.S. Treasury Regulations Section 1.423</w:t>
      </w:r>
      <w:r>
        <w:rPr>
          <w:rFonts w:ascii="MS PGothic" w:cs="MS PGothic" w:eastAsia="MS PGothic" w:hAnsi="MS PGothic"/>
          <w:sz w:val="13"/>
          <w:szCs w:val="13"/>
          <w:color w:val="auto"/>
        </w:rPr>
        <w:t>‑</w:t>
      </w:r>
      <w:r>
        <w:rPr>
          <w:rFonts w:ascii="Arial" w:cs="Arial" w:eastAsia="Arial" w:hAnsi="Arial"/>
          <w:sz w:val="13"/>
          <w:szCs w:val="13"/>
          <w:color w:val="auto"/>
        </w:rPr>
        <w:t>2(a)(2) and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12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2.23. “</w:t>
      </w:r>
      <w:r>
        <w:rPr>
          <w:rFonts w:ascii="Arial" w:cs="Arial" w:eastAsia="Arial" w:hAnsi="Arial"/>
          <w:sz w:val="14"/>
          <w:szCs w:val="14"/>
          <w:b w:val="1"/>
          <w:bCs w:val="1"/>
          <w:color w:val="auto"/>
        </w:rPr>
        <w:t>Offering Period</w:t>
      </w:r>
      <w:r>
        <w:rPr>
          <w:rFonts w:ascii="Arial" w:cs="Arial" w:eastAsia="Arial" w:hAnsi="Arial"/>
          <w:sz w:val="14"/>
          <w:szCs w:val="14"/>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Parent</w:t>
      </w:r>
      <w:r>
        <w:rPr>
          <w:rFonts w:ascii="Arial" w:cs="Arial" w:eastAsia="Arial" w:hAnsi="Arial"/>
          <w:sz w:val="13"/>
          <w:szCs w:val="13"/>
          <w:color w:val="auto"/>
        </w:rPr>
        <w:t>” means a “</w:t>
      </w:r>
      <w:r>
        <w:rPr>
          <w:rFonts w:ascii="Arial" w:cs="Arial" w:eastAsia="Arial" w:hAnsi="Arial"/>
          <w:sz w:val="13"/>
          <w:szCs w:val="13"/>
          <w:b w:val="1"/>
          <w:bCs w:val="1"/>
          <w:color w:val="auto"/>
        </w:rPr>
        <w:t>parent corporation</w:t>
      </w:r>
      <w:r>
        <w:rPr>
          <w:rFonts w:ascii="Arial" w:cs="Arial" w:eastAsia="Arial" w:hAnsi="Arial"/>
          <w:sz w:val="13"/>
          <w:szCs w:val="13"/>
          <w:color w:val="auto"/>
        </w:rPr>
        <w:t>,” whether now or hereafter existing, as defined in Code Section 424(e).</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Participant</w:t>
      </w:r>
      <w:r>
        <w:rPr>
          <w:rFonts w:ascii="Arial" w:cs="Arial" w:eastAsia="Arial" w:hAnsi="Arial"/>
          <w:sz w:val="13"/>
          <w:szCs w:val="13"/>
          <w:color w:val="auto"/>
        </w:rPr>
        <w:t>” means an Eligible Employee that participates in the Plan.</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Plan</w:t>
      </w:r>
      <w:r>
        <w:rPr>
          <w:rFonts w:ascii="Arial" w:cs="Arial" w:eastAsia="Arial" w:hAnsi="Arial"/>
          <w:sz w:val="13"/>
          <w:szCs w:val="13"/>
          <w:color w:val="auto"/>
        </w:rPr>
        <w:t>” means this Nautilus Biotechnology, Inc. 2021 Employee Stock Purchase Plan.</w:t>
      </w:r>
    </w:p>
    <w:p>
      <w:pPr>
        <w:spacing w:after="0" w:line="142"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2.27. “</w:t>
      </w:r>
      <w:r>
        <w:rPr>
          <w:rFonts w:ascii="Arial" w:cs="Arial" w:eastAsia="Arial" w:hAnsi="Arial"/>
          <w:sz w:val="14"/>
          <w:szCs w:val="14"/>
          <w:b w:val="1"/>
          <w:bCs w:val="1"/>
          <w:color w:val="auto"/>
        </w:rPr>
        <w:t>Purchase Period</w:t>
      </w:r>
      <w:r>
        <w:rPr>
          <w:rFonts w:ascii="Arial" w:cs="Arial" w:eastAsia="Arial" w:hAnsi="Arial"/>
          <w:sz w:val="14"/>
          <w:szCs w:val="14"/>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98" w:lineRule="exact"/>
        <w:rPr>
          <w:sz w:val="20"/>
          <w:szCs w:val="20"/>
          <w:color w:val="auto"/>
        </w:rPr>
      </w:pPr>
    </w:p>
    <w:p>
      <w:pPr>
        <w:jc w:val="both"/>
        <w:ind w:firstLine="519"/>
        <w:spacing w:after="0" w:line="178" w:lineRule="exact"/>
        <w:rPr>
          <w:sz w:val="20"/>
          <w:szCs w:val="20"/>
          <w:color w:val="auto"/>
        </w:rPr>
      </w:pPr>
      <w:r>
        <w:rPr>
          <w:rFonts w:ascii="Arial" w:cs="Arial" w:eastAsia="Arial" w:hAnsi="Arial"/>
          <w:sz w:val="14"/>
          <w:szCs w:val="14"/>
          <w:color w:val="auto"/>
        </w:rPr>
        <w:t>2.28. “</w:t>
      </w:r>
      <w:r>
        <w:rPr>
          <w:rFonts w:ascii="Arial" w:cs="Arial" w:eastAsia="Arial" w:hAnsi="Arial"/>
          <w:sz w:val="14"/>
          <w:szCs w:val="14"/>
          <w:b w:val="1"/>
          <w:bCs w:val="1"/>
          <w:color w:val="auto"/>
        </w:rPr>
        <w:t>Purchase Price</w:t>
      </w:r>
      <w:r>
        <w:rPr>
          <w:rFonts w:ascii="Arial" w:cs="Arial" w:eastAsia="Arial" w:hAnsi="Arial"/>
          <w:sz w:val="14"/>
          <w:szCs w:val="14"/>
          <w:color w:val="auto"/>
        </w:rPr>
        <w:t>” means an amount equal to eighty</w:t>
      </w:r>
      <w:r>
        <w:rPr>
          <w:rFonts w:ascii="MS PGothic" w:cs="MS PGothic" w:eastAsia="MS PGothic" w:hAnsi="MS PGothic"/>
          <w:sz w:val="14"/>
          <w:szCs w:val="14"/>
          <w:color w:val="auto"/>
        </w:rPr>
        <w:t>‑</w:t>
      </w:r>
      <w:r>
        <w:rPr>
          <w:rFonts w:ascii="Arial" w:cs="Arial" w:eastAsia="Arial" w:hAnsi="Arial"/>
          <w:sz w:val="14"/>
          <w:szCs w:val="14"/>
          <w:color w:val="auto"/>
        </w:rPr>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67" w:right="319" w:bottom="1440" w:gutter="0" w:footer="0" w:header="0"/>
        </w:sectPr>
      </w:pPr>
    </w:p>
    <w:bookmarkStart w:id="85" w:name="page86"/>
    <w:bookmarkEnd w:id="85"/>
    <w:p>
      <w:pPr>
        <w:jc w:val="both"/>
        <w:ind w:firstLine="519"/>
        <w:spacing w:after="0" w:line="296" w:lineRule="auto"/>
        <w:rPr>
          <w:sz w:val="20"/>
          <w:szCs w:val="20"/>
          <w:color w:val="auto"/>
        </w:rPr>
      </w:pPr>
      <w:r>
        <w:rPr>
          <w:rFonts w:ascii="Arial" w:cs="Arial" w:eastAsia="Arial" w:hAnsi="Arial"/>
          <w:sz w:val="14"/>
          <w:szCs w:val="14"/>
          <w:color w:val="auto"/>
        </w:rPr>
        <w:t>2.29. “</w:t>
      </w:r>
      <w:r>
        <w:rPr>
          <w:rFonts w:ascii="Arial" w:cs="Arial" w:eastAsia="Arial" w:hAnsi="Arial"/>
          <w:sz w:val="14"/>
          <w:szCs w:val="14"/>
          <w:b w:val="1"/>
          <w:bCs w:val="1"/>
          <w:color w:val="auto"/>
        </w:rPr>
        <w:t>Section 409A</w:t>
      </w:r>
      <w:r>
        <w:rPr>
          <w:rFonts w:ascii="Arial" w:cs="Arial" w:eastAsia="Arial" w:hAnsi="Arial"/>
          <w:sz w:val="14"/>
          <w:szCs w:val="14"/>
          <w:color w:val="auto"/>
        </w:rPr>
        <w:t>” means Code Section 409A and the U.S. Treasury Regulations and guidance thereunder, and any applicable state law equivalent, as each may be promulgated, amended or modified from time to time.</w:t>
      </w:r>
    </w:p>
    <w:p>
      <w:pPr>
        <w:spacing w:after="0" w:line="7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2.30.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a “subsidiary corporation,” whether now or hereafter existing, as defined in Code Section 424(f).</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2.31. “</w:t>
      </w:r>
      <w:r>
        <w:rPr>
          <w:rFonts w:ascii="Arial" w:cs="Arial" w:eastAsia="Arial" w:hAnsi="Arial"/>
          <w:sz w:val="14"/>
          <w:szCs w:val="14"/>
          <w:b w:val="1"/>
          <w:bCs w:val="1"/>
          <w:color w:val="auto"/>
        </w:rPr>
        <w:t>Trading Day</w:t>
      </w:r>
      <w:r>
        <w:rPr>
          <w:rFonts w:ascii="Arial" w:cs="Arial" w:eastAsia="Arial" w:hAnsi="Arial"/>
          <w:sz w:val="14"/>
          <w:szCs w:val="14"/>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7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2.32. “</w:t>
      </w:r>
      <w:r>
        <w:rPr>
          <w:rFonts w:ascii="Arial" w:cs="Arial" w:eastAsia="Arial" w:hAnsi="Arial"/>
          <w:sz w:val="14"/>
          <w:szCs w:val="14"/>
          <w:b w:val="1"/>
          <w:bCs w:val="1"/>
          <w:color w:val="auto"/>
        </w:rPr>
        <w:t>U.S. Treasury Regulations</w:t>
      </w:r>
      <w:r>
        <w:rPr>
          <w:rFonts w:ascii="Arial" w:cs="Arial" w:eastAsia="Arial" w:hAnsi="Arial"/>
          <w:sz w:val="14"/>
          <w:szCs w:val="14"/>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92" w:lineRule="exact"/>
        <w:rPr>
          <w:sz w:val="20"/>
          <w:szCs w:val="20"/>
          <w:color w:val="auto"/>
        </w:rPr>
      </w:pPr>
    </w:p>
    <w:p>
      <w:pPr>
        <w:ind w:left="520" w:hanging="254"/>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Stock</w:t>
      </w:r>
      <w:r>
        <w:rPr>
          <w:rFonts w:ascii="Arial" w:cs="Arial" w:eastAsia="Arial" w:hAnsi="Arial"/>
          <w:sz w:val="14"/>
          <w:szCs w:val="14"/>
          <w:color w:val="auto"/>
        </w:rPr>
        <w:t>.</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Stock Subject to the Plan</w:t>
      </w:r>
      <w:r>
        <w:rPr>
          <w:rFonts w:ascii="Arial" w:cs="Arial" w:eastAsia="Arial" w:hAnsi="Arial"/>
          <w:sz w:val="14"/>
          <w:szCs w:val="14"/>
          <w:color w:val="auto"/>
        </w:rPr>
        <w:t>. Subject to adjustment upon changes in capitalization of the Company as provided in Section 17 hereof, the maximum number of shares of Common Stock that will be made available for sale under the Plan will be 1,244,900 shares of Common Stock.</w:t>
      </w:r>
    </w:p>
    <w:p>
      <w:pPr>
        <w:spacing w:after="0" w:line="79" w:lineRule="exact"/>
        <w:rPr>
          <w:sz w:val="20"/>
          <w:szCs w:val="20"/>
          <w:color w:val="auto"/>
        </w:rPr>
      </w:pPr>
    </w:p>
    <w:p>
      <w:pPr>
        <w:jc w:val="both"/>
        <w:ind w:firstLine="519"/>
        <w:spacing w:after="0" w:line="26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Automatic Share Reserve Increase</w:t>
      </w:r>
      <w:r>
        <w:rPr>
          <w:rFonts w:ascii="Arial" w:cs="Arial" w:eastAsia="Arial" w:hAnsi="Arial"/>
          <w:sz w:val="14"/>
          <w:szCs w:val="14"/>
          <w:color w:val="auto"/>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00" w:lineRule="exact"/>
        <w:rPr>
          <w:sz w:val="20"/>
          <w:szCs w:val="20"/>
          <w:color w:val="auto"/>
        </w:rPr>
      </w:pPr>
    </w:p>
    <w:p>
      <w:pPr>
        <w:ind w:firstLine="266"/>
        <w:spacing w:after="0" w:line="296" w:lineRule="auto"/>
        <w:tabs>
          <w:tab w:leader="none" w:pos="519"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Administration</w:t>
      </w:r>
      <w:r>
        <w:rPr>
          <w:rFonts w:ascii="Arial" w:cs="Arial" w:eastAsia="Arial" w:hAnsi="Arial"/>
          <w:sz w:val="14"/>
          <w:szCs w:val="14"/>
          <w:color w:val="auto"/>
        </w:rPr>
        <w:t>. The Plan will be administered by the Board or a Committee appointed by the Board, which Committee will be constituted to comply with Applicable Laws. The</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Administrator will have full and exclusive discretionary authority to</w:t>
      </w:r>
    </w:p>
    <w:p>
      <w:pPr>
        <w:spacing w:after="0" w:line="82" w:lineRule="exact"/>
        <w:rPr>
          <w:rFonts w:ascii="Arial" w:cs="Arial" w:eastAsia="Arial" w:hAnsi="Arial"/>
          <w:sz w:val="14"/>
          <w:szCs w:val="14"/>
          <w:color w:val="auto"/>
        </w:rPr>
      </w:pPr>
    </w:p>
    <w:p>
      <w:pPr>
        <w:ind w:left="1040" w:hanging="514"/>
        <w:spacing w:after="0"/>
        <w:tabs>
          <w:tab w:leader="none" w:pos="10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construe, interpret and apply the terms of the Plan,</w:t>
      </w:r>
    </w:p>
    <w:p>
      <w:pPr>
        <w:spacing w:after="0" w:line="141" w:lineRule="exact"/>
        <w:rPr>
          <w:rFonts w:ascii="Arial" w:cs="Arial" w:eastAsia="Arial" w:hAnsi="Arial"/>
          <w:sz w:val="14"/>
          <w:szCs w:val="14"/>
          <w:color w:val="auto"/>
        </w:rPr>
      </w:pPr>
    </w:p>
    <w:p>
      <w:pPr>
        <w:ind w:left="1040" w:hanging="514"/>
        <w:spacing w:after="0"/>
        <w:tabs>
          <w:tab w:leader="none" w:pos="10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delegate ministerial duties to any of the Company’s employees,</w:t>
      </w:r>
    </w:p>
    <w:p>
      <w:pPr>
        <w:spacing w:after="0" w:line="141" w:lineRule="exact"/>
        <w:rPr>
          <w:rFonts w:ascii="Arial" w:cs="Arial" w:eastAsia="Arial" w:hAnsi="Arial"/>
          <w:sz w:val="14"/>
          <w:szCs w:val="14"/>
          <w:color w:val="auto"/>
        </w:rPr>
      </w:pPr>
    </w:p>
    <w:p>
      <w:pPr>
        <w:ind w:left="1040" w:hanging="514"/>
        <w:spacing w:after="0"/>
        <w:tabs>
          <w:tab w:leader="none" w:pos="10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designate separate Offerings under the Plan,</w:t>
      </w:r>
    </w:p>
    <w:p>
      <w:pPr>
        <w:spacing w:after="0" w:line="141" w:lineRule="exact"/>
        <w:rPr>
          <w:rFonts w:ascii="Arial" w:cs="Arial" w:eastAsia="Arial" w:hAnsi="Arial"/>
          <w:sz w:val="14"/>
          <w:szCs w:val="14"/>
          <w:color w:val="auto"/>
        </w:rPr>
      </w:pPr>
    </w:p>
    <w:p>
      <w:pPr>
        <w:ind w:left="1040" w:hanging="514"/>
        <w:spacing w:after="0" w:line="161" w:lineRule="exact"/>
        <w:tabs>
          <w:tab w:leader="none" w:pos="10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designate Subsidiaries as participating in the 423 Component or Non</w:t>
      </w:r>
      <w:r>
        <w:rPr>
          <w:rFonts w:ascii="MS PGothic" w:cs="MS PGothic" w:eastAsia="MS PGothic" w:hAnsi="MS PGothic"/>
          <w:sz w:val="14"/>
          <w:szCs w:val="14"/>
          <w:color w:val="auto"/>
        </w:rPr>
        <w:t>‑</w:t>
      </w:r>
      <w:r>
        <w:rPr>
          <w:rFonts w:ascii="Arial" w:cs="Arial" w:eastAsia="Arial" w:hAnsi="Arial"/>
          <w:sz w:val="14"/>
          <w:szCs w:val="14"/>
          <w:color w:val="auto"/>
        </w:rPr>
        <w:t>423 Component,</w:t>
      </w:r>
    </w:p>
    <w:p>
      <w:pPr>
        <w:spacing w:after="0" w:line="141" w:lineRule="exact"/>
        <w:rPr>
          <w:rFonts w:ascii="Arial" w:cs="Arial" w:eastAsia="Arial" w:hAnsi="Arial"/>
          <w:sz w:val="14"/>
          <w:szCs w:val="14"/>
          <w:color w:val="auto"/>
        </w:rPr>
      </w:pPr>
    </w:p>
    <w:p>
      <w:pPr>
        <w:ind w:left="1040" w:hanging="514"/>
        <w:spacing w:after="0"/>
        <w:tabs>
          <w:tab w:leader="none" w:pos="10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determine eligibility,</w:t>
      </w:r>
    </w:p>
    <w:p>
      <w:pPr>
        <w:spacing w:after="0" w:line="141" w:lineRule="exact"/>
        <w:rPr>
          <w:rFonts w:ascii="Arial" w:cs="Arial" w:eastAsia="Arial" w:hAnsi="Arial"/>
          <w:sz w:val="14"/>
          <w:szCs w:val="14"/>
          <w:color w:val="auto"/>
        </w:rPr>
      </w:pPr>
    </w:p>
    <w:p>
      <w:pPr>
        <w:ind w:left="1040" w:hanging="514"/>
        <w:spacing w:after="0"/>
        <w:tabs>
          <w:tab w:leader="none" w:pos="10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adjudicate all disputed claims filed under the Plan, and</w:t>
      </w:r>
    </w:p>
    <w:p>
      <w:pPr>
        <w:spacing w:after="0" w:line="141" w:lineRule="exact"/>
        <w:rPr>
          <w:rFonts w:ascii="Arial" w:cs="Arial" w:eastAsia="Arial" w:hAnsi="Arial"/>
          <w:sz w:val="14"/>
          <w:szCs w:val="14"/>
          <w:color w:val="auto"/>
        </w:rPr>
      </w:pPr>
    </w:p>
    <w:p>
      <w:pPr>
        <w:jc w:val="both"/>
        <w:ind w:firstLine="526"/>
        <w:spacing w:after="0" w:line="175" w:lineRule="exact"/>
        <w:tabs>
          <w:tab w:leader="none" w:pos="1034" w:val="left"/>
        </w:tabs>
        <w:numPr>
          <w:ilvl w:val="1"/>
          <w:numId w:val="70"/>
        </w:numPr>
        <w:rPr>
          <w:rFonts w:ascii="Arial" w:cs="Arial" w:eastAsia="Arial" w:hAnsi="Arial"/>
          <w:sz w:val="14"/>
          <w:szCs w:val="14"/>
          <w:color w:val="auto"/>
        </w:rPr>
      </w:pPr>
      <w:r>
        <w:rPr>
          <w:rFonts w:ascii="Arial" w:cs="Arial" w:eastAsia="Arial" w:hAnsi="Arial"/>
          <w:sz w:val="14"/>
          <w:szCs w:val="14"/>
          <w:color w:val="auto"/>
        </w:rPr>
        <w:t>establish such procedures that it deems necessary or advisable for the administration of the Plan (including, without limitation, to adopt such procedures, sub</w:t>
      </w:r>
      <w:r>
        <w:rPr>
          <w:rFonts w:ascii="MS PGothic" w:cs="MS PGothic" w:eastAsia="MS PGothic" w:hAnsi="MS PGothic"/>
          <w:sz w:val="14"/>
          <w:szCs w:val="14"/>
          <w:color w:val="auto"/>
        </w:rPr>
        <w:t>‑</w:t>
      </w:r>
      <w:r>
        <w:rPr>
          <w:rFonts w:ascii="Arial" w:cs="Arial" w:eastAsia="Arial" w:hAnsi="Arial"/>
          <w:sz w:val="14"/>
          <w:szCs w:val="14"/>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14"/>
          <w:szCs w:val="14"/>
          <w:color w:val="auto"/>
        </w:rPr>
        <w:t>‑</w:t>
      </w:r>
      <w:r>
        <w:rPr>
          <w:rFonts w:ascii="Arial" w:cs="Arial" w:eastAsia="Arial" w:hAnsi="Arial"/>
          <w:sz w:val="14"/>
          <w:szCs w:val="14"/>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14"/>
          <w:szCs w:val="14"/>
          <w:color w:val="auto"/>
        </w:rPr>
        <w:t>‑</w:t>
      </w:r>
      <w:r>
        <w:rPr>
          <w:rFonts w:ascii="Arial" w:cs="Arial" w:eastAsia="Arial" w:hAnsi="Arial"/>
          <w:sz w:val="14"/>
          <w:szCs w:val="14"/>
          <w:color w:val="auto"/>
        </w:rPr>
        <w:t>plan or appendix, the provisions of this Plan will govern the operation of such sub</w:t>
      </w:r>
      <w:r>
        <w:rPr>
          <w:rFonts w:ascii="MS PGothic" w:cs="MS PGothic" w:eastAsia="MS PGothic" w:hAnsi="MS PGothic"/>
          <w:sz w:val="14"/>
          <w:szCs w:val="14"/>
          <w:color w:val="auto"/>
        </w:rPr>
        <w:t>‑</w:t>
      </w:r>
      <w:r>
        <w:rPr>
          <w:rFonts w:ascii="Arial" w:cs="Arial" w:eastAsia="Arial" w:hAnsi="Arial"/>
          <w:sz w:val="14"/>
          <w:szCs w:val="14"/>
          <w:color w:val="auto"/>
        </w:rPr>
        <w:t>plan or appendix). Unless otherwise determined by the Administrator, the Eligible Employees eligible to participate in each sub</w:t>
      </w:r>
      <w:r>
        <w:rPr>
          <w:rFonts w:ascii="MS PGothic" w:cs="MS PGothic" w:eastAsia="MS PGothic" w:hAnsi="MS PGothic"/>
          <w:sz w:val="14"/>
          <w:szCs w:val="14"/>
          <w:color w:val="auto"/>
        </w:rPr>
        <w:t>‑</w:t>
      </w:r>
      <w:r>
        <w:rPr>
          <w:rFonts w:ascii="Arial" w:cs="Arial" w:eastAsia="Arial" w:hAnsi="Arial"/>
          <w:sz w:val="14"/>
          <w:szCs w:val="14"/>
          <w:color w:val="auto"/>
        </w:rPr>
        <w:t>plan will participate in a separate Offering under the 423 Component, or if the terms would not qualify under the 423 Component, in the Non</w:t>
      </w:r>
      <w:r>
        <w:rPr>
          <w:rFonts w:ascii="MS PGothic" w:cs="MS PGothic" w:eastAsia="MS PGothic" w:hAnsi="MS PGothic"/>
          <w:sz w:val="14"/>
          <w:szCs w:val="14"/>
          <w:color w:val="auto"/>
        </w:rPr>
        <w:t>‑</w:t>
      </w:r>
      <w:r>
        <w:rPr>
          <w:rFonts w:ascii="Arial" w:cs="Arial" w:eastAsia="Arial" w:hAnsi="Arial"/>
          <w:sz w:val="14"/>
          <w:szCs w:val="14"/>
          <w:color w:val="auto"/>
        </w:rPr>
        <w:t>423 Component, in either case unless such designation would cause the 423 Component to violate the requirements of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63" w:right="319" w:bottom="1440" w:gutter="0" w:footer="0" w:header="0"/>
        </w:sectPr>
      </w:pPr>
    </w:p>
    <w:bookmarkStart w:id="86" w:name="page87"/>
    <w:bookmarkEnd w:id="86"/>
    <w:p>
      <w:pPr>
        <w:jc w:val="both"/>
        <w:ind w:firstLine="519"/>
        <w:spacing w:after="0" w:line="175" w:lineRule="exact"/>
        <w:rPr>
          <w:sz w:val="20"/>
          <w:szCs w:val="20"/>
          <w:color w:val="auto"/>
        </w:rPr>
      </w:pPr>
      <w:r>
        <w:rPr>
          <w:rFonts w:ascii="Arial" w:cs="Arial" w:eastAsia="Arial" w:hAnsi="Arial"/>
          <w:sz w:val="14"/>
          <w:szCs w:val="14"/>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14"/>
          <w:szCs w:val="14"/>
          <w:color w:val="auto"/>
        </w:rPr>
        <w:t>‑</w:t>
      </w:r>
      <w:r>
        <w:rPr>
          <w:rFonts w:ascii="Arial" w:cs="Arial" w:eastAsia="Arial" w:hAnsi="Arial"/>
          <w:sz w:val="14"/>
          <w:szCs w:val="14"/>
          <w:color w:val="auto"/>
        </w:rPr>
        <w:t>2(f), the terms of an option granted under the Plan or an Offering to citizens or residents of a non</w:t>
      </w:r>
      <w:r>
        <w:rPr>
          <w:rFonts w:ascii="MS PGothic" w:cs="MS PGothic" w:eastAsia="MS PGothic" w:hAnsi="MS PGothic"/>
          <w:sz w:val="14"/>
          <w:szCs w:val="14"/>
          <w:color w:val="auto"/>
        </w:rPr>
        <w:t>‑</w:t>
      </w:r>
      <w:r>
        <w:rPr>
          <w:rFonts w:ascii="Arial" w:cs="Arial" w:eastAsia="Arial" w:hAnsi="Arial"/>
          <w:sz w:val="14"/>
          <w:szCs w:val="14"/>
          <w:color w:val="auto"/>
        </w:rPr>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17" w:lineRule="exact"/>
        <w:rPr>
          <w:sz w:val="20"/>
          <w:szCs w:val="20"/>
          <w:color w:val="auto"/>
        </w:rPr>
      </w:pPr>
    </w:p>
    <w:p>
      <w:pPr>
        <w:ind w:left="520" w:hanging="254"/>
        <w:spacing w:after="0"/>
        <w:tabs>
          <w:tab w:leader="none" w:pos="52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Eligibility.</w:t>
      </w:r>
    </w:p>
    <w:p>
      <w:pPr>
        <w:spacing w:after="0" w:line="141"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Arial" w:cs="Arial" w:eastAsia="Arial" w:hAnsi="Arial"/>
          <w:sz w:val="14"/>
          <w:szCs w:val="14"/>
          <w:color w:val="auto"/>
        </w:rPr>
        <w:t>5.1.</w:t>
      </w:r>
      <w:r>
        <w:rPr>
          <w:rFonts w:ascii="Arial" w:cs="Arial" w:eastAsia="Arial" w:hAnsi="Arial"/>
          <w:sz w:val="13"/>
          <w:szCs w:val="13"/>
          <w:b w:val="1"/>
          <w:bCs w:val="1"/>
          <w:color w:val="auto"/>
        </w:rPr>
        <w:t xml:space="preserve">Offering Periods. </w:t>
      </w:r>
      <w:r>
        <w:rPr>
          <w:rFonts w:ascii="Arial" w:cs="Arial" w:eastAsia="Arial" w:hAnsi="Arial"/>
          <w:sz w:val="13"/>
          <w:szCs w:val="13"/>
          <w:color w:val="auto"/>
        </w:rPr>
        <w:t>Any Eligible Employee on a given Enrollment Date will be eligible to participate in the Plan, subject to the requirements of Section 7.</w:t>
      </w:r>
    </w:p>
    <w:p>
      <w:pPr>
        <w:spacing w:after="0" w:line="142" w:lineRule="exact"/>
        <w:rPr>
          <w:sz w:val="20"/>
          <w:szCs w:val="20"/>
          <w:color w:val="auto"/>
        </w:rPr>
      </w:pPr>
    </w:p>
    <w:p>
      <w:pPr>
        <w:jc w:val="both"/>
        <w:ind w:firstLine="519"/>
        <w:spacing w:after="0" w:line="176" w:lineRule="exact"/>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U.S. Employees.</w:t>
      </w:r>
      <w:r>
        <w:rPr>
          <w:rFonts w:ascii="Arial" w:cs="Arial" w:eastAsia="Arial" w:hAnsi="Arial"/>
          <w:sz w:val="14"/>
          <w:szCs w:val="14"/>
          <w:color w:val="auto"/>
        </w:rPr>
        <w:t xml:space="preserve"> Eligible Employees who are citizens or residents of a non</w:t>
      </w:r>
      <w:r>
        <w:rPr>
          <w:rFonts w:ascii="MS PGothic" w:cs="MS PGothic" w:eastAsia="MS PGothic" w:hAnsi="MS PGothic"/>
          <w:sz w:val="14"/>
          <w:szCs w:val="14"/>
          <w:color w:val="auto"/>
        </w:rPr>
        <w:t>‑</w:t>
      </w:r>
      <w:r>
        <w:rPr>
          <w:rFonts w:ascii="Arial" w:cs="Arial" w:eastAsia="Arial" w:hAnsi="Arial"/>
          <w:sz w:val="14"/>
          <w:szCs w:val="14"/>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14"/>
          <w:szCs w:val="14"/>
          <w:color w:val="auto"/>
        </w:rPr>
        <w:t>‑</w:t>
      </w:r>
      <w:r>
        <w:rPr>
          <w:rFonts w:ascii="Arial" w:cs="Arial" w:eastAsia="Arial" w:hAnsi="Arial"/>
          <w:sz w:val="14"/>
          <w:szCs w:val="14"/>
          <w:color w:val="auto"/>
        </w:rPr>
        <w:t>423 Component, an Eligible Employee may be excluded from participation in the Plan or an Offering if the Administrator has determined that participation of such Eligible Employee is not advisable or practicable.</w:t>
      </w:r>
    </w:p>
    <w:p>
      <w:pPr>
        <w:spacing w:after="0" w:line="117" w:lineRule="exact"/>
        <w:rPr>
          <w:sz w:val="20"/>
          <w:szCs w:val="20"/>
          <w:color w:val="auto"/>
        </w:rPr>
      </w:pPr>
    </w:p>
    <w:p>
      <w:pPr>
        <w:jc w:val="both"/>
        <w:ind w:firstLine="519"/>
        <w:spacing w:after="0" w:line="175" w:lineRule="exact"/>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b w:val="1"/>
          <w:bCs w:val="1"/>
          <w:color w:val="auto"/>
        </w:rPr>
        <w:t>Limitations.</w:t>
      </w:r>
      <w:r>
        <w:rPr>
          <w:rFonts w:ascii="Arial" w:cs="Arial" w:eastAsia="Arial" w:hAnsi="Arial"/>
          <w:sz w:val="14"/>
          <w:szCs w:val="14"/>
          <w:color w:val="auto"/>
        </w:rPr>
        <w:t xml:space="preserve">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14"/>
          <w:szCs w:val="14"/>
          <w:color w:val="auto"/>
        </w:rPr>
        <w:t>‑</w:t>
      </w:r>
      <w:r>
        <w:rPr>
          <w:rFonts w:ascii="Arial" w:cs="Arial" w:eastAsia="Arial" w:hAnsi="Arial"/>
          <w:sz w:val="14"/>
          <w:szCs w:val="14"/>
          <w:color w:val="auto"/>
        </w:rPr>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21" w:lineRule="exact"/>
        <w:rPr>
          <w:sz w:val="20"/>
          <w:szCs w:val="20"/>
          <w:color w:val="auto"/>
        </w:rPr>
      </w:pPr>
    </w:p>
    <w:p>
      <w:pPr>
        <w:jc w:val="both"/>
        <w:ind w:firstLine="266"/>
        <w:spacing w:after="0" w:line="176" w:lineRule="exact"/>
        <w:tabs>
          <w:tab w:leader="none" w:pos="519" w:val="left"/>
        </w:tabs>
        <w:numPr>
          <w:ilvl w:val="0"/>
          <w:numId w:val="72"/>
        </w:numPr>
        <w:rPr>
          <w:rFonts w:ascii="Arial" w:cs="Arial" w:eastAsia="Arial" w:hAnsi="Arial"/>
          <w:sz w:val="14"/>
          <w:szCs w:val="14"/>
          <w:color w:val="auto"/>
        </w:rPr>
      </w:pPr>
      <w:r>
        <w:rPr>
          <w:rFonts w:ascii="Arial" w:cs="Arial" w:eastAsia="Arial" w:hAnsi="Arial"/>
          <w:sz w:val="14"/>
          <w:szCs w:val="14"/>
          <w:b w:val="1"/>
          <w:bCs w:val="1"/>
          <w:color w:val="auto"/>
        </w:rPr>
        <w:t xml:space="preserve">Offering Periods. </w:t>
      </w:r>
      <w:r>
        <w:rPr>
          <w:rFonts w:ascii="Arial" w:cs="Arial" w:eastAsia="Arial" w:hAnsi="Arial"/>
          <w:sz w:val="14"/>
          <w:szCs w:val="14"/>
          <w:color w:val="auto"/>
        </w:rPr>
        <w:t>The Plan will be implemented by Offering Periods as established by the Administrator from time to time. Offering Periods will expire on the earliest to occur of (a)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completion of the purchase of shares on the last Exercise Date occurring within twenty</w:t>
      </w:r>
      <w:r>
        <w:rPr>
          <w:rFonts w:ascii="MS PGothic" w:cs="MS PGothic" w:eastAsia="MS PGothic" w:hAnsi="MS PGothic"/>
          <w:sz w:val="14"/>
          <w:szCs w:val="14"/>
          <w:color w:val="auto"/>
        </w:rPr>
        <w:t>‑</w:t>
      </w:r>
      <w:r>
        <w:rPr>
          <w:rFonts w:ascii="Arial" w:cs="Arial" w:eastAsia="Arial" w:hAnsi="Arial"/>
          <w:sz w:val="14"/>
          <w:szCs w:val="14"/>
          <w:color w:val="auto"/>
        </w:rPr>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14"/>
          <w:szCs w:val="14"/>
          <w:color w:val="auto"/>
        </w:rPr>
        <w:t>‑</w:t>
      </w:r>
      <w:r>
        <w:rPr>
          <w:rFonts w:ascii="Arial" w:cs="Arial" w:eastAsia="Arial" w:hAnsi="Arial"/>
          <w:sz w:val="14"/>
          <w:szCs w:val="14"/>
          <w:color w:val="auto"/>
        </w:rPr>
        <w:t>seven (27) months.</w:t>
      </w:r>
    </w:p>
    <w:p>
      <w:pPr>
        <w:spacing w:after="0" w:line="118" w:lineRule="exact"/>
        <w:rPr>
          <w:rFonts w:ascii="Arial" w:cs="Arial" w:eastAsia="Arial" w:hAnsi="Arial"/>
          <w:sz w:val="14"/>
          <w:szCs w:val="14"/>
          <w:color w:val="auto"/>
        </w:rPr>
      </w:pPr>
    </w:p>
    <w:p>
      <w:pPr>
        <w:jc w:val="both"/>
        <w:ind w:firstLine="266"/>
        <w:spacing w:after="0" w:line="307" w:lineRule="auto"/>
        <w:tabs>
          <w:tab w:leader="none" w:pos="519" w:val="left"/>
        </w:tabs>
        <w:numPr>
          <w:ilvl w:val="0"/>
          <w:numId w:val="72"/>
        </w:numPr>
        <w:rPr>
          <w:rFonts w:ascii="Arial" w:cs="Arial" w:eastAsia="Arial" w:hAnsi="Arial"/>
          <w:sz w:val="13"/>
          <w:szCs w:val="13"/>
          <w:color w:val="auto"/>
        </w:rPr>
      </w:pPr>
      <w:r>
        <w:rPr>
          <w:rFonts w:ascii="Arial" w:cs="Arial" w:eastAsia="Arial" w:hAnsi="Arial"/>
          <w:sz w:val="13"/>
          <w:szCs w:val="13"/>
          <w:b w:val="1"/>
          <w:bCs w:val="1"/>
          <w:color w:val="auto"/>
        </w:rPr>
        <w:t xml:space="preserve">Participation. </w:t>
      </w:r>
      <w:r>
        <w:rPr>
          <w:rFonts w:ascii="Arial" w:cs="Arial" w:eastAsia="Arial" w:hAnsi="Arial"/>
          <w:sz w:val="13"/>
          <w:szCs w:val="13"/>
          <w:color w:val="auto"/>
        </w:rPr>
        <w:t>An Eligible Employee may participate in the Plan pursuant to Section 5.1 by (a) submitting to the Company’s stock administration office (or its designee), a properly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completed subscription agreement authorizing Contributions in the form provided by the Administrator for such purpose (which may be similar to the form attached hereto as </w:t>
      </w:r>
      <w:r>
        <w:rPr>
          <w:rFonts w:ascii="Arial" w:cs="Arial" w:eastAsia="Arial" w:hAnsi="Arial"/>
          <w:sz w:val="13"/>
          <w:szCs w:val="13"/>
          <w:b w:val="1"/>
          <w:bCs w:val="1"/>
          <w:color w:val="auto"/>
        </w:rPr>
        <w:t>Exhibit A</w:t>
      </w:r>
      <w:r>
        <w:rPr>
          <w:rFonts w:ascii="Arial" w:cs="Arial" w:eastAsia="Arial" w:hAnsi="Arial"/>
          <w:sz w:val="13"/>
          <w:szCs w:val="13"/>
          <w:color w:val="auto"/>
        </w:rPr>
        <w:t>), or (b) following an electronic or other enrollment procedure determined by the Administrator, in either case, on or before a date determined by the Administrator prior to an applicable Enrollment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167" w:right="319" w:bottom="1440" w:gutter="0" w:footer="0" w:header="0"/>
        </w:sectPr>
      </w:pPr>
    </w:p>
    <w:bookmarkStart w:id="87" w:name="page88"/>
    <w:bookmarkEnd w:id="87"/>
    <w:p>
      <w:pPr>
        <w:ind w:left="520" w:hanging="254"/>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b w:val="1"/>
          <w:bCs w:val="1"/>
          <w:color w:val="auto"/>
        </w:rPr>
        <w:t>Contributions.</w:t>
      </w:r>
    </w:p>
    <w:p>
      <w:pPr>
        <w:spacing w:after="0" w:line="142" w:lineRule="exact"/>
        <w:rPr>
          <w:sz w:val="20"/>
          <w:szCs w:val="20"/>
          <w:color w:val="auto"/>
        </w:rPr>
      </w:pPr>
    </w:p>
    <w:p>
      <w:pPr>
        <w:jc w:val="both"/>
        <w:ind w:firstLine="519"/>
        <w:spacing w:after="0" w:line="267"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Contribution Amounts.</w:t>
      </w:r>
      <w:r>
        <w:rPr>
          <w:rFonts w:ascii="Arial" w:cs="Arial" w:eastAsia="Arial" w:hAnsi="Arial"/>
          <w:sz w:val="14"/>
          <w:szCs w:val="14"/>
          <w:color w:val="auto"/>
        </w:rPr>
        <w:t xml:space="preserve">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w:t>
      </w:r>
    </w:p>
    <w:p>
      <w:pPr>
        <w:spacing w:after="0" w:line="100"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Contribution Methods.</w:t>
      </w:r>
      <w:r>
        <w:rPr>
          <w:rFonts w:ascii="Arial" w:cs="Arial" w:eastAsia="Arial" w:hAnsi="Arial"/>
          <w:sz w:val="14"/>
          <w:szCs w:val="14"/>
          <w:color w:val="auto"/>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w:t>
      </w:r>
    </w:p>
    <w:p>
      <w:pPr>
        <w:spacing w:after="0" w:line="96" w:lineRule="exact"/>
        <w:rPr>
          <w:sz w:val="20"/>
          <w:szCs w:val="20"/>
          <w:color w:val="auto"/>
        </w:rPr>
      </w:pPr>
    </w:p>
    <w:p>
      <w:pPr>
        <w:jc w:val="both"/>
        <w:ind w:firstLine="1045"/>
        <w:spacing w:after="0" w:line="274" w:lineRule="auto"/>
        <w:tabs>
          <w:tab w:leader="none" w:pos="1556"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97" w:lineRule="exact"/>
        <w:rPr>
          <w:rFonts w:ascii="Arial" w:cs="Arial" w:eastAsia="Arial" w:hAnsi="Arial"/>
          <w:sz w:val="14"/>
          <w:szCs w:val="14"/>
          <w:color w:val="auto"/>
        </w:rPr>
      </w:pPr>
    </w:p>
    <w:p>
      <w:pPr>
        <w:ind w:firstLine="1045"/>
        <w:spacing w:after="0" w:line="290" w:lineRule="auto"/>
        <w:tabs>
          <w:tab w:leader="none" w:pos="1553" w:val="left"/>
        </w:tabs>
        <w:numPr>
          <w:ilvl w:val="0"/>
          <w:numId w:val="74"/>
        </w:numPr>
        <w:rPr>
          <w:rFonts w:ascii="Arial" w:cs="Arial" w:eastAsia="Arial" w:hAnsi="Arial"/>
          <w:sz w:val="14"/>
          <w:szCs w:val="14"/>
          <w:color w:val="auto"/>
        </w:rPr>
      </w:pPr>
      <w:r>
        <w:rPr>
          <w:rFonts w:ascii="Arial" w:cs="Arial" w:eastAsia="Arial" w:hAnsi="Arial"/>
          <w:sz w:val="14"/>
          <w:szCs w:val="14"/>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83" w:lineRule="exact"/>
        <w:rPr>
          <w:sz w:val="20"/>
          <w:szCs w:val="20"/>
          <w:color w:val="auto"/>
        </w:rPr>
      </w:pPr>
    </w:p>
    <w:p>
      <w:pPr>
        <w:jc w:val="both"/>
        <w:ind w:firstLine="519"/>
        <w:spacing w:after="0" w:line="289"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b w:val="1"/>
          <w:bCs w:val="1"/>
          <w:color w:val="auto"/>
        </w:rPr>
        <w:t>Participant Changes to Contributions.</w:t>
      </w:r>
      <w:r>
        <w:rPr>
          <w:rFonts w:ascii="Arial" w:cs="Arial" w:eastAsia="Arial" w:hAnsi="Arial"/>
          <w:sz w:val="13"/>
          <w:szCs w:val="13"/>
          <w:color w:val="auto"/>
        </w:rPr>
        <w:t xml:space="preserve">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93" w:lineRule="exact"/>
        <w:rPr>
          <w:sz w:val="20"/>
          <w:szCs w:val="20"/>
          <w:color w:val="auto"/>
        </w:rPr>
      </w:pPr>
    </w:p>
    <w:p>
      <w:pPr>
        <w:jc w:val="both"/>
        <w:ind w:firstLine="1045"/>
        <w:spacing w:after="0" w:line="291" w:lineRule="auto"/>
        <w:tabs>
          <w:tab w:leader="none" w:pos="1556"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89" w:lineRule="exact"/>
        <w:rPr>
          <w:rFonts w:ascii="Arial" w:cs="Arial" w:eastAsia="Arial" w:hAnsi="Arial"/>
          <w:sz w:val="13"/>
          <w:szCs w:val="13"/>
          <w:color w:val="auto"/>
        </w:rPr>
      </w:pPr>
    </w:p>
    <w:p>
      <w:pPr>
        <w:jc w:val="both"/>
        <w:ind w:firstLine="1045"/>
        <w:spacing w:after="0" w:line="274" w:lineRule="auto"/>
        <w:tabs>
          <w:tab w:leader="none" w:pos="1553"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97" w:lineRule="exact"/>
        <w:rPr>
          <w:rFonts w:ascii="Arial" w:cs="Arial" w:eastAsia="Arial" w:hAnsi="Arial"/>
          <w:sz w:val="14"/>
          <w:szCs w:val="14"/>
          <w:color w:val="auto"/>
        </w:rPr>
      </w:pPr>
    </w:p>
    <w:p>
      <w:pPr>
        <w:ind w:firstLine="1045"/>
        <w:spacing w:after="0" w:line="330" w:lineRule="auto"/>
        <w:tabs>
          <w:tab w:leader="none" w:pos="1556" w:val="left"/>
        </w:tabs>
        <w:numPr>
          <w:ilvl w:val="0"/>
          <w:numId w:val="75"/>
        </w:numPr>
        <w:rPr>
          <w:rFonts w:ascii="Arial" w:cs="Arial" w:eastAsia="Arial" w:hAnsi="Arial"/>
          <w:sz w:val="13"/>
          <w:szCs w:val="13"/>
          <w:color w:val="auto"/>
        </w:rPr>
      </w:pPr>
      <w:r>
        <w:rPr>
          <w:rFonts w:ascii="Arial" w:cs="Arial" w:eastAsia="Arial" w:hAnsi="Arial"/>
          <w:sz w:val="13"/>
          <w:szCs w:val="13"/>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163" w:right="319" w:bottom="1440" w:gutter="0" w:footer="0" w:header="0"/>
        </w:sectPr>
      </w:pPr>
    </w:p>
    <w:bookmarkStart w:id="88" w:name="page89"/>
    <w:bookmarkEnd w:id="88"/>
    <w:p>
      <w:pPr>
        <w:jc w:val="both"/>
        <w:ind w:firstLine="519"/>
        <w:spacing w:after="0" w:line="267"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Other Contribution Changes.</w:t>
      </w:r>
      <w:r>
        <w:rPr>
          <w:rFonts w:ascii="Arial" w:cs="Arial" w:eastAsia="Arial" w:hAnsi="Arial"/>
          <w:sz w:val="14"/>
          <w:szCs w:val="14"/>
          <w:color w:val="auto"/>
        </w:rPr>
        <w:t xml:space="preserve">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00" w:lineRule="exact"/>
        <w:rPr>
          <w:sz w:val="20"/>
          <w:szCs w:val="20"/>
          <w:color w:val="auto"/>
        </w:rPr>
      </w:pPr>
    </w:p>
    <w:p>
      <w:pPr>
        <w:jc w:val="both"/>
        <w:ind w:firstLine="519"/>
        <w:spacing w:after="0" w:line="178" w:lineRule="exact"/>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Cash Contributions.</w:t>
      </w:r>
      <w:r>
        <w:rPr>
          <w:rFonts w:ascii="Arial" w:cs="Arial" w:eastAsia="Arial" w:hAnsi="Arial"/>
          <w:sz w:val="14"/>
          <w:szCs w:val="14"/>
          <w:color w:val="auto"/>
        </w:rPr>
        <w:t xml:space="preserve">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r>
      <w:r>
        <w:rPr>
          <w:rFonts w:ascii="MS PGothic" w:cs="MS PGothic" w:eastAsia="MS PGothic" w:hAnsi="MS PGothic"/>
          <w:sz w:val="14"/>
          <w:szCs w:val="14"/>
          <w:color w:val="auto"/>
        </w:rPr>
        <w:t>‑</w:t>
      </w:r>
      <w:r>
        <w:rPr>
          <w:rFonts w:ascii="Arial" w:cs="Arial" w:eastAsia="Arial" w:hAnsi="Arial"/>
          <w:sz w:val="14"/>
          <w:szCs w:val="14"/>
          <w:color w:val="auto"/>
        </w:rPr>
        <w:t>423 Component.</w:t>
      </w:r>
    </w:p>
    <w:p>
      <w:pPr>
        <w:spacing w:after="0" w:line="118" w:lineRule="exact"/>
        <w:rPr>
          <w:sz w:val="20"/>
          <w:szCs w:val="20"/>
          <w:color w:val="auto"/>
        </w:rPr>
      </w:pPr>
    </w:p>
    <w:p>
      <w:pPr>
        <w:jc w:val="both"/>
        <w:ind w:firstLine="519"/>
        <w:spacing w:after="0" w:line="175" w:lineRule="exact"/>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color w:val="auto"/>
        </w:rPr>
        <w:t>Tax Withholdings.</w:t>
      </w:r>
      <w:r>
        <w:rPr>
          <w:rFonts w:ascii="Arial" w:cs="Arial" w:eastAsia="Arial" w:hAnsi="Arial"/>
          <w:sz w:val="14"/>
          <w:szCs w:val="14"/>
          <w:color w:val="auto"/>
        </w:rPr>
        <w:t xml:space="preserve">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14"/>
          <w:szCs w:val="14"/>
          <w:color w:val="auto"/>
        </w:rPr>
        <w:t>‑</w:t>
      </w:r>
      <w:r>
        <w:rPr>
          <w:rFonts w:ascii="Arial" w:cs="Arial" w:eastAsia="Arial" w:hAnsi="Arial"/>
          <w:sz w:val="14"/>
          <w:szCs w:val="14"/>
          <w:color w:val="auto"/>
        </w:rPr>
        <w:t>2(f).</w:t>
      </w:r>
    </w:p>
    <w:p>
      <w:pPr>
        <w:spacing w:after="0" w:line="120" w:lineRule="exact"/>
        <w:rPr>
          <w:sz w:val="20"/>
          <w:szCs w:val="20"/>
          <w:color w:val="auto"/>
        </w:rPr>
      </w:pPr>
    </w:p>
    <w:p>
      <w:pPr>
        <w:jc w:val="both"/>
        <w:ind w:firstLine="519"/>
        <w:spacing w:after="0" w:line="176" w:lineRule="exact"/>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Use of Funds.</w:t>
      </w:r>
      <w:r>
        <w:rPr>
          <w:rFonts w:ascii="Arial" w:cs="Arial" w:eastAsia="Arial" w:hAnsi="Arial"/>
          <w:sz w:val="14"/>
          <w:szCs w:val="14"/>
          <w:color w:val="auto"/>
        </w:rPr>
        <w:t xml:space="preserve">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14"/>
          <w:szCs w:val="14"/>
          <w:color w:val="auto"/>
        </w:rPr>
        <w:t>‑</w:t>
      </w:r>
      <w:r>
        <w:rPr>
          <w:rFonts w:ascii="Arial" w:cs="Arial" w:eastAsia="Arial" w:hAnsi="Arial"/>
          <w:sz w:val="14"/>
          <w:szCs w:val="14"/>
          <w:color w:val="auto"/>
        </w:rPr>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14"/>
          <w:szCs w:val="14"/>
          <w:color w:val="auto"/>
        </w:rPr>
        <w:t>‑</w:t>
      </w:r>
      <w:r>
        <w:rPr>
          <w:rFonts w:ascii="Arial" w:cs="Arial" w:eastAsia="Arial" w:hAnsi="Arial"/>
          <w:sz w:val="14"/>
          <w:szCs w:val="14"/>
          <w:color w:val="auto"/>
        </w:rPr>
        <w:t>2(f). Until shares of Common Stock are issued, Participants will have only the rights of an unsecured creditor with respect to such shares.</w:t>
      </w:r>
    </w:p>
    <w:p>
      <w:pPr>
        <w:spacing w:after="0" w:line="117" w:lineRule="exact"/>
        <w:rPr>
          <w:sz w:val="20"/>
          <w:szCs w:val="20"/>
          <w:color w:val="auto"/>
        </w:rPr>
      </w:pPr>
    </w:p>
    <w:p>
      <w:pPr>
        <w:jc w:val="both"/>
        <w:ind w:firstLine="266"/>
        <w:spacing w:after="0" w:line="277" w:lineRule="auto"/>
        <w:tabs>
          <w:tab w:leader="none" w:pos="519"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 xml:space="preserve">Grant of Option. </w:t>
      </w:r>
      <w:r>
        <w:rPr>
          <w:rFonts w:ascii="Arial" w:cs="Arial" w:eastAsia="Arial" w:hAnsi="Arial"/>
          <w:sz w:val="14"/>
          <w:szCs w:val="14"/>
          <w:color w:val="auto"/>
        </w:rPr>
        <w:t>On the Enrollment Date of each Offering Period, each Eligible Employee participating in such Offering Period will be granted an option to purchase on each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92" w:lineRule="exact"/>
        <w:rPr>
          <w:sz w:val="20"/>
          <w:szCs w:val="20"/>
          <w:color w:val="auto"/>
        </w:rPr>
      </w:pPr>
    </w:p>
    <w:p>
      <w:pPr>
        <w:jc w:val="both"/>
        <w:ind w:firstLine="519"/>
        <w:spacing w:after="0" w:line="270"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b w:val="1"/>
          <w:bCs w:val="1"/>
          <w:color w:val="auto"/>
        </w:rPr>
        <w:t>Certain Option Limits.</w:t>
      </w:r>
      <w:r>
        <w:rPr>
          <w:rFonts w:ascii="Arial" w:cs="Arial" w:eastAsia="Arial" w:hAnsi="Arial"/>
          <w:sz w:val="14"/>
          <w:szCs w:val="14"/>
          <w:color w:val="auto"/>
        </w:rPr>
        <w:t xml:space="preserve"> In no event will an Eligible Employee be permitted to purchase during each Offering Period more than 1,250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98"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b w:val="1"/>
          <w:bCs w:val="1"/>
          <w:color w:val="auto"/>
        </w:rPr>
        <w:t xml:space="preserve">Option Receipt. </w:t>
      </w:r>
      <w:r>
        <w:rPr>
          <w:rFonts w:ascii="Arial" w:cs="Arial" w:eastAsia="Arial" w:hAnsi="Arial"/>
          <w:sz w:val="13"/>
          <w:szCs w:val="13"/>
          <w:color w:val="auto"/>
        </w:rPr>
        <w:t>The Eligible Employee may accept the grant of an option under the Plan by electing to participate in the Plan in accordance with the requirements of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163" w:right="319" w:bottom="1440" w:gutter="0" w:footer="0" w:header="0"/>
        </w:sectPr>
      </w:pPr>
    </w:p>
    <w:bookmarkStart w:id="89" w:name="page90"/>
    <w:bookmarkEnd w:id="89"/>
    <w:p>
      <w:pPr>
        <w:ind w:firstLine="519"/>
        <w:spacing w:after="0" w:line="296"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Option Term.</w:t>
      </w:r>
      <w:r>
        <w:rPr>
          <w:rFonts w:ascii="Arial" w:cs="Arial" w:eastAsia="Arial" w:hAnsi="Arial"/>
          <w:sz w:val="14"/>
          <w:szCs w:val="14"/>
          <w:color w:val="auto"/>
        </w:rPr>
        <w:t xml:space="preserve"> Exercise of the option will occur as provided in Section 10, unless the Participant’s participation has terminated pursuant to Sections 12 or 13. The option will expire on the last day of the Offering Period.</w:t>
      </w:r>
    </w:p>
    <w:p>
      <w:pPr>
        <w:spacing w:after="0" w:line="79" w:lineRule="exact"/>
        <w:rPr>
          <w:sz w:val="20"/>
          <w:szCs w:val="20"/>
          <w:color w:val="auto"/>
        </w:rPr>
      </w:pPr>
    </w:p>
    <w:p>
      <w:pPr>
        <w:ind w:left="520" w:hanging="254"/>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b w:val="1"/>
          <w:bCs w:val="1"/>
          <w:color w:val="auto"/>
        </w:rPr>
        <w:t>Exercise of Option.</w:t>
      </w:r>
    </w:p>
    <w:p>
      <w:pPr>
        <w:spacing w:after="0" w:line="142" w:lineRule="exact"/>
        <w:rPr>
          <w:sz w:val="20"/>
          <w:szCs w:val="20"/>
          <w:color w:val="auto"/>
        </w:rPr>
      </w:pPr>
    </w:p>
    <w:p>
      <w:pPr>
        <w:jc w:val="both"/>
        <w:ind w:firstLine="519"/>
        <w:spacing w:after="0" w:line="265"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b w:val="1"/>
          <w:bCs w:val="1"/>
          <w:color w:val="auto"/>
        </w:rPr>
        <w:t>Automatic Exercise.</w:t>
      </w:r>
      <w:r>
        <w:rPr>
          <w:rFonts w:ascii="Arial" w:cs="Arial" w:eastAsia="Arial" w:hAnsi="Arial"/>
          <w:sz w:val="14"/>
          <w:szCs w:val="14"/>
          <w:color w:val="auto"/>
        </w:rPr>
        <w:t xml:space="preserve">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02" w:lineRule="exact"/>
        <w:rPr>
          <w:sz w:val="20"/>
          <w:szCs w:val="20"/>
          <w:color w:val="auto"/>
        </w:rPr>
      </w:pPr>
    </w:p>
    <w:p>
      <w:pPr>
        <w:jc w:val="both"/>
        <w:ind w:firstLine="519"/>
        <w:spacing w:after="0" w:line="285"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b w:val="1"/>
          <w:bCs w:val="1"/>
          <w:color w:val="auto"/>
        </w:rPr>
        <w:t>Pro Rata Allocations.</w:t>
      </w:r>
      <w:r>
        <w:rPr>
          <w:rFonts w:ascii="Arial" w:cs="Arial" w:eastAsia="Arial" w:hAnsi="Arial"/>
          <w:sz w:val="13"/>
          <w:szCs w:val="13"/>
          <w:color w:val="auto"/>
        </w:rPr>
        <w:t xml:space="preserve">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90" w:lineRule="exact"/>
        <w:rPr>
          <w:sz w:val="20"/>
          <w:szCs w:val="20"/>
          <w:color w:val="auto"/>
        </w:rPr>
      </w:pPr>
    </w:p>
    <w:p>
      <w:pPr>
        <w:jc w:val="both"/>
        <w:ind w:firstLine="266"/>
        <w:spacing w:after="0" w:line="264" w:lineRule="auto"/>
        <w:tabs>
          <w:tab w:leader="none" w:pos="51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xml:space="preserve">Delivery. </w:t>
      </w:r>
      <w:r>
        <w:rPr>
          <w:rFonts w:ascii="Arial" w:cs="Arial" w:eastAsia="Arial" w:hAnsi="Arial"/>
          <w:sz w:val="14"/>
          <w:szCs w:val="14"/>
          <w:color w:val="auto"/>
        </w:rPr>
        <w:t>As soon as reasonably practicable after each Exercise Date on which a purchase of shares of Common Stock occurs, the Company will arrange the delivery to each Participant</w:t>
      </w:r>
      <w:r>
        <w:rPr>
          <w:rFonts w:ascii="Arial" w:cs="Arial" w:eastAsia="Arial" w:hAnsi="Arial"/>
          <w:sz w:val="14"/>
          <w:szCs w:val="14"/>
          <w:b w:val="1"/>
          <w:bCs w:val="1"/>
          <w:color w:val="auto"/>
        </w:rPr>
        <w:t xml:space="preserve"> </w:t>
      </w:r>
      <w:r>
        <w:rPr>
          <w:rFonts w:ascii="Arial" w:cs="Arial" w:eastAsia="Arial" w:hAnsi="Arial"/>
          <w:sz w:val="14"/>
          <w:szCs w:val="14"/>
          <w:color w:val="auto"/>
        </w:rPr>
        <w:t>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02" w:lineRule="exact"/>
        <w:rPr>
          <w:rFonts w:ascii="Arial" w:cs="Arial" w:eastAsia="Arial" w:hAnsi="Arial"/>
          <w:sz w:val="14"/>
          <w:szCs w:val="14"/>
          <w:color w:val="auto"/>
        </w:rPr>
      </w:pPr>
    </w:p>
    <w:p>
      <w:pPr>
        <w:ind w:left="520" w:hanging="254"/>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Withdrawal.</w:t>
      </w:r>
    </w:p>
    <w:p>
      <w:pPr>
        <w:spacing w:after="0" w:line="142" w:lineRule="exact"/>
        <w:rPr>
          <w:sz w:val="20"/>
          <w:szCs w:val="20"/>
          <w:color w:val="auto"/>
        </w:rPr>
      </w:pPr>
    </w:p>
    <w:p>
      <w:pPr>
        <w:jc w:val="both"/>
        <w:ind w:firstLine="519"/>
        <w:spacing w:after="0" w:line="267"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b w:val="1"/>
          <w:bCs w:val="1"/>
          <w:color w:val="auto"/>
        </w:rPr>
        <w:t>Withdrawal Procedures.</w:t>
      </w:r>
      <w:r>
        <w:rPr>
          <w:rFonts w:ascii="Arial" w:cs="Arial" w:eastAsia="Arial" w:hAnsi="Arial"/>
          <w:sz w:val="14"/>
          <w:szCs w:val="14"/>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1163" w:right="319" w:bottom="1440" w:gutter="0" w:footer="0" w:header="0"/>
        </w:sectPr>
      </w:pPr>
    </w:p>
    <w:bookmarkStart w:id="90" w:name="page91"/>
    <w:bookmarkEnd w:id="90"/>
    <w:p>
      <w:pPr>
        <w:jc w:val="both"/>
        <w:spacing w:after="0" w:line="176" w:lineRule="exact"/>
        <w:rPr>
          <w:sz w:val="20"/>
          <w:szCs w:val="20"/>
          <w:color w:val="auto"/>
        </w:rPr>
      </w:pPr>
      <w:r>
        <w:rPr>
          <w:rFonts w:ascii="Arial" w:cs="Arial" w:eastAsia="Arial" w:hAnsi="Arial"/>
          <w:sz w:val="14"/>
          <w:szCs w:val="14"/>
          <w:color w:val="auto"/>
        </w:rPr>
        <w:t>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14"/>
          <w:szCs w:val="14"/>
          <w:color w:val="auto"/>
        </w:rPr>
        <w:t>‑</w:t>
      </w:r>
      <w:r>
        <w:rPr>
          <w:rFonts w:ascii="Arial" w:cs="Arial" w:eastAsia="Arial" w:hAnsi="Arial"/>
          <w:sz w:val="14"/>
          <w:szCs w:val="14"/>
          <w:color w:val="auto"/>
        </w:rPr>
        <w:t>enrolls in the Plan in accordance with the provisions of Section 7.</w:t>
      </w:r>
    </w:p>
    <w:p>
      <w:pPr>
        <w:spacing w:after="0" w:line="118"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b w:val="1"/>
          <w:bCs w:val="1"/>
          <w:color w:val="auto"/>
        </w:rPr>
        <w:t>No Effect on Future Participation.</w:t>
      </w:r>
      <w:r>
        <w:rPr>
          <w:rFonts w:ascii="Arial" w:cs="Arial" w:eastAsia="Arial" w:hAnsi="Arial"/>
          <w:sz w:val="14"/>
          <w:szCs w:val="14"/>
          <w:color w:val="auto"/>
        </w:rPr>
        <w:t xml:space="preserve">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79" w:lineRule="exact"/>
        <w:rPr>
          <w:sz w:val="20"/>
          <w:szCs w:val="20"/>
          <w:color w:val="auto"/>
        </w:rPr>
      </w:pPr>
    </w:p>
    <w:p>
      <w:pPr>
        <w:jc w:val="both"/>
        <w:ind w:firstLine="266"/>
        <w:spacing w:after="0" w:line="175" w:lineRule="exact"/>
        <w:tabs>
          <w:tab w:leader="none" w:pos="516"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 xml:space="preserve">Termination of Employment. </w:t>
      </w:r>
      <w:r>
        <w:rPr>
          <w:rFonts w:ascii="Arial" w:cs="Arial" w:eastAsia="Arial" w:hAnsi="Arial"/>
          <w:sz w:val="13"/>
          <w:szCs w:val="13"/>
          <w:color w:val="auto"/>
        </w:rPr>
        <w:t>Upon a Participant’s ceasing to be an Eligible Employee, for any reason, he or she will be deemed to have elected to withdraw from the Plan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13"/>
          <w:szCs w:val="13"/>
          <w:color w:val="auto"/>
        </w:rPr>
        <w:t>‑</w:t>
      </w:r>
      <w:r>
        <w:rPr>
          <w:rFonts w:ascii="Arial" w:cs="Arial" w:eastAsia="Arial" w:hAnsi="Arial"/>
          <w:sz w:val="13"/>
          <w:szCs w:val="13"/>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13"/>
          <w:szCs w:val="13"/>
          <w:color w:val="auto"/>
        </w:rPr>
        <w:t>‑</w:t>
      </w:r>
      <w:r>
        <w:rPr>
          <w:rFonts w:ascii="Arial" w:cs="Arial" w:eastAsia="Arial" w:hAnsi="Arial"/>
          <w:sz w:val="13"/>
          <w:szCs w:val="13"/>
          <w:color w:val="auto"/>
        </w:rPr>
        <w:t>423 Component to an Offering under the 423 Component or vice versa unless (and then only to the extent) such switch would not cause the 423 Component or any option thereunder to fail to comply with Code Section 423.</w:t>
      </w:r>
    </w:p>
    <w:p>
      <w:pPr>
        <w:spacing w:after="0" w:line="119" w:lineRule="exact"/>
        <w:rPr>
          <w:rFonts w:ascii="Arial" w:cs="Arial" w:eastAsia="Arial" w:hAnsi="Arial"/>
          <w:sz w:val="13"/>
          <w:szCs w:val="13"/>
          <w:color w:val="auto"/>
        </w:rPr>
      </w:pPr>
    </w:p>
    <w:p>
      <w:pPr>
        <w:jc w:val="both"/>
        <w:ind w:firstLine="266"/>
        <w:spacing w:after="0" w:line="262" w:lineRule="auto"/>
        <w:tabs>
          <w:tab w:leader="none" w:pos="516"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 xml:space="preserve">Section 409A. </w:t>
      </w:r>
      <w:r>
        <w:rPr>
          <w:rFonts w:ascii="Arial" w:cs="Arial" w:eastAsia="Arial" w:hAnsi="Arial"/>
          <w:sz w:val="14"/>
          <w:szCs w:val="14"/>
          <w:color w:val="auto"/>
        </w:rPr>
        <w:t>The Plan is intended to be exempt from the application of Section 409A, and, to the extent not exempt, is intended to comply with Section 409A and any ambiguities</w:t>
      </w:r>
      <w:r>
        <w:rPr>
          <w:rFonts w:ascii="Arial" w:cs="Arial" w:eastAsia="Arial" w:hAnsi="Arial"/>
          <w:sz w:val="14"/>
          <w:szCs w:val="14"/>
          <w:b w:val="1"/>
          <w:bCs w:val="1"/>
          <w:color w:val="auto"/>
        </w:rPr>
        <w:t xml:space="preserve"> </w:t>
      </w:r>
      <w:r>
        <w:rPr>
          <w:rFonts w:ascii="Arial" w:cs="Arial" w:eastAsia="Arial" w:hAnsi="Arial"/>
          <w:sz w:val="14"/>
          <w:szCs w:val="14"/>
          <w:color w:val="auto"/>
        </w:rPr>
        <w:t>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06" w:lineRule="exact"/>
        <w:rPr>
          <w:rFonts w:ascii="Arial" w:cs="Arial" w:eastAsia="Arial" w:hAnsi="Arial"/>
          <w:sz w:val="14"/>
          <w:szCs w:val="14"/>
          <w:color w:val="auto"/>
        </w:rPr>
      </w:pPr>
    </w:p>
    <w:p>
      <w:pPr>
        <w:jc w:val="both"/>
        <w:ind w:firstLine="266"/>
        <w:spacing w:after="0" w:line="270" w:lineRule="auto"/>
        <w:tabs>
          <w:tab w:leader="none" w:pos="516"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 xml:space="preserve">Rights as Stockholder. </w:t>
      </w:r>
      <w:r>
        <w:rPr>
          <w:rFonts w:ascii="Arial" w:cs="Arial" w:eastAsia="Arial" w:hAnsi="Arial"/>
          <w:sz w:val="14"/>
          <w:szCs w:val="14"/>
          <w:color w:val="auto"/>
        </w:rPr>
        <w:t>Until the shares of Common Stock are issued (as evidenced by the appropriate entry on the books of the Company or of a duly authorized transfer agent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97" w:lineRule="exact"/>
        <w:rPr>
          <w:rFonts w:ascii="Arial" w:cs="Arial" w:eastAsia="Arial" w:hAnsi="Arial"/>
          <w:sz w:val="14"/>
          <w:szCs w:val="14"/>
          <w:color w:val="auto"/>
        </w:rPr>
      </w:pPr>
    </w:p>
    <w:p>
      <w:pPr>
        <w:jc w:val="both"/>
        <w:ind w:firstLine="266"/>
        <w:spacing w:after="0" w:line="307" w:lineRule="auto"/>
        <w:tabs>
          <w:tab w:leader="none" w:pos="516"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 xml:space="preserve">Transferability. </w:t>
      </w:r>
      <w:r>
        <w:rPr>
          <w:rFonts w:ascii="Arial" w:cs="Arial" w:eastAsia="Arial" w:hAnsi="Arial"/>
          <w:sz w:val="13"/>
          <w:szCs w:val="13"/>
          <w:color w:val="auto"/>
        </w:rPr>
        <w:t>Neither Contributions credited to a Participant’s account nor any rights with regard to the exercise of an option or to receive shares of Common Stock under the Plan</w:t>
      </w:r>
      <w:r>
        <w:rPr>
          <w:rFonts w:ascii="Arial" w:cs="Arial" w:eastAsia="Arial" w:hAnsi="Arial"/>
          <w:sz w:val="13"/>
          <w:szCs w:val="13"/>
          <w:b w:val="1"/>
          <w:bCs w:val="1"/>
          <w:color w:val="auto"/>
        </w:rPr>
        <w:t xml:space="preserve"> </w:t>
      </w:r>
      <w:r>
        <w:rPr>
          <w:rFonts w:ascii="Arial" w:cs="Arial" w:eastAsia="Arial" w:hAnsi="Arial"/>
          <w:sz w:val="13"/>
          <w:szCs w:val="13"/>
          <w:color w:val="auto"/>
        </w:rPr>
        <w:t>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167" w:right="319" w:bottom="1440" w:gutter="0" w:footer="0" w:header="0"/>
        </w:sectPr>
      </w:pPr>
    </w:p>
    <w:bookmarkStart w:id="91" w:name="page92"/>
    <w:bookmarkEnd w:id="91"/>
    <w:p>
      <w:pPr>
        <w:ind w:left="520" w:hanging="254"/>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Adjustments, Dissolution, Liquidation, Merger or Change in Control.</w:t>
      </w:r>
    </w:p>
    <w:p>
      <w:pPr>
        <w:spacing w:after="0" w:line="142" w:lineRule="exact"/>
        <w:rPr>
          <w:sz w:val="20"/>
          <w:szCs w:val="20"/>
          <w:color w:val="auto"/>
        </w:rPr>
      </w:pPr>
    </w:p>
    <w:p>
      <w:pPr>
        <w:jc w:val="both"/>
        <w:ind w:firstLine="519"/>
        <w:spacing w:after="0" w:line="176" w:lineRule="exact"/>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b w:val="1"/>
          <w:bCs w:val="1"/>
          <w:color w:val="auto"/>
        </w:rPr>
        <w:t>Adjustments.</w:t>
      </w:r>
      <w:r>
        <w:rPr>
          <w:rFonts w:ascii="Arial" w:cs="Arial" w:eastAsia="Arial" w:hAnsi="Arial"/>
          <w:sz w:val="14"/>
          <w:szCs w:val="14"/>
          <w:color w:val="auto"/>
        </w:rPr>
        <w:t xml:space="preserve">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14"/>
          <w:szCs w:val="14"/>
          <w:color w:val="auto"/>
        </w:rPr>
        <w:t>‑</w:t>
      </w:r>
      <w:r>
        <w:rPr>
          <w:rFonts w:ascii="Arial" w:cs="Arial" w:eastAsia="Arial" w:hAnsi="Arial"/>
          <w:sz w:val="14"/>
          <w:szCs w:val="14"/>
          <w:color w:val="auto"/>
        </w:rPr>
        <w:t>up, spin</w:t>
      </w:r>
      <w:r>
        <w:rPr>
          <w:rFonts w:ascii="MS PGothic" w:cs="MS PGothic" w:eastAsia="MS PGothic" w:hAnsi="MS PGothic"/>
          <w:sz w:val="14"/>
          <w:szCs w:val="14"/>
          <w:color w:val="auto"/>
        </w:rPr>
        <w:t>‑</w:t>
      </w:r>
      <w:r>
        <w:rPr>
          <w:rFonts w:ascii="Arial" w:cs="Arial" w:eastAsia="Arial" w:hAnsi="Arial"/>
          <w:sz w:val="14"/>
          <w:szCs w:val="14"/>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18" w:lineRule="exact"/>
        <w:rPr>
          <w:sz w:val="20"/>
          <w:szCs w:val="20"/>
          <w:color w:val="auto"/>
        </w:rPr>
      </w:pPr>
    </w:p>
    <w:p>
      <w:pPr>
        <w:jc w:val="both"/>
        <w:ind w:firstLine="519"/>
        <w:spacing w:after="0" w:line="265" w:lineRule="auto"/>
        <w:rPr>
          <w:sz w:val="20"/>
          <w:szCs w:val="20"/>
          <w:color w:val="auto"/>
        </w:rPr>
      </w:pPr>
      <w:r>
        <w:rPr>
          <w:rFonts w:ascii="Arial" w:cs="Arial" w:eastAsia="Arial" w:hAnsi="Arial"/>
          <w:sz w:val="14"/>
          <w:szCs w:val="14"/>
          <w:color w:val="auto"/>
        </w:rPr>
        <w:t xml:space="preserve">17.2. </w:t>
      </w:r>
      <w:r>
        <w:rPr>
          <w:rFonts w:ascii="Arial" w:cs="Arial" w:eastAsia="Arial" w:hAnsi="Arial"/>
          <w:sz w:val="14"/>
          <w:szCs w:val="14"/>
          <w:b w:val="1"/>
          <w:bCs w:val="1"/>
          <w:color w:val="auto"/>
        </w:rPr>
        <w:t>Dissolution or Liquidation.</w:t>
      </w:r>
      <w:r>
        <w:rPr>
          <w:rFonts w:ascii="Arial" w:cs="Arial" w:eastAsia="Arial" w:hAnsi="Arial"/>
          <w:sz w:val="14"/>
          <w:szCs w:val="14"/>
          <w:color w:val="auto"/>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02"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4"/>
          <w:szCs w:val="14"/>
          <w:color w:val="auto"/>
        </w:rPr>
        <w:t xml:space="preserve">17.3. </w:t>
      </w:r>
      <w:r>
        <w:rPr>
          <w:rFonts w:ascii="Arial" w:cs="Arial" w:eastAsia="Arial" w:hAnsi="Arial"/>
          <w:sz w:val="14"/>
          <w:szCs w:val="14"/>
          <w:b w:val="1"/>
          <w:bCs w:val="1"/>
          <w:color w:val="auto"/>
        </w:rPr>
        <w:t>Merger or Change in Control.</w:t>
      </w:r>
      <w:r>
        <w:rPr>
          <w:rFonts w:ascii="Arial" w:cs="Arial" w:eastAsia="Arial" w:hAnsi="Arial"/>
          <w:sz w:val="14"/>
          <w:szCs w:val="14"/>
          <w:color w:val="auto"/>
        </w:rPr>
        <w:t xml:space="preserve">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02" w:lineRule="exact"/>
        <w:rPr>
          <w:sz w:val="20"/>
          <w:szCs w:val="20"/>
          <w:color w:val="auto"/>
        </w:rPr>
      </w:pPr>
    </w:p>
    <w:p>
      <w:pPr>
        <w:ind w:left="520" w:hanging="254"/>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b w:val="1"/>
          <w:bCs w:val="1"/>
          <w:color w:val="auto"/>
        </w:rPr>
        <w:t>Amendment or Termination.</w:t>
      </w:r>
    </w:p>
    <w:p>
      <w:pPr>
        <w:spacing w:after="0" w:line="142" w:lineRule="exact"/>
        <w:rPr>
          <w:sz w:val="20"/>
          <w:szCs w:val="20"/>
          <w:color w:val="auto"/>
        </w:rPr>
      </w:pPr>
    </w:p>
    <w:p>
      <w:pPr>
        <w:jc w:val="both"/>
        <w:ind w:firstLine="519"/>
        <w:spacing w:after="0" w:line="265" w:lineRule="auto"/>
        <w:rPr>
          <w:sz w:val="20"/>
          <w:szCs w:val="20"/>
          <w:color w:val="auto"/>
        </w:rPr>
      </w:pPr>
      <w:r>
        <w:rPr>
          <w:rFonts w:ascii="Arial" w:cs="Arial" w:eastAsia="Arial" w:hAnsi="Arial"/>
          <w:sz w:val="14"/>
          <w:szCs w:val="14"/>
          <w:color w:val="auto"/>
        </w:rPr>
        <w:t xml:space="preserve">18.1. </w:t>
      </w:r>
      <w:r>
        <w:rPr>
          <w:rFonts w:ascii="Arial" w:cs="Arial" w:eastAsia="Arial" w:hAnsi="Arial"/>
          <w:sz w:val="14"/>
          <w:szCs w:val="14"/>
          <w:b w:val="1"/>
          <w:bCs w:val="1"/>
          <w:color w:val="auto"/>
        </w:rPr>
        <w:t>Amendment, Suspension, Termination.</w:t>
      </w:r>
      <w:r>
        <w:rPr>
          <w:rFonts w:ascii="Arial" w:cs="Arial" w:eastAsia="Arial" w:hAnsi="Arial"/>
          <w:sz w:val="14"/>
          <w:szCs w:val="14"/>
          <w:color w:val="auto"/>
        </w:rPr>
        <w:t xml:space="preserve"> 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02" w:lineRule="exact"/>
        <w:rPr>
          <w:sz w:val="20"/>
          <w:szCs w:val="20"/>
          <w:color w:val="auto"/>
        </w:rPr>
      </w:pPr>
    </w:p>
    <w:p>
      <w:pPr>
        <w:jc w:val="both"/>
        <w:ind w:firstLine="519"/>
        <w:spacing w:after="0" w:line="265" w:lineRule="auto"/>
        <w:rPr>
          <w:sz w:val="20"/>
          <w:szCs w:val="20"/>
          <w:color w:val="auto"/>
        </w:rPr>
      </w:pPr>
      <w:r>
        <w:rPr>
          <w:rFonts w:ascii="Arial" w:cs="Arial" w:eastAsia="Arial" w:hAnsi="Arial"/>
          <w:sz w:val="14"/>
          <w:szCs w:val="14"/>
          <w:color w:val="auto"/>
        </w:rPr>
        <w:t xml:space="preserve">18.2. </w:t>
      </w:r>
      <w:r>
        <w:rPr>
          <w:rFonts w:ascii="Arial" w:cs="Arial" w:eastAsia="Arial" w:hAnsi="Arial"/>
          <w:sz w:val="14"/>
          <w:szCs w:val="14"/>
          <w:b w:val="1"/>
          <w:bCs w:val="1"/>
          <w:color w:val="auto"/>
        </w:rPr>
        <w:t>Certain Administrator Changes</w:t>
      </w:r>
      <w:r>
        <w:rPr>
          <w:rFonts w:ascii="Arial" w:cs="Arial" w:eastAsia="Arial" w:hAnsi="Arial"/>
          <w:sz w:val="14"/>
          <w:szCs w:val="14"/>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1163" w:right="319" w:bottom="1440" w:gutter="0" w:footer="0" w:header="0"/>
        </w:sectPr>
      </w:pPr>
    </w:p>
    <w:bookmarkStart w:id="92" w:name="page93"/>
    <w:bookmarkEnd w:id="92"/>
    <w:p>
      <w:pPr>
        <w:jc w:val="both"/>
        <w:ind w:firstLine="519"/>
        <w:spacing w:after="0" w:line="277" w:lineRule="auto"/>
        <w:rPr>
          <w:sz w:val="20"/>
          <w:szCs w:val="20"/>
          <w:color w:val="auto"/>
        </w:rPr>
      </w:pPr>
      <w:r>
        <w:rPr>
          <w:rFonts w:ascii="Arial" w:cs="Arial" w:eastAsia="Arial" w:hAnsi="Arial"/>
          <w:sz w:val="14"/>
          <w:szCs w:val="14"/>
          <w:color w:val="auto"/>
        </w:rPr>
        <w:t xml:space="preserve">18.3. </w:t>
      </w:r>
      <w:r>
        <w:rPr>
          <w:rFonts w:ascii="Arial" w:cs="Arial" w:eastAsia="Arial" w:hAnsi="Arial"/>
          <w:sz w:val="14"/>
          <w:szCs w:val="14"/>
          <w:b w:val="1"/>
          <w:bCs w:val="1"/>
          <w:color w:val="auto"/>
        </w:rPr>
        <w:t>Changes Due to Accounting Consequences.</w:t>
      </w:r>
      <w:r>
        <w:rPr>
          <w:rFonts w:ascii="Arial" w:cs="Arial" w:eastAsia="Arial" w:hAnsi="Arial"/>
          <w:sz w:val="14"/>
          <w:szCs w:val="14"/>
          <w:color w:val="auto"/>
        </w:rPr>
        <w:t xml:space="preserve">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96" w:lineRule="exact"/>
        <w:rPr>
          <w:sz w:val="20"/>
          <w:szCs w:val="20"/>
          <w:color w:val="auto"/>
        </w:rPr>
      </w:pPr>
    </w:p>
    <w:p>
      <w:pPr>
        <w:ind w:firstLine="1045"/>
        <w:spacing w:after="0" w:line="290" w:lineRule="auto"/>
        <w:tabs>
          <w:tab w:leader="none" w:pos="1556" w:val="left"/>
        </w:tabs>
        <w:numPr>
          <w:ilvl w:val="0"/>
          <w:numId w:val="82"/>
        </w:numPr>
        <w:rPr>
          <w:rFonts w:ascii="Arial" w:cs="Arial" w:eastAsia="Arial" w:hAnsi="Arial"/>
          <w:sz w:val="14"/>
          <w:szCs w:val="14"/>
          <w:color w:val="auto"/>
        </w:rPr>
      </w:pPr>
      <w:r>
        <w:rPr>
          <w:rFonts w:ascii="Arial" w:cs="Arial" w:eastAsia="Arial" w:hAnsi="Arial"/>
          <w:sz w:val="14"/>
          <w:szCs w:val="14"/>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87" w:lineRule="exact"/>
        <w:rPr>
          <w:rFonts w:ascii="Arial" w:cs="Arial" w:eastAsia="Arial" w:hAnsi="Arial"/>
          <w:sz w:val="14"/>
          <w:szCs w:val="14"/>
          <w:color w:val="auto"/>
        </w:rPr>
      </w:pPr>
    </w:p>
    <w:p>
      <w:pPr>
        <w:ind w:left="1560" w:hanging="515"/>
        <w:spacing w:after="0"/>
        <w:tabs>
          <w:tab w:leader="none" w:pos="1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altering the Purchase Price for any Purchase Period or Offering Period including a Purchase Period or Offering Period underway at the time of the change in Purchase</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Price;</w:t>
      </w:r>
    </w:p>
    <w:p>
      <w:pPr>
        <w:spacing w:after="0" w:line="132" w:lineRule="exact"/>
        <w:rPr>
          <w:rFonts w:ascii="Arial" w:cs="Arial" w:eastAsia="Arial" w:hAnsi="Arial"/>
          <w:sz w:val="13"/>
          <w:szCs w:val="13"/>
          <w:color w:val="auto"/>
        </w:rPr>
      </w:pPr>
    </w:p>
    <w:p>
      <w:pPr>
        <w:ind w:left="1560" w:hanging="515"/>
        <w:spacing w:after="0"/>
        <w:tabs>
          <w:tab w:leader="none" w:pos="15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shortening any Purchase Period or Offering Period by setting a New Exercise Date, including a Purchase Period or Offering Period underway at the time of the</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Administrator action;</w:t>
      </w:r>
    </w:p>
    <w:p>
      <w:pPr>
        <w:spacing w:after="0" w:line="132" w:lineRule="exact"/>
        <w:rPr>
          <w:rFonts w:ascii="Arial" w:cs="Arial" w:eastAsia="Arial" w:hAnsi="Arial"/>
          <w:sz w:val="13"/>
          <w:szCs w:val="13"/>
          <w:color w:val="auto"/>
        </w:rPr>
      </w:pPr>
    </w:p>
    <w:p>
      <w:pPr>
        <w:ind w:left="1560" w:hanging="515"/>
        <w:spacing w:after="0"/>
        <w:tabs>
          <w:tab w:leader="none" w:pos="15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reducing the maximum percentage of Compensation a Participant may elect to set aside as Contributions; and</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reducing the maximum number of shares of Common Stock a Participant may purchase during any Purchase Period or Offering Period.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Such modifications or amendments will not require stockholder approval or the consent of any Plan Participants.</w:t>
      </w:r>
    </w:p>
    <w:p>
      <w:pPr>
        <w:spacing w:after="0" w:line="138" w:lineRule="exact"/>
        <w:rPr>
          <w:sz w:val="20"/>
          <w:szCs w:val="20"/>
          <w:color w:val="auto"/>
        </w:rPr>
      </w:pPr>
    </w:p>
    <w:p>
      <w:pPr>
        <w:ind w:left="520" w:hanging="254"/>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b w:val="1"/>
          <w:bCs w:val="1"/>
          <w:color w:val="auto"/>
        </w:rPr>
        <w:t>Conditions Upon Issuance of Shares.</w:t>
      </w:r>
    </w:p>
    <w:p>
      <w:pPr>
        <w:spacing w:after="0" w:line="142" w:lineRule="exact"/>
        <w:rPr>
          <w:sz w:val="20"/>
          <w:szCs w:val="20"/>
          <w:color w:val="auto"/>
        </w:rPr>
      </w:pPr>
    </w:p>
    <w:p>
      <w:pPr>
        <w:jc w:val="both"/>
        <w:ind w:firstLine="519"/>
        <w:spacing w:after="0" w:line="296" w:lineRule="auto"/>
        <w:rPr>
          <w:sz w:val="20"/>
          <w:szCs w:val="20"/>
          <w:color w:val="auto"/>
        </w:rPr>
      </w:pPr>
      <w:r>
        <w:rPr>
          <w:rFonts w:ascii="Arial" w:cs="Arial" w:eastAsia="Arial" w:hAnsi="Arial"/>
          <w:sz w:val="14"/>
          <w:szCs w:val="14"/>
          <w:color w:val="auto"/>
        </w:rPr>
        <w:t xml:space="preserve">19.1. </w:t>
      </w:r>
      <w:r>
        <w:rPr>
          <w:rFonts w:ascii="Arial" w:cs="Arial" w:eastAsia="Arial" w:hAnsi="Arial"/>
          <w:sz w:val="14"/>
          <w:szCs w:val="14"/>
          <w:b w:val="1"/>
          <w:bCs w:val="1"/>
          <w:color w:val="auto"/>
        </w:rPr>
        <w:t>Legal Compliance.</w:t>
      </w:r>
      <w:r>
        <w:rPr>
          <w:rFonts w:ascii="Arial" w:cs="Arial" w:eastAsia="Arial" w:hAnsi="Arial"/>
          <w:sz w:val="14"/>
          <w:szCs w:val="14"/>
          <w:color w:val="auto"/>
        </w:rPr>
        <w:t xml:space="preserve">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7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19.2. </w:t>
      </w:r>
      <w:r>
        <w:rPr>
          <w:rFonts w:ascii="Arial" w:cs="Arial" w:eastAsia="Arial" w:hAnsi="Arial"/>
          <w:sz w:val="14"/>
          <w:szCs w:val="14"/>
          <w:b w:val="1"/>
          <w:bCs w:val="1"/>
          <w:color w:val="auto"/>
        </w:rPr>
        <w:t>Investment Representations</w:t>
      </w:r>
      <w:r>
        <w:rPr>
          <w:rFonts w:ascii="Arial" w:cs="Arial" w:eastAsia="Arial" w:hAnsi="Arial"/>
          <w:sz w:val="14"/>
          <w:szCs w:val="14"/>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92" w:lineRule="exact"/>
        <w:rPr>
          <w:sz w:val="20"/>
          <w:szCs w:val="20"/>
          <w:color w:val="auto"/>
        </w:rPr>
      </w:pPr>
    </w:p>
    <w:p>
      <w:pPr>
        <w:ind w:firstLine="266"/>
        <w:spacing w:after="0" w:line="296" w:lineRule="auto"/>
        <w:tabs>
          <w:tab w:leader="none" w:pos="516" w:val="left"/>
        </w:tabs>
        <w:numPr>
          <w:ilvl w:val="0"/>
          <w:numId w:val="84"/>
        </w:numPr>
        <w:rPr>
          <w:rFonts w:ascii="Arial" w:cs="Arial" w:eastAsia="Arial" w:hAnsi="Arial"/>
          <w:sz w:val="14"/>
          <w:szCs w:val="14"/>
          <w:color w:val="auto"/>
        </w:rPr>
      </w:pPr>
      <w:r>
        <w:rPr>
          <w:rFonts w:ascii="Arial" w:cs="Arial" w:eastAsia="Arial" w:hAnsi="Arial"/>
          <w:sz w:val="14"/>
          <w:szCs w:val="14"/>
          <w:b w:val="1"/>
          <w:bCs w:val="1"/>
          <w:color w:val="auto"/>
        </w:rPr>
        <w:t xml:space="preserve">Term of Plan. </w:t>
      </w:r>
      <w:r>
        <w:rPr>
          <w:rFonts w:ascii="Arial" w:cs="Arial" w:eastAsia="Arial" w:hAnsi="Arial"/>
          <w:sz w:val="14"/>
          <w:szCs w:val="14"/>
          <w:color w:val="auto"/>
        </w:rPr>
        <w:t>The Plan will become effective upon the later to occur of (a) its adoption by the Board, (b) approval by the Company’s stockholders, or (c) the time as of immediately</w:t>
      </w:r>
      <w:r>
        <w:rPr>
          <w:rFonts w:ascii="Arial" w:cs="Arial" w:eastAsia="Arial" w:hAnsi="Arial"/>
          <w:sz w:val="14"/>
          <w:szCs w:val="14"/>
          <w:b w:val="1"/>
          <w:bCs w:val="1"/>
          <w:color w:val="auto"/>
        </w:rPr>
        <w:t xml:space="preserve"> </w:t>
      </w:r>
      <w:r>
        <w:rPr>
          <w:rFonts w:ascii="Arial" w:cs="Arial" w:eastAsia="Arial" w:hAnsi="Arial"/>
          <w:sz w:val="14"/>
          <w:szCs w:val="14"/>
          <w:color w:val="auto"/>
        </w:rPr>
        <w:t>prior to the completion of the Merger. The Plan will continue in effect for a term of twenty (20) years, unless sooner terminated under Section 18.</w:t>
      </w:r>
    </w:p>
    <w:p>
      <w:pPr>
        <w:spacing w:after="0" w:line="78" w:lineRule="exact"/>
        <w:rPr>
          <w:rFonts w:ascii="Arial" w:cs="Arial" w:eastAsia="Arial" w:hAnsi="Arial"/>
          <w:sz w:val="14"/>
          <w:szCs w:val="14"/>
          <w:color w:val="auto"/>
        </w:rPr>
      </w:pPr>
    </w:p>
    <w:p>
      <w:pPr>
        <w:ind w:firstLine="266"/>
        <w:spacing w:after="0" w:line="296" w:lineRule="auto"/>
        <w:tabs>
          <w:tab w:leader="none" w:pos="516" w:val="left"/>
        </w:tabs>
        <w:numPr>
          <w:ilvl w:val="0"/>
          <w:numId w:val="84"/>
        </w:numPr>
        <w:rPr>
          <w:rFonts w:ascii="Arial" w:cs="Arial" w:eastAsia="Arial" w:hAnsi="Arial"/>
          <w:sz w:val="14"/>
          <w:szCs w:val="14"/>
          <w:color w:val="auto"/>
        </w:rPr>
      </w:pPr>
      <w:r>
        <w:rPr>
          <w:rFonts w:ascii="Arial" w:cs="Arial" w:eastAsia="Arial" w:hAnsi="Arial"/>
          <w:sz w:val="14"/>
          <w:szCs w:val="14"/>
          <w:b w:val="1"/>
          <w:bCs w:val="1"/>
          <w:color w:val="auto"/>
        </w:rPr>
        <w:t xml:space="preserve">Stockholder Approval. </w:t>
      </w:r>
      <w:r>
        <w:rPr>
          <w:rFonts w:ascii="Arial" w:cs="Arial" w:eastAsia="Arial" w:hAnsi="Arial"/>
          <w:sz w:val="14"/>
          <w:szCs w:val="14"/>
          <w:color w:val="auto"/>
        </w:rPr>
        <w:t>The Plan will be subject to approval by the stockholders of the Company within twelve (12) months after the date the Plan is adopted by the Board. Such</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 approval will be obtained in the manner and to the degree required under Applicable Laws.</w:t>
      </w:r>
    </w:p>
    <w:p>
      <w:pPr>
        <w:spacing w:after="0" w:line="78" w:lineRule="exact"/>
        <w:rPr>
          <w:rFonts w:ascii="Arial" w:cs="Arial" w:eastAsia="Arial" w:hAnsi="Arial"/>
          <w:sz w:val="14"/>
          <w:szCs w:val="14"/>
          <w:color w:val="auto"/>
        </w:rPr>
      </w:pPr>
    </w:p>
    <w:p>
      <w:pPr>
        <w:jc w:val="both"/>
        <w:ind w:firstLine="266"/>
        <w:spacing w:after="0" w:line="178" w:lineRule="exact"/>
        <w:tabs>
          <w:tab w:leader="none" w:pos="516" w:val="left"/>
        </w:tabs>
        <w:numPr>
          <w:ilvl w:val="0"/>
          <w:numId w:val="84"/>
        </w:numPr>
        <w:rPr>
          <w:rFonts w:ascii="Arial" w:cs="Arial" w:eastAsia="Arial" w:hAnsi="Arial"/>
          <w:sz w:val="14"/>
          <w:szCs w:val="14"/>
          <w:color w:val="auto"/>
        </w:rPr>
      </w:pPr>
      <w:r>
        <w:rPr>
          <w:rFonts w:ascii="Arial" w:cs="Arial" w:eastAsia="Arial" w:hAnsi="Arial"/>
          <w:sz w:val="14"/>
          <w:szCs w:val="14"/>
          <w:b w:val="1"/>
          <w:bCs w:val="1"/>
          <w:color w:val="auto"/>
        </w:rPr>
        <w:t xml:space="preserve">Interest. </w:t>
      </w:r>
      <w:r>
        <w:rPr>
          <w:rFonts w:ascii="Arial" w:cs="Arial" w:eastAsia="Arial" w:hAnsi="Arial"/>
          <w:sz w:val="14"/>
          <w:szCs w:val="14"/>
          <w:color w:val="auto"/>
        </w:rPr>
        <w:t>No interest will accrue on the Contributions of a participant in the Plan, except as may be required by Applicable Laws, as determined by the Company, and if so required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14"/>
          <w:szCs w:val="14"/>
          <w:color w:val="auto"/>
        </w:rPr>
        <w:t>‑</w:t>
      </w:r>
      <w:r>
        <w:rPr>
          <w:rFonts w:ascii="Arial" w:cs="Arial" w:eastAsia="Arial" w:hAnsi="Arial"/>
          <w:sz w:val="14"/>
          <w:szCs w:val="14"/>
          <w:color w:val="auto"/>
        </w:rPr>
        <w:t>2(f).</w:t>
      </w:r>
    </w:p>
    <w:p>
      <w:pPr>
        <w:spacing w:after="0" w:line="117" w:lineRule="exact"/>
        <w:rPr>
          <w:rFonts w:ascii="Arial" w:cs="Arial" w:eastAsia="Arial" w:hAnsi="Arial"/>
          <w:sz w:val="14"/>
          <w:szCs w:val="14"/>
          <w:color w:val="auto"/>
        </w:rPr>
      </w:pPr>
    </w:p>
    <w:p>
      <w:pPr>
        <w:jc w:val="both"/>
        <w:ind w:firstLine="266"/>
        <w:spacing w:after="0" w:line="277" w:lineRule="auto"/>
        <w:tabs>
          <w:tab w:leader="none" w:pos="516" w:val="left"/>
        </w:tabs>
        <w:numPr>
          <w:ilvl w:val="0"/>
          <w:numId w:val="84"/>
        </w:numPr>
        <w:rPr>
          <w:rFonts w:ascii="Arial" w:cs="Arial" w:eastAsia="Arial" w:hAnsi="Arial"/>
          <w:sz w:val="14"/>
          <w:szCs w:val="14"/>
          <w:color w:val="auto"/>
        </w:rPr>
      </w:pPr>
      <w:r>
        <w:rPr>
          <w:rFonts w:ascii="Arial" w:cs="Arial" w:eastAsia="Arial" w:hAnsi="Arial"/>
          <w:sz w:val="14"/>
          <w:szCs w:val="14"/>
          <w:b w:val="1"/>
          <w:bCs w:val="1"/>
          <w:color w:val="auto"/>
        </w:rPr>
        <w:t xml:space="preserve">No Effect on Employment. </w:t>
      </w:r>
      <w:r>
        <w:rPr>
          <w:rFonts w:ascii="Arial" w:cs="Arial" w:eastAsia="Arial" w:hAnsi="Arial"/>
          <w:sz w:val="14"/>
          <w:szCs w:val="14"/>
          <w:color w:val="auto"/>
        </w:rPr>
        <w:t>Neither the Plan nor any option under the Plan will confer upon any Participant any right with respect to continuing the Participant’s employment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91" w:lineRule="exact"/>
        <w:rPr>
          <w:rFonts w:ascii="Arial" w:cs="Arial" w:eastAsia="Arial" w:hAnsi="Arial"/>
          <w:sz w:val="14"/>
          <w:szCs w:val="14"/>
          <w:color w:val="auto"/>
        </w:rPr>
      </w:pPr>
    </w:p>
    <w:p>
      <w:pPr>
        <w:ind w:firstLine="266"/>
        <w:spacing w:after="0" w:line="296" w:lineRule="auto"/>
        <w:tabs>
          <w:tab w:leader="none" w:pos="516" w:val="left"/>
        </w:tabs>
        <w:numPr>
          <w:ilvl w:val="0"/>
          <w:numId w:val="84"/>
        </w:numPr>
        <w:rPr>
          <w:rFonts w:ascii="Arial" w:cs="Arial" w:eastAsia="Arial" w:hAnsi="Arial"/>
          <w:sz w:val="14"/>
          <w:szCs w:val="14"/>
          <w:color w:val="auto"/>
        </w:rPr>
      </w:pPr>
      <w:r>
        <w:rPr>
          <w:rFonts w:ascii="Arial" w:cs="Arial" w:eastAsia="Arial" w:hAnsi="Arial"/>
          <w:sz w:val="14"/>
          <w:szCs w:val="14"/>
          <w:b w:val="1"/>
          <w:bCs w:val="1"/>
          <w:color w:val="auto"/>
        </w:rPr>
        <w:t>Reports</w:t>
      </w:r>
      <w:r>
        <w:rPr>
          <w:rFonts w:ascii="Arial" w:cs="Arial" w:eastAsia="Arial" w:hAnsi="Arial"/>
          <w:sz w:val="14"/>
          <w:szCs w:val="14"/>
          <w:color w:val="auto"/>
        </w:rPr>
        <w:t>. Individual accounts will be maintained for each Participant in the Plan. Statements of account will be given to participating Eligible Employees at least annually, which</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statements will set forth the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1163"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auto"/>
        </w:rPr>
        <w:t>Contributions, the Purchase Price, the number of shares of Common Stock purchased and the remaining cash balance, if any.</w:t>
      </w:r>
    </w:p>
    <w:p>
      <w:pPr>
        <w:spacing w:after="0" w:line="138" w:lineRule="exact"/>
        <w:rPr>
          <w:sz w:val="20"/>
          <w:szCs w:val="20"/>
          <w:color w:val="auto"/>
        </w:rPr>
      </w:pPr>
    </w:p>
    <w:p>
      <w:pPr>
        <w:ind w:firstLine="266"/>
        <w:spacing w:after="0" w:line="296" w:lineRule="auto"/>
        <w:tabs>
          <w:tab w:leader="none" w:pos="516"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All notices or other communications by a Participant to the Company under or in connection with the Plan will be deemed to have been duly given when received in the form</w:t>
      </w:r>
      <w:r>
        <w:rPr>
          <w:rFonts w:ascii="Arial" w:cs="Arial" w:eastAsia="Arial" w:hAnsi="Arial"/>
          <w:sz w:val="14"/>
          <w:szCs w:val="14"/>
          <w:b w:val="1"/>
          <w:bCs w:val="1"/>
          <w:color w:val="auto"/>
        </w:rPr>
        <w:t xml:space="preserve"> </w:t>
      </w:r>
      <w:r>
        <w:rPr>
          <w:rFonts w:ascii="Arial" w:cs="Arial" w:eastAsia="Arial" w:hAnsi="Arial"/>
          <w:sz w:val="14"/>
          <w:szCs w:val="14"/>
          <w:color w:val="auto"/>
        </w:rPr>
        <w:t>and manner specified by the Company at the location, or by the person, designated by the Company for the receipt thereof.</w:t>
      </w:r>
    </w:p>
    <w:p>
      <w:pPr>
        <w:spacing w:after="0" w:line="78" w:lineRule="exact"/>
        <w:rPr>
          <w:rFonts w:ascii="Arial" w:cs="Arial" w:eastAsia="Arial" w:hAnsi="Arial"/>
          <w:sz w:val="14"/>
          <w:szCs w:val="14"/>
          <w:color w:val="auto"/>
        </w:rPr>
      </w:pPr>
    </w:p>
    <w:p>
      <w:pPr>
        <w:ind w:left="520" w:hanging="254"/>
        <w:spacing w:after="0"/>
        <w:tabs>
          <w:tab w:leader="none" w:pos="520"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Legal Construction.</w:t>
      </w:r>
    </w:p>
    <w:p>
      <w:pPr>
        <w:spacing w:after="0" w:line="142"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4"/>
          <w:szCs w:val="14"/>
          <w:color w:val="auto"/>
        </w:rPr>
        <w:t xml:space="preserve">26.1. </w:t>
      </w:r>
      <w:r>
        <w:rPr>
          <w:rFonts w:ascii="Arial" w:cs="Arial" w:eastAsia="Arial" w:hAnsi="Arial"/>
          <w:sz w:val="14"/>
          <w:szCs w:val="14"/>
          <w:b w:val="1"/>
          <w:bCs w:val="1"/>
          <w:color w:val="auto"/>
        </w:rPr>
        <w:t>Severability.</w:t>
      </w:r>
      <w:r>
        <w:rPr>
          <w:rFonts w:ascii="Arial" w:cs="Arial" w:eastAsia="Arial" w:hAnsi="Arial"/>
          <w:sz w:val="14"/>
          <w:szCs w:val="14"/>
          <w:color w:val="auto"/>
        </w:rPr>
        <w:t xml:space="preserve">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9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26.2.</w:t>
      </w:r>
      <w:r>
        <w:rPr>
          <w:sz w:val="20"/>
          <w:szCs w:val="20"/>
          <w:color w:val="auto"/>
        </w:rPr>
        <w:tab/>
      </w: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The Plan will be governed by, and construed in accordance with, the laws of the State of Delaware, but without regard to its conflict of law provisions.</w:t>
      </w:r>
    </w:p>
    <w:p>
      <w:pPr>
        <w:spacing w:after="0" w:line="14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26.3.</w:t>
      </w:r>
      <w:r>
        <w:rPr>
          <w:sz w:val="20"/>
          <w:szCs w:val="20"/>
          <w:color w:val="auto"/>
        </w:rPr>
        <w:tab/>
      </w:r>
      <w:r>
        <w:rPr>
          <w:rFonts w:ascii="Arial" w:cs="Arial" w:eastAsia="Arial" w:hAnsi="Arial"/>
          <w:sz w:val="13"/>
          <w:szCs w:val="13"/>
          <w:b w:val="1"/>
          <w:bCs w:val="1"/>
          <w:color w:val="auto"/>
        </w:rPr>
        <w:t xml:space="preserve">Headings. </w:t>
      </w:r>
      <w:r>
        <w:rPr>
          <w:rFonts w:ascii="Arial" w:cs="Arial" w:eastAsia="Arial" w:hAnsi="Arial"/>
          <w:sz w:val="13"/>
          <w:szCs w:val="13"/>
          <w:color w:val="auto"/>
        </w:rPr>
        <w:t>Headings are provided herein for convenience only, and will not serve as a basis for interpretation of the Plan.</w:t>
      </w:r>
    </w:p>
    <w:p>
      <w:pPr>
        <w:spacing w:after="0" w:line="142" w:lineRule="exact"/>
        <w:rPr>
          <w:sz w:val="20"/>
          <w:szCs w:val="20"/>
          <w:color w:val="auto"/>
        </w:rPr>
      </w:pPr>
    </w:p>
    <w:p>
      <w:pPr>
        <w:ind w:left="520" w:hanging="254"/>
        <w:spacing w:after="0"/>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Compliance with Applicable Laws. </w:t>
      </w:r>
      <w:r>
        <w:rPr>
          <w:rFonts w:ascii="Arial" w:cs="Arial" w:eastAsia="Arial" w:hAnsi="Arial"/>
          <w:sz w:val="14"/>
          <w:szCs w:val="14"/>
          <w:color w:val="auto"/>
        </w:rPr>
        <w:t>The terms of this Plan are intended to comply with all Applicable Laws and will be construed accordingly.</w:t>
      </w:r>
    </w:p>
    <w:p>
      <w:pPr>
        <w:spacing w:after="0" w:line="141" w:lineRule="exact"/>
        <w:rPr>
          <w:rFonts w:ascii="Arial" w:cs="Arial" w:eastAsia="Arial" w:hAnsi="Arial"/>
          <w:sz w:val="14"/>
          <w:szCs w:val="14"/>
          <w:color w:val="auto"/>
        </w:rPr>
      </w:pPr>
    </w:p>
    <w:p>
      <w:pPr>
        <w:jc w:val="both"/>
        <w:ind w:firstLine="266"/>
        <w:spacing w:after="0" w:line="176" w:lineRule="exact"/>
        <w:tabs>
          <w:tab w:leader="none" w:pos="516"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Automatic Transfer to Low Price Offering Period. </w:t>
      </w:r>
      <w:r>
        <w:rPr>
          <w:rFonts w:ascii="Arial" w:cs="Arial" w:eastAsia="Arial" w:hAnsi="Arial"/>
          <w:sz w:val="14"/>
          <w:szCs w:val="14"/>
          <w:color w:val="auto"/>
        </w:rPr>
        <w:t>Unless determined otherwise by the Administrator, this Section 28 applies to an Offering Period to the extent such Offering Period</w:t>
      </w:r>
      <w:r>
        <w:rPr>
          <w:rFonts w:ascii="Arial" w:cs="Arial" w:eastAsia="Arial" w:hAnsi="Arial"/>
          <w:sz w:val="14"/>
          <w:szCs w:val="14"/>
          <w:b w:val="1"/>
          <w:bCs w:val="1"/>
          <w:color w:val="auto"/>
        </w:rPr>
        <w:t xml:space="preserve"> </w:t>
      </w:r>
      <w:r>
        <w:rPr>
          <w:rFonts w:ascii="Arial" w:cs="Arial" w:eastAsia="Arial" w:hAnsi="Arial"/>
          <w:sz w:val="14"/>
          <w:szCs w:val="14"/>
          <w:color w:val="auto"/>
        </w:rPr>
        <w:t>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14"/>
          <w:szCs w:val="14"/>
          <w:color w:val="auto"/>
        </w:rPr>
        <w:t>‑</w:t>
      </w:r>
      <w:r>
        <w:rPr>
          <w:rFonts w:ascii="Arial" w:cs="Arial" w:eastAsia="Arial" w:hAnsi="Arial"/>
          <w:sz w:val="14"/>
          <w:szCs w:val="14"/>
          <w:color w:val="auto"/>
        </w:rPr>
        <w:t>enrolled in the immediately following Offering Period as of the first day thereof.</w:t>
      </w:r>
    </w:p>
    <w:p>
      <w:pPr>
        <w:spacing w:after="0" w:line="120" w:lineRule="exact"/>
        <w:rPr>
          <w:rFonts w:ascii="Arial" w:cs="Arial" w:eastAsia="Arial" w:hAnsi="Arial"/>
          <w:sz w:val="14"/>
          <w:szCs w:val="14"/>
          <w:color w:val="auto"/>
        </w:rPr>
      </w:pPr>
    </w:p>
    <w:p>
      <w:pPr>
        <w:ind w:left="51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1167"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NAUTILUS BIOTECHNOLOGY,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 EMPLOYEE STOCK PURCHASE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SUBSCRIPTION AGREEMENT</w:t>
      </w:r>
    </w:p>
    <w:p>
      <w:pPr>
        <w:spacing w:after="0" w:line="189" w:lineRule="exact"/>
        <w:rPr>
          <w:sz w:val="20"/>
          <w:szCs w:val="20"/>
          <w:color w:val="auto"/>
        </w:rPr>
      </w:pPr>
    </w:p>
    <w:p>
      <w:pPr>
        <w:ind w:left="740"/>
        <w:spacing w:after="0"/>
        <w:tabs>
          <w:tab w:leader="none" w:pos="7240" w:val="left"/>
        </w:tabs>
        <w:rPr>
          <w:sz w:val="20"/>
          <w:szCs w:val="20"/>
          <w:color w:val="auto"/>
        </w:rPr>
      </w:pPr>
      <w:r>
        <w:rPr>
          <w:rFonts w:ascii="Arial" w:cs="Arial" w:eastAsia="Arial" w:hAnsi="Arial"/>
          <w:sz w:val="14"/>
          <w:szCs w:val="14"/>
          <w:color w:val="auto"/>
        </w:rPr>
        <w:t>Original Application</w:t>
      </w:r>
      <w:r>
        <w:rPr>
          <w:sz w:val="20"/>
          <w:szCs w:val="20"/>
          <w:color w:val="auto"/>
        </w:rPr>
        <w:tab/>
      </w:r>
      <w:r>
        <w:rPr>
          <w:rFonts w:ascii="Arial" w:cs="Arial" w:eastAsia="Arial" w:hAnsi="Arial"/>
          <w:sz w:val="13"/>
          <w:szCs w:val="13"/>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27940</wp:posOffset>
            </wp:positionV>
            <wp:extent cx="15392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extLst>
                    </a:blip>
                    <a:srcRect/>
                    <a:stretch>
                      <a:fillRect/>
                    </a:stretch>
                  </pic:blipFill>
                  <pic:spPr bwMode="auto">
                    <a:xfrm>
                      <a:off x="0" y="0"/>
                      <a:ext cx="15392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4533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453390" cy="6985"/>
                    </a:xfrm>
                    <a:prstGeom prst="rect">
                      <a:avLst/>
                    </a:prstGeom>
                    <a:noFill/>
                  </pic:spPr>
                </pic:pic>
              </a:graphicData>
            </a:graphic>
          </wp:anchor>
        </w:drawing>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4"/>
          <w:szCs w:val="14"/>
          <w:color w:val="auto"/>
        </w:rPr>
        <w:t>Change in Payroll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4533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extLst>
                    </a:blip>
                    <a:srcRect/>
                    <a:stretch>
                      <a:fillRect/>
                    </a:stretch>
                  </pic:blipFill>
                  <pic:spPr bwMode="auto">
                    <a:xfrm>
                      <a:off x="0" y="0"/>
                      <a:ext cx="453390" cy="6985"/>
                    </a:xfrm>
                    <a:prstGeom prst="rect">
                      <a:avLst/>
                    </a:prstGeom>
                    <a:noFill/>
                  </pic:spPr>
                </pic:pic>
              </a:graphicData>
            </a:graphic>
          </wp:anchor>
        </w:drawing>
      </w:r>
    </w:p>
    <w:p>
      <w:pPr>
        <w:spacing w:after="0" w:line="226" w:lineRule="exact"/>
        <w:rPr>
          <w:sz w:val="20"/>
          <w:szCs w:val="20"/>
          <w:color w:val="auto"/>
        </w:rPr>
      </w:pPr>
    </w:p>
    <w:p>
      <w:pPr>
        <w:jc w:val="both"/>
        <w:ind w:firstLine="526"/>
        <w:spacing w:after="0" w:line="277" w:lineRule="auto"/>
        <w:tabs>
          <w:tab w:leader="none" w:pos="1039" w:val="left"/>
        </w:tabs>
        <w:numPr>
          <w:ilvl w:val="0"/>
          <w:numId w:val="87"/>
        </w:numPr>
        <w:rPr>
          <w:rFonts w:ascii="Arial" w:cs="Arial" w:eastAsia="Arial" w:hAnsi="Arial"/>
          <w:sz w:val="14"/>
          <w:szCs w:val="14"/>
          <w:color w:val="auto"/>
        </w:rPr>
      </w:pPr>
      <w:r>
        <w:rPr>
          <w:rFonts w:ascii="Arial" w:cs="Arial" w:eastAsia="Arial" w:hAnsi="Arial"/>
          <w:sz w:val="14"/>
          <w:szCs w:val="14"/>
          <w:color w:val="auto"/>
        </w:rPr>
        <w:t>____________________ hereby elects to participate in the Nautilus Biotechnology, Inc. 2021 Employee Stock Purchase Plan (the “</w:t>
      </w:r>
      <w:r>
        <w:rPr>
          <w:rFonts w:ascii="Arial" w:cs="Arial" w:eastAsia="Arial" w:hAnsi="Arial"/>
          <w:sz w:val="14"/>
          <w:szCs w:val="14"/>
          <w:b w:val="1"/>
          <w:bCs w:val="1"/>
          <w:color w:val="auto"/>
        </w:rPr>
        <w:t>Plan</w:t>
      </w:r>
      <w:r>
        <w:rPr>
          <w:rFonts w:ascii="Arial" w:cs="Arial" w:eastAsia="Arial" w:hAnsi="Arial"/>
          <w:sz w:val="14"/>
          <w:szCs w:val="14"/>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96" w:lineRule="exact"/>
        <w:rPr>
          <w:sz w:val="20"/>
          <w:szCs w:val="20"/>
          <w:color w:val="auto"/>
        </w:rPr>
      </w:pPr>
    </w:p>
    <w:p>
      <w:pPr>
        <w:ind w:left="520"/>
        <w:spacing w:after="0"/>
        <w:tabs>
          <w:tab w:leader="none" w:pos="1020" w:val="left"/>
          <w:tab w:leader="none" w:pos="698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I hereby authorize and consent to payroll deductions from each paycheck in the amount of</w:t>
      </w:r>
      <w:r>
        <w:rPr>
          <w:sz w:val="20"/>
          <w:szCs w:val="20"/>
          <w:color w:val="auto"/>
        </w:rPr>
        <w:tab/>
      </w:r>
      <w:r>
        <w:rPr>
          <w:rFonts w:ascii="Arial" w:cs="Arial" w:eastAsia="Arial" w:hAnsi="Arial"/>
          <w:sz w:val="13"/>
          <w:szCs w:val="13"/>
          <w:color w:val="auto"/>
        </w:rPr>
        <w:t>% of my Compensation on each payday (from 0% to [15%])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-5715</wp:posOffset>
            </wp:positionV>
            <wp:extent cx="3181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extLst>
                    </a:blip>
                    <a:srcRect/>
                    <a:stretch>
                      <a:fillRect/>
                    </a:stretch>
                  </pic:blipFill>
                  <pic:spPr bwMode="auto">
                    <a:xfrm>
                      <a:off x="0" y="0"/>
                      <a:ext cx="318135" cy="6985"/>
                    </a:xfrm>
                    <a:prstGeom prst="rect">
                      <a:avLst/>
                    </a:prstGeom>
                    <a:noFill/>
                  </pic:spPr>
                </pic:pic>
              </a:graphicData>
            </a:graphic>
          </wp:anchor>
        </w:drawing>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87" w:lineRule="exact"/>
        <w:rPr>
          <w:sz w:val="20"/>
          <w:szCs w:val="20"/>
          <w:color w:val="auto"/>
        </w:rPr>
      </w:pPr>
    </w:p>
    <w:p>
      <w:pPr>
        <w:jc w:val="both"/>
        <w:ind w:firstLine="526"/>
        <w:spacing w:after="0" w:line="304" w:lineRule="auto"/>
        <w:tabs>
          <w:tab w:leader="none" w:pos="1039" w:val="left"/>
        </w:tabs>
        <w:numPr>
          <w:ilvl w:val="0"/>
          <w:numId w:val="88"/>
        </w:numPr>
        <w:rPr>
          <w:rFonts w:ascii="Arial" w:cs="Arial" w:eastAsia="Arial" w:hAnsi="Arial"/>
          <w:sz w:val="13"/>
          <w:szCs w:val="13"/>
          <w:color w:val="auto"/>
        </w:rPr>
      </w:pPr>
      <w:r>
        <w:rPr>
          <w:rFonts w:ascii="Arial" w:cs="Arial" w:eastAsia="Arial" w:hAnsi="Arial"/>
          <w:sz w:val="13"/>
          <w:szCs w:val="13"/>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81" w:lineRule="exact"/>
        <w:rPr>
          <w:rFonts w:ascii="Arial" w:cs="Arial" w:eastAsia="Arial" w:hAnsi="Arial"/>
          <w:sz w:val="13"/>
          <w:szCs w:val="13"/>
          <w:color w:val="auto"/>
        </w:rPr>
      </w:pPr>
    </w:p>
    <w:p>
      <w:pPr>
        <w:ind w:left="1040" w:hanging="514"/>
        <w:spacing w:after="0"/>
        <w:tabs>
          <w:tab w:leader="none" w:pos="10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 have received a copy of the complete Plan and its accompanying prospectus. I understand that my participation in the Plan is in all respects subject to the terms of the Plan.</w:t>
      </w:r>
    </w:p>
    <w:p>
      <w:pPr>
        <w:spacing w:after="0" w:line="153" w:lineRule="exact"/>
        <w:rPr>
          <w:sz w:val="20"/>
          <w:szCs w:val="20"/>
          <w:color w:val="auto"/>
        </w:rPr>
      </w:pPr>
    </w:p>
    <w:p>
      <w:pPr>
        <w:ind w:left="520"/>
        <w:spacing w:after="0"/>
        <w:tabs>
          <w:tab w:leader="none" w:pos="1020" w:val="left"/>
          <w:tab w:leader="none" w:pos="72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Shares of Common Stock purchased for me under the Plan should be issued in the name(s) of</w:t>
      </w:r>
      <w:r>
        <w:rPr>
          <w:sz w:val="20"/>
          <w:szCs w:val="20"/>
          <w:color w:val="auto"/>
        </w:rPr>
        <w:tab/>
      </w:r>
      <w:r>
        <w:rPr>
          <w:rFonts w:ascii="Arial" w:cs="Arial" w:eastAsia="Arial" w:hAnsi="Arial"/>
          <w:sz w:val="13"/>
          <w:szCs w:val="13"/>
          <w:color w:val="auto"/>
        </w:rPr>
        <w:t>(Eligible Employee or Eligible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-5715</wp:posOffset>
            </wp:positionV>
            <wp:extent cx="4578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extLst>
                    </a:blip>
                    <a:srcRect/>
                    <a:stretch>
                      <a:fillRect/>
                    </a:stretch>
                  </pic:blipFill>
                  <pic:spPr bwMode="auto">
                    <a:xfrm>
                      <a:off x="0" y="0"/>
                      <a:ext cx="457835" cy="6985"/>
                    </a:xfrm>
                    <a:prstGeom prst="rect">
                      <a:avLst/>
                    </a:prstGeom>
                    <a:noFill/>
                  </pic:spPr>
                </pic:pic>
              </a:graphicData>
            </a:graphic>
          </wp:anchor>
        </w:drawing>
      </w:r>
    </w:p>
    <w:p>
      <w:pPr>
        <w:spacing w:after="0" w:line="122" w:lineRule="exact"/>
        <w:rPr>
          <w:sz w:val="20"/>
          <w:szCs w:val="20"/>
          <w:color w:val="auto"/>
        </w:rPr>
      </w:pPr>
    </w:p>
    <w:p>
      <w:pPr>
        <w:jc w:val="both"/>
        <w:ind w:firstLine="526"/>
        <w:spacing w:after="0" w:line="283" w:lineRule="auto"/>
        <w:tabs>
          <w:tab w:leader="none" w:pos="1039" w:val="left"/>
        </w:tabs>
        <w:numPr>
          <w:ilvl w:val="0"/>
          <w:numId w:val="89"/>
        </w:numPr>
        <w:rPr>
          <w:rFonts w:ascii="Arial" w:cs="Arial" w:eastAsia="Arial" w:hAnsi="Arial"/>
          <w:sz w:val="13"/>
          <w:szCs w:val="13"/>
          <w:color w:val="auto"/>
        </w:rPr>
      </w:pPr>
      <w:r>
        <w:rPr>
          <w:rFonts w:ascii="Arial" w:cs="Arial" w:eastAsia="Arial" w:hAnsi="Arial"/>
          <w:sz w:val="13"/>
          <w:szCs w:val="13"/>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3"/>
          <w:szCs w:val="13"/>
          <w:b w:val="1"/>
          <w:bCs w:val="1"/>
          <w:color w:val="auto"/>
        </w:rPr>
        <w:t>I hereby agree to notify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the Company in writing within thirty (30) days after the date of any disposition of my shares and I will make adequate provision for federal, state or other tax withholding obligations, if any, which arise upon the disposition of the Common Stock. </w:t>
      </w:r>
      <w:r>
        <w:rPr>
          <w:rFonts w:ascii="Arial" w:cs="Arial" w:eastAsia="Arial" w:hAnsi="Arial"/>
          <w:sz w:val="13"/>
          <w:szCs w:val="13"/>
          <w:color w:val="auto"/>
        </w:rPr>
        <w:t>The Company may, but will not be obligated to, withhold from my compensation the amount necessary to meet any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163" w:right="319" w:bottom="1440" w:gutter="0" w:footer="0" w:header="0"/>
        </w:sectPr>
      </w:pPr>
    </w:p>
    <w:bookmarkStart w:id="95" w:name="page96"/>
    <w:bookmarkEnd w:id="95"/>
    <w:p>
      <w:pPr>
        <w:jc w:val="both"/>
        <w:ind w:firstLine="526"/>
        <w:spacing w:after="0" w:line="174" w:lineRule="exact"/>
        <w:tabs>
          <w:tab w:leader="none" w:pos="1039" w:val="left"/>
        </w:tabs>
        <w:numPr>
          <w:ilvl w:val="0"/>
          <w:numId w:val="90"/>
        </w:numPr>
        <w:rPr>
          <w:rFonts w:ascii="Arial" w:cs="Arial" w:eastAsia="Arial" w:hAnsi="Arial"/>
          <w:sz w:val="13"/>
          <w:szCs w:val="13"/>
          <w:color w:val="auto"/>
        </w:rPr>
      </w:pPr>
      <w:r>
        <w:rPr>
          <w:rFonts w:ascii="Arial" w:cs="Arial" w:eastAsia="Arial" w:hAnsi="Arial"/>
          <w:sz w:val="13"/>
          <w:szCs w:val="13"/>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13"/>
          <w:szCs w:val="13"/>
          <w:color w:val="auto"/>
        </w:rPr>
        <w:t>‑</w:t>
      </w:r>
      <w:r>
        <w:rPr>
          <w:rFonts w:ascii="Arial" w:cs="Arial" w:eastAsia="Arial" w:hAnsi="Arial"/>
          <w:sz w:val="13"/>
          <w:szCs w:val="13"/>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3"/>
          <w:szCs w:val="13"/>
          <w:b w:val="1"/>
          <w:bCs w:val="1"/>
          <w:color w:val="auto"/>
        </w:rPr>
        <w:t>Tax</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Related Items</w:t>
      </w:r>
      <w:r>
        <w:rPr>
          <w:rFonts w:ascii="Arial" w:cs="Arial" w:eastAsia="Arial" w:hAnsi="Arial"/>
          <w:sz w:val="13"/>
          <w:szCs w:val="13"/>
          <w:color w:val="auto"/>
        </w:rPr>
        <w:t>”), the ultimate liability for all Tax</w:t>
      </w:r>
      <w:r>
        <w:rPr>
          <w:rFonts w:ascii="MS PGothic" w:cs="MS PGothic" w:eastAsia="MS PGothic" w:hAnsi="MS PGothic"/>
          <w:sz w:val="13"/>
          <w:szCs w:val="13"/>
          <w:color w:val="auto"/>
        </w:rPr>
        <w:t>‑</w:t>
      </w:r>
      <w:r>
        <w:rPr>
          <w:rFonts w:ascii="Arial" w:cs="Arial" w:eastAsia="Arial" w:hAnsi="Arial"/>
          <w:sz w:val="13"/>
          <w:szCs w:val="13"/>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13"/>
          <w:szCs w:val="13"/>
          <w:color w:val="auto"/>
        </w:rPr>
        <w:t>‑</w:t>
      </w:r>
      <w:r>
        <w:rPr>
          <w:rFonts w:ascii="Arial" w:cs="Arial" w:eastAsia="Arial" w:hAnsi="Arial"/>
          <w:sz w:val="13"/>
          <w:szCs w:val="13"/>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13"/>
          <w:szCs w:val="13"/>
          <w:color w:val="auto"/>
        </w:rPr>
        <w:t>‑</w:t>
      </w:r>
      <w:r>
        <w:rPr>
          <w:rFonts w:ascii="Arial" w:cs="Arial" w:eastAsia="Arial" w:hAnsi="Arial"/>
          <w:sz w:val="13"/>
          <w:szCs w:val="13"/>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13"/>
          <w:szCs w:val="13"/>
          <w:color w:val="auto"/>
        </w:rPr>
        <w:t>‑</w:t>
      </w:r>
      <w:r>
        <w:rPr>
          <w:rFonts w:ascii="Arial" w:cs="Arial" w:eastAsia="Arial" w:hAnsi="Arial"/>
          <w:sz w:val="13"/>
          <w:szCs w:val="13"/>
          <w:color w:val="auto"/>
        </w:rPr>
        <w:t>Related Items in more than one jurisdiction.</w:t>
      </w:r>
    </w:p>
    <w:p>
      <w:pPr>
        <w:spacing w:after="0" w:line="124" w:lineRule="exact"/>
        <w:rPr>
          <w:sz w:val="20"/>
          <w:szCs w:val="20"/>
          <w:color w:val="auto"/>
        </w:rPr>
      </w:pPr>
    </w:p>
    <w:p>
      <w:pPr>
        <w:jc w:val="both"/>
        <w:ind w:firstLine="519"/>
        <w:spacing w:after="0" w:line="175" w:lineRule="exact"/>
        <w:rPr>
          <w:sz w:val="20"/>
          <w:szCs w:val="20"/>
          <w:color w:val="auto"/>
        </w:rPr>
      </w:pPr>
      <w:r>
        <w:rPr>
          <w:rFonts w:ascii="Arial" w:cs="Arial" w:eastAsia="Arial" w:hAnsi="Arial"/>
          <w:sz w:val="14"/>
          <w:szCs w:val="14"/>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14"/>
          <w:szCs w:val="14"/>
          <w:color w:val="auto"/>
        </w:rPr>
        <w:t>‑</w:t>
      </w:r>
      <w:r>
        <w:rPr>
          <w:rFonts w:ascii="Arial" w:cs="Arial" w:eastAsia="Arial" w:hAnsi="Arial"/>
          <w:sz w:val="14"/>
          <w:szCs w:val="14"/>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14"/>
          <w:szCs w:val="14"/>
          <w:color w:val="auto"/>
        </w:rPr>
        <w:t>‑</w:t>
      </w:r>
      <w:r>
        <w:rPr>
          <w:rFonts w:ascii="Arial" w:cs="Arial" w:eastAsia="Arial" w:hAnsi="Arial"/>
          <w:sz w:val="14"/>
          <w:szCs w:val="14"/>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14"/>
          <w:szCs w:val="14"/>
          <w:color w:val="auto"/>
        </w:rPr>
        <w:t>‑</w:t>
      </w:r>
      <w:r>
        <w:rPr>
          <w:rFonts w:ascii="Arial" w:cs="Arial" w:eastAsia="Arial" w:hAnsi="Arial"/>
          <w:sz w:val="14"/>
          <w:szCs w:val="14"/>
          <w:color w:val="auto"/>
        </w:rPr>
        <w:t>Related Items by considering applicable maximum withholding rates, in which case I will receive a refund of any over</w:t>
      </w:r>
      <w:r>
        <w:rPr>
          <w:rFonts w:ascii="MS PGothic" w:cs="MS PGothic" w:eastAsia="MS PGothic" w:hAnsi="MS PGothic"/>
          <w:sz w:val="14"/>
          <w:szCs w:val="14"/>
          <w:color w:val="auto"/>
        </w:rPr>
        <w:t>‑</w:t>
      </w:r>
      <w:r>
        <w:rPr>
          <w:rFonts w:ascii="Arial" w:cs="Arial" w:eastAsia="Arial" w:hAnsi="Arial"/>
          <w:sz w:val="14"/>
          <w:szCs w:val="14"/>
          <w:color w:val="auto"/>
        </w:rPr>
        <w:t>withheld amount in cash and will have no entitlement to the Common Stock equivalent.</w:t>
      </w:r>
    </w:p>
    <w:p>
      <w:pPr>
        <w:spacing w:after="0" w:line="121" w:lineRule="exact"/>
        <w:rPr>
          <w:sz w:val="20"/>
          <w:szCs w:val="20"/>
          <w:color w:val="auto"/>
        </w:rPr>
      </w:pPr>
    </w:p>
    <w:p>
      <w:pPr>
        <w:jc w:val="both"/>
        <w:ind w:firstLine="519"/>
        <w:spacing w:after="0" w:line="176" w:lineRule="exact"/>
        <w:rPr>
          <w:sz w:val="20"/>
          <w:szCs w:val="20"/>
          <w:color w:val="auto"/>
        </w:rPr>
      </w:pPr>
      <w:r>
        <w:rPr>
          <w:rFonts w:ascii="Arial" w:cs="Arial" w:eastAsia="Arial" w:hAnsi="Arial"/>
          <w:sz w:val="13"/>
          <w:szCs w:val="13"/>
          <w:color w:val="auto"/>
        </w:rPr>
        <w:t>Finally, I agree to pay to the Company or the applicable Designated Company any amount of Tax</w:t>
      </w:r>
      <w:r>
        <w:rPr>
          <w:rFonts w:ascii="MS PGothic" w:cs="MS PGothic" w:eastAsia="MS PGothic" w:hAnsi="MS PGothic"/>
          <w:sz w:val="13"/>
          <w:szCs w:val="13"/>
          <w:color w:val="auto"/>
        </w:rPr>
        <w:t>‑</w:t>
      </w:r>
      <w:r>
        <w:rPr>
          <w:rFonts w:ascii="Arial" w:cs="Arial" w:eastAsia="Arial" w:hAnsi="Arial"/>
          <w:sz w:val="13"/>
          <w:szCs w:val="13"/>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13"/>
          <w:szCs w:val="13"/>
          <w:color w:val="auto"/>
        </w:rPr>
        <w:t>‑</w:t>
      </w:r>
      <w:r>
        <w:rPr>
          <w:rFonts w:ascii="Arial" w:cs="Arial" w:eastAsia="Arial" w:hAnsi="Arial"/>
          <w:sz w:val="13"/>
          <w:szCs w:val="13"/>
          <w:color w:val="auto"/>
        </w:rPr>
        <w:t>Related Items.</w:t>
      </w:r>
    </w:p>
    <w:p>
      <w:pPr>
        <w:spacing w:after="0" w:line="122" w:lineRule="exact"/>
        <w:rPr>
          <w:sz w:val="20"/>
          <w:szCs w:val="20"/>
          <w:color w:val="auto"/>
        </w:rPr>
      </w:pPr>
    </w:p>
    <w:p>
      <w:pPr>
        <w:ind w:left="1040" w:hanging="514"/>
        <w:spacing w:after="0"/>
        <w:tabs>
          <w:tab w:leader="none" w:pos="10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By electing to participate in the Plan, I acknowledge, understand and agree that:</w:t>
      </w:r>
    </w:p>
    <w:p>
      <w:pPr>
        <w:spacing w:after="0" w:line="141" w:lineRule="exact"/>
        <w:rPr>
          <w:rFonts w:ascii="Arial" w:cs="Arial" w:eastAsia="Arial" w:hAnsi="Arial"/>
          <w:sz w:val="14"/>
          <w:szCs w:val="14"/>
          <w:color w:val="auto"/>
        </w:rPr>
      </w:pPr>
    </w:p>
    <w:p>
      <w:pPr>
        <w:ind w:firstLine="1045"/>
        <w:spacing w:after="0" w:line="290" w:lineRule="auto"/>
        <w:tabs>
          <w:tab w:leader="none" w:pos="1556" w:val="left"/>
        </w:tabs>
        <w:numPr>
          <w:ilvl w:val="1"/>
          <w:numId w:val="91"/>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it may be modified, amended, suspended or terminated by the Company at any time, to the extent provided for in the Plan;</w:t>
      </w:r>
    </w:p>
    <w:p>
      <w:pPr>
        <w:spacing w:after="0" w:line="87" w:lineRule="exact"/>
        <w:rPr>
          <w:rFonts w:ascii="Arial" w:cs="Arial" w:eastAsia="Arial" w:hAnsi="Arial"/>
          <w:sz w:val="14"/>
          <w:szCs w:val="14"/>
          <w:color w:val="auto"/>
        </w:rPr>
      </w:pPr>
    </w:p>
    <w:p>
      <w:pPr>
        <w:ind w:left="1560" w:hanging="515"/>
        <w:spacing w:after="0"/>
        <w:tabs>
          <w:tab w:leader="none" w:pos="1560" w:val="left"/>
        </w:tabs>
        <w:numPr>
          <w:ilvl w:val="1"/>
          <w:numId w:val="91"/>
        </w:numPr>
        <w:rPr>
          <w:rFonts w:ascii="Arial" w:cs="Arial" w:eastAsia="Arial" w:hAnsi="Arial"/>
          <w:sz w:val="14"/>
          <w:szCs w:val="14"/>
          <w:color w:val="auto"/>
        </w:rPr>
      </w:pPr>
      <w:r>
        <w:rPr>
          <w:rFonts w:ascii="Arial" w:cs="Arial" w:eastAsia="Arial" w:hAnsi="Arial"/>
          <w:sz w:val="14"/>
          <w:szCs w:val="14"/>
          <w:color w:val="auto"/>
        </w:rPr>
        <w:t>all decisions with respect to future grants under the Plan, if applicable, will be at the sole discretion of the Company;</w:t>
      </w:r>
    </w:p>
    <w:p>
      <w:pPr>
        <w:spacing w:after="0" w:line="141" w:lineRule="exact"/>
        <w:rPr>
          <w:rFonts w:ascii="Arial" w:cs="Arial" w:eastAsia="Arial" w:hAnsi="Arial"/>
          <w:sz w:val="14"/>
          <w:szCs w:val="14"/>
          <w:color w:val="auto"/>
        </w:rPr>
      </w:pPr>
    </w:p>
    <w:p>
      <w:pPr>
        <w:ind w:firstLine="1045"/>
        <w:spacing w:after="0" w:line="290" w:lineRule="auto"/>
        <w:tabs>
          <w:tab w:leader="none" w:pos="1556" w:val="left"/>
        </w:tabs>
        <w:numPr>
          <w:ilvl w:val="1"/>
          <w:numId w:val="91"/>
        </w:numPr>
        <w:rPr>
          <w:rFonts w:ascii="Arial" w:cs="Arial" w:eastAsia="Arial" w:hAnsi="Arial"/>
          <w:sz w:val="14"/>
          <w:szCs w:val="14"/>
          <w:color w:val="auto"/>
        </w:rPr>
      </w:pPr>
      <w:r>
        <w:rPr>
          <w:rFonts w:ascii="Arial" w:cs="Arial" w:eastAsia="Arial" w:hAnsi="Arial"/>
          <w:sz w:val="14"/>
          <w:szCs w:val="14"/>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87" w:lineRule="exact"/>
        <w:rPr>
          <w:rFonts w:ascii="Arial" w:cs="Arial" w:eastAsia="Arial" w:hAnsi="Arial"/>
          <w:sz w:val="14"/>
          <w:szCs w:val="14"/>
          <w:color w:val="auto"/>
        </w:rPr>
      </w:pPr>
    </w:p>
    <w:p>
      <w:pPr>
        <w:ind w:left="1560" w:hanging="515"/>
        <w:spacing w:after="0"/>
        <w:tabs>
          <w:tab w:leader="none" w:pos="1560" w:val="left"/>
        </w:tabs>
        <w:numPr>
          <w:ilvl w:val="1"/>
          <w:numId w:val="91"/>
        </w:numPr>
        <w:rPr>
          <w:rFonts w:ascii="Arial" w:cs="Arial" w:eastAsia="Arial" w:hAnsi="Arial"/>
          <w:sz w:val="14"/>
          <w:szCs w:val="14"/>
          <w:color w:val="auto"/>
        </w:rPr>
      </w:pPr>
      <w:r>
        <w:rPr>
          <w:rFonts w:ascii="Arial" w:cs="Arial" w:eastAsia="Arial" w:hAnsi="Arial"/>
          <w:sz w:val="14"/>
          <w:szCs w:val="14"/>
          <w:color w:val="auto"/>
        </w:rPr>
        <w:t>I am voluntarily participating in the Plan;</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1"/>
          <w:numId w:val="91"/>
        </w:numPr>
        <w:rPr>
          <w:rFonts w:ascii="Arial" w:cs="Arial" w:eastAsia="Arial" w:hAnsi="Arial"/>
          <w:sz w:val="12"/>
          <w:szCs w:val="12"/>
          <w:color w:val="auto"/>
        </w:rPr>
      </w:pPr>
      <w:r>
        <w:rPr>
          <w:rFonts w:ascii="Arial" w:cs="Arial" w:eastAsia="Arial" w:hAnsi="Arial"/>
          <w:sz w:val="12"/>
          <w:szCs w:val="12"/>
          <w:color w:val="auto"/>
        </w:rPr>
        <w:t>the options granted under the Plan and the shares of Common Stock underlying such options, and the income and value of same, are not intended to replace any pension</w:t>
      </w:r>
    </w:p>
    <w:p>
      <w:pPr>
        <w:spacing w:after="0" w:line="4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rights or compensation;</w:t>
      </w:r>
    </w:p>
    <w:p>
      <w:pPr>
        <w:spacing w:after="0" w:line="132" w:lineRule="exact"/>
        <w:rPr>
          <w:rFonts w:ascii="Arial" w:cs="Arial" w:eastAsia="Arial" w:hAnsi="Arial"/>
          <w:sz w:val="12"/>
          <w:szCs w:val="12"/>
          <w:color w:val="auto"/>
        </w:rPr>
      </w:pPr>
    </w:p>
    <w:p>
      <w:pPr>
        <w:ind w:firstLine="1045"/>
        <w:spacing w:after="0" w:line="290" w:lineRule="auto"/>
        <w:tabs>
          <w:tab w:leader="none" w:pos="1551" w:val="left"/>
        </w:tabs>
        <w:numPr>
          <w:ilvl w:val="1"/>
          <w:numId w:val="91"/>
        </w:numPr>
        <w:rPr>
          <w:rFonts w:ascii="Arial" w:cs="Arial" w:eastAsia="Arial" w:hAnsi="Arial"/>
          <w:sz w:val="14"/>
          <w:szCs w:val="14"/>
          <w:color w:val="auto"/>
        </w:rPr>
      </w:pPr>
      <w:r>
        <w:rPr>
          <w:rFonts w:ascii="Arial" w:cs="Arial" w:eastAsia="Arial" w:hAnsi="Arial"/>
          <w:sz w:val="14"/>
          <w:szCs w:val="14"/>
          <w:color w:val="auto"/>
        </w:rPr>
        <w:t>the options granted under the Plan and the shares of Common Stock underlying such options, and the income and value of same, are not part of my normal or expected compensation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67" w:right="319" w:bottom="1440" w:gutter="0" w:footer="0" w:header="0"/>
        </w:sectPr>
      </w:pPr>
    </w:p>
    <w:bookmarkStart w:id="96" w:name="page97"/>
    <w:bookmarkEnd w:id="96"/>
    <w:p>
      <w:pPr>
        <w:spacing w:after="0" w:line="178" w:lineRule="exact"/>
        <w:rPr>
          <w:sz w:val="20"/>
          <w:szCs w:val="20"/>
          <w:color w:val="auto"/>
        </w:rPr>
      </w:pPr>
      <w:r>
        <w:rPr>
          <w:rFonts w:ascii="Arial" w:cs="Arial" w:eastAsia="Arial" w:hAnsi="Arial"/>
          <w:sz w:val="14"/>
          <w:szCs w:val="14"/>
          <w:color w:val="auto"/>
        </w:rPr>
        <w:t>including, but not limited to, calculating any severance, resignation, termination, redundancy, dismissal, end</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service payments, bonuses, long</w:t>
      </w:r>
      <w:r>
        <w:rPr>
          <w:rFonts w:ascii="MS PGothic" w:cs="MS PGothic" w:eastAsia="MS PGothic" w:hAnsi="MS PGothic"/>
          <w:sz w:val="14"/>
          <w:szCs w:val="14"/>
          <w:color w:val="auto"/>
        </w:rPr>
        <w:t>‑</w:t>
      </w:r>
      <w:r>
        <w:rPr>
          <w:rFonts w:ascii="Arial" w:cs="Arial" w:eastAsia="Arial" w:hAnsi="Arial"/>
          <w:sz w:val="14"/>
          <w:szCs w:val="14"/>
          <w:color w:val="auto"/>
        </w:rPr>
        <w:t>service awards, pension or retirement benefits or similar payments;</w:t>
      </w:r>
    </w:p>
    <w:p>
      <w:pPr>
        <w:spacing w:after="0" w:line="121" w:lineRule="exact"/>
        <w:rPr>
          <w:sz w:val="20"/>
          <w:szCs w:val="20"/>
          <w:color w:val="auto"/>
        </w:rPr>
      </w:pPr>
    </w:p>
    <w:p>
      <w:pPr>
        <w:ind w:left="1560" w:hanging="515"/>
        <w:spacing w:after="0"/>
        <w:tabs>
          <w:tab w:leader="none" w:pos="15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the future value of the shares of Common Stock offered under the Plan is unknown, indeterminable and cannot be predicted with certainty;</w:t>
      </w:r>
    </w:p>
    <w:p>
      <w:pPr>
        <w:spacing w:after="0" w:line="141" w:lineRule="exact"/>
        <w:rPr>
          <w:rFonts w:ascii="Arial" w:cs="Arial" w:eastAsia="Arial" w:hAnsi="Arial"/>
          <w:sz w:val="14"/>
          <w:szCs w:val="14"/>
          <w:color w:val="auto"/>
        </w:rPr>
      </w:pPr>
    </w:p>
    <w:p>
      <w:pPr>
        <w:ind w:left="1560" w:hanging="515"/>
        <w:spacing w:after="0"/>
        <w:tabs>
          <w:tab w:leader="none" w:pos="15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the shares of Common Stock that I acquire under the Plan may increase or decrease in value, even below the Purchase Price;</w:t>
      </w:r>
    </w:p>
    <w:p>
      <w:pPr>
        <w:spacing w:after="0" w:line="141" w:lineRule="exact"/>
        <w:rPr>
          <w:rFonts w:ascii="Arial" w:cs="Arial" w:eastAsia="Arial" w:hAnsi="Arial"/>
          <w:sz w:val="14"/>
          <w:szCs w:val="14"/>
          <w:color w:val="auto"/>
        </w:rPr>
      </w:pPr>
    </w:p>
    <w:p>
      <w:pPr>
        <w:jc w:val="both"/>
        <w:ind w:firstLine="1045"/>
        <w:spacing w:after="0" w:line="264" w:lineRule="auto"/>
        <w:tabs>
          <w:tab w:leader="none" w:pos="1554" w:val="left"/>
        </w:tabs>
        <w:numPr>
          <w:ilvl w:val="1"/>
          <w:numId w:val="92"/>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06" w:lineRule="exact"/>
        <w:rPr>
          <w:rFonts w:ascii="Arial" w:cs="Arial" w:eastAsia="Arial" w:hAnsi="Arial"/>
          <w:sz w:val="14"/>
          <w:szCs w:val="14"/>
          <w:color w:val="auto"/>
        </w:rPr>
      </w:pPr>
    </w:p>
    <w:p>
      <w:pPr>
        <w:jc w:val="both"/>
        <w:ind w:firstLine="1045"/>
        <w:spacing w:after="0" w:line="263" w:lineRule="auto"/>
        <w:tabs>
          <w:tab w:leader="none" w:pos="1554" w:val="left"/>
        </w:tabs>
        <w:numPr>
          <w:ilvl w:val="1"/>
          <w:numId w:val="92"/>
        </w:numPr>
        <w:rPr>
          <w:rFonts w:ascii="Arial" w:cs="Arial" w:eastAsia="Arial" w:hAnsi="Arial"/>
          <w:sz w:val="14"/>
          <w:szCs w:val="14"/>
          <w:color w:val="auto"/>
        </w:rPr>
      </w:pPr>
      <w:r>
        <w:rPr>
          <w:rFonts w:ascii="Arial" w:cs="Arial" w:eastAsia="Arial" w:hAnsi="Arial"/>
          <w:sz w:val="14"/>
          <w:szCs w:val="14"/>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(e.g., active employment would not include a period of “</w:t>
      </w:r>
      <w:r>
        <w:rPr>
          <w:rFonts w:ascii="Arial" w:cs="Arial" w:eastAsia="Arial" w:hAnsi="Arial"/>
          <w:sz w:val="14"/>
          <w:szCs w:val="14"/>
          <w:b w:val="1"/>
          <w:bCs w:val="1"/>
          <w:color w:val="auto"/>
        </w:rPr>
        <w:t>garden leave</w:t>
      </w:r>
      <w:r>
        <w:rPr>
          <w:rFonts w:ascii="Arial" w:cs="Arial" w:eastAsia="Arial" w:hAnsi="Arial"/>
          <w:sz w:val="14"/>
          <w:szCs w:val="14"/>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06" w:lineRule="exact"/>
        <w:rPr>
          <w:rFonts w:ascii="Arial" w:cs="Arial" w:eastAsia="Arial" w:hAnsi="Arial"/>
          <w:sz w:val="14"/>
          <w:szCs w:val="14"/>
          <w:color w:val="auto"/>
        </w:rPr>
      </w:pPr>
    </w:p>
    <w:p>
      <w:pPr>
        <w:jc w:val="both"/>
        <w:ind w:firstLine="526"/>
        <w:spacing w:after="0" w:line="281" w:lineRule="auto"/>
        <w:tabs>
          <w:tab w:leader="none" w:pos="1039" w:val="left"/>
        </w:tabs>
        <w:numPr>
          <w:ilvl w:val="0"/>
          <w:numId w:val="93"/>
        </w:numPr>
        <w:rPr>
          <w:rFonts w:ascii="Arial" w:cs="Arial" w:eastAsia="Arial" w:hAnsi="Arial"/>
          <w:sz w:val="13"/>
          <w:szCs w:val="13"/>
          <w:i w:val="1"/>
          <w:iCs w:val="1"/>
          <w:color w:val="auto"/>
        </w:rPr>
      </w:pPr>
      <w:r>
        <w:rPr>
          <w:rFonts w:ascii="Arial" w:cs="Arial" w:eastAsia="Arial" w:hAnsi="Arial"/>
          <w:sz w:val="13"/>
          <w:szCs w:val="13"/>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3"/>
          <w:szCs w:val="13"/>
          <w:b w:val="1"/>
          <w:bCs w:val="1"/>
          <w:i w:val="1"/>
          <w:iCs w:val="1"/>
          <w:color w:val="auto"/>
        </w:rPr>
        <w:t>Data</w:t>
      </w:r>
      <w:r>
        <w:rPr>
          <w:rFonts w:ascii="Arial" w:cs="Arial" w:eastAsia="Arial" w:hAnsi="Arial"/>
          <w:sz w:val="13"/>
          <w:szCs w:val="13"/>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67" w:right="319" w:bottom="1440" w:gutter="0" w:footer="0" w:header="0"/>
        </w:sectPr>
      </w:pPr>
    </w:p>
    <w:bookmarkStart w:id="97" w:name="page98"/>
    <w:bookmarkEnd w:id="97"/>
    <w:p>
      <w:pPr>
        <w:jc w:val="both"/>
        <w:spacing w:after="0" w:line="274" w:lineRule="auto"/>
        <w:rPr>
          <w:sz w:val="20"/>
          <w:szCs w:val="20"/>
          <w:color w:val="auto"/>
        </w:rPr>
      </w:pPr>
      <w:r>
        <w:rPr>
          <w:rFonts w:ascii="Arial" w:cs="Arial" w:eastAsia="Arial" w:hAnsi="Arial"/>
          <w:sz w:val="14"/>
          <w:szCs w:val="14"/>
          <w:i w:val="1"/>
          <w:iCs w:val="1"/>
          <w:color w:val="auto"/>
        </w:rPr>
        <w:t>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98" w:lineRule="exact"/>
        <w:rPr>
          <w:sz w:val="20"/>
          <w:szCs w:val="20"/>
          <w:color w:val="auto"/>
        </w:rPr>
      </w:pPr>
    </w:p>
    <w:p>
      <w:pPr>
        <w:jc w:val="both"/>
        <w:ind w:firstLine="519"/>
        <w:spacing w:after="0" w:line="274" w:lineRule="auto"/>
        <w:rPr>
          <w:sz w:val="20"/>
          <w:szCs w:val="20"/>
          <w:color w:val="auto"/>
        </w:rPr>
      </w:pPr>
      <w:r>
        <w:rPr>
          <w:rFonts w:ascii="Arial" w:cs="Arial" w:eastAsia="Arial" w:hAnsi="Arial"/>
          <w:sz w:val="14"/>
          <w:szCs w:val="14"/>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98" w:lineRule="exact"/>
        <w:rPr>
          <w:sz w:val="20"/>
          <w:szCs w:val="20"/>
          <w:color w:val="auto"/>
        </w:rPr>
      </w:pPr>
    </w:p>
    <w:p>
      <w:pPr>
        <w:jc w:val="both"/>
        <w:ind w:firstLine="519"/>
        <w:spacing w:after="0" w:line="304" w:lineRule="auto"/>
        <w:rPr>
          <w:sz w:val="20"/>
          <w:szCs w:val="20"/>
          <w:color w:val="auto"/>
        </w:rPr>
      </w:pPr>
      <w:r>
        <w:rPr>
          <w:rFonts w:ascii="Arial" w:cs="Arial" w:eastAsia="Arial" w:hAnsi="Arial"/>
          <w:sz w:val="13"/>
          <w:szCs w:val="13"/>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81" w:lineRule="exact"/>
        <w:rPr>
          <w:sz w:val="20"/>
          <w:szCs w:val="20"/>
          <w:color w:val="auto"/>
        </w:rPr>
      </w:pPr>
    </w:p>
    <w:p>
      <w:pPr>
        <w:ind w:firstLine="526"/>
        <w:spacing w:after="0" w:line="290" w:lineRule="auto"/>
        <w:tabs>
          <w:tab w:leader="none" w:pos="1035" w:val="left"/>
        </w:tabs>
        <w:numPr>
          <w:ilvl w:val="0"/>
          <w:numId w:val="94"/>
        </w:numPr>
        <w:rPr>
          <w:rFonts w:ascii="Arial" w:cs="Arial" w:eastAsia="Arial" w:hAnsi="Arial"/>
          <w:sz w:val="14"/>
          <w:szCs w:val="14"/>
          <w:color w:val="auto"/>
        </w:rPr>
      </w:pPr>
      <w:r>
        <w:rPr>
          <w:rFonts w:ascii="Arial" w:cs="Arial" w:eastAsia="Arial" w:hAnsi="Arial"/>
          <w:sz w:val="14"/>
          <w:szCs w:val="14"/>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87" w:lineRule="exact"/>
        <w:rPr>
          <w:rFonts w:ascii="Arial" w:cs="Arial" w:eastAsia="Arial" w:hAnsi="Arial"/>
          <w:sz w:val="14"/>
          <w:szCs w:val="14"/>
          <w:color w:val="auto"/>
        </w:rPr>
      </w:pPr>
    </w:p>
    <w:p>
      <w:pPr>
        <w:ind w:firstLine="526"/>
        <w:spacing w:after="0" w:line="290" w:lineRule="auto"/>
        <w:tabs>
          <w:tab w:leader="none" w:pos="103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87" w:lineRule="exact"/>
        <w:rPr>
          <w:rFonts w:ascii="Arial" w:cs="Arial" w:eastAsia="Arial" w:hAnsi="Arial"/>
          <w:sz w:val="14"/>
          <w:szCs w:val="14"/>
          <w:color w:val="auto"/>
        </w:rPr>
      </w:pPr>
    </w:p>
    <w:p>
      <w:pPr>
        <w:jc w:val="both"/>
        <w:ind w:firstLine="526"/>
        <w:spacing w:after="0" w:line="266" w:lineRule="auto"/>
        <w:tabs>
          <w:tab w:leader="none" w:pos="1035"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03" w:lineRule="exact"/>
        <w:rPr>
          <w:rFonts w:ascii="Arial" w:cs="Arial" w:eastAsia="Arial" w:hAnsi="Arial"/>
          <w:sz w:val="14"/>
          <w:szCs w:val="14"/>
          <w:color w:val="auto"/>
        </w:rPr>
      </w:pPr>
    </w:p>
    <w:p>
      <w:pPr>
        <w:ind w:left="1040" w:hanging="514"/>
        <w:spacing w:after="0"/>
        <w:tabs>
          <w:tab w:leader="none" w:pos="10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 hereby agree to be bound by the terms of the Plan. The effectiveness of this Subscription Agreement is dependent upon my eligibility to participate in the Plan.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Employee’s Social</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Security Number</w:t>
      </w:r>
    </w:p>
    <w:p>
      <w:pPr>
        <w:spacing w:after="0" w:line="55" w:lineRule="exact"/>
        <w:rPr>
          <w:sz w:val="20"/>
          <w:szCs w:val="20"/>
          <w:color w:val="auto"/>
        </w:rPr>
      </w:pPr>
    </w:p>
    <w:p>
      <w:pPr>
        <w:ind w:left="20"/>
        <w:spacing w:after="0" w:line="161" w:lineRule="exact"/>
        <w:rPr>
          <w:sz w:val="20"/>
          <w:szCs w:val="20"/>
          <w:color w:val="auto"/>
        </w:rPr>
      </w:pPr>
      <w:r>
        <w:rPr>
          <w:rFonts w:ascii="Arial" w:cs="Arial" w:eastAsia="Arial" w:hAnsi="Arial"/>
          <w:sz w:val="14"/>
          <w:szCs w:val="14"/>
          <w:color w:val="auto"/>
        </w:rPr>
        <w:t>(for U.S.</w:t>
      </w:r>
      <w:r>
        <w:rPr>
          <w:rFonts w:ascii="MS PGothic" w:cs="MS PGothic" w:eastAsia="MS PGothic" w:hAnsi="MS PGothic"/>
          <w:sz w:val="14"/>
          <w:szCs w:val="14"/>
          <w:color w:val="auto"/>
        </w:rPr>
        <w:t>‑</w:t>
      </w:r>
      <w:r>
        <w:rPr>
          <w:rFonts w:ascii="Arial" w:cs="Arial" w:eastAsia="Arial" w:hAnsi="Arial"/>
          <w:sz w:val="14"/>
          <w:szCs w:val="14"/>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27940</wp:posOffset>
            </wp:positionV>
            <wp:extent cx="36760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extLst>
                    </a:blip>
                    <a:srcRect/>
                    <a:stretch>
                      <a:fillRect/>
                    </a:stretch>
                  </pic:blipFill>
                  <pic:spPr bwMode="auto">
                    <a:xfrm>
                      <a:off x="0" y="0"/>
                      <a:ext cx="3676015" cy="6985"/>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577850</wp:posOffset>
            </wp:positionV>
            <wp:extent cx="36760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extLst>
                    </a:blip>
                    <a:srcRect/>
                    <a:stretch>
                      <a:fillRect/>
                    </a:stretch>
                  </pic:blipFill>
                  <pic:spPr bwMode="auto">
                    <a:xfrm>
                      <a:off x="0" y="0"/>
                      <a:ext cx="3676015"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302895</wp:posOffset>
            </wp:positionV>
            <wp:extent cx="36760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extLst>
                    </a:blip>
                    <a:srcRect/>
                    <a:stretch>
                      <a:fillRect/>
                    </a:stretch>
                  </pic:blipFill>
                  <pic:spPr bwMode="auto">
                    <a:xfrm>
                      <a:off x="0" y="0"/>
                      <a:ext cx="3676015"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27940</wp:posOffset>
            </wp:positionV>
            <wp:extent cx="36760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extLst>
                    </a:blip>
                    <a:srcRect/>
                    <a:stretch>
                      <a:fillRect/>
                    </a:stretch>
                  </pic:blipFill>
                  <pic:spPr bwMode="auto">
                    <a:xfrm>
                      <a:off x="0" y="0"/>
                      <a:ext cx="36760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I UNDERSTAND THAT THIS SUBSCRIPTION AGREEMENT WILL REMAIN IN EFFECT THROUGHOUT SUCCESSIVE OFFERING PERIODS UNLESS TERMINATED BY ME.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27940</wp:posOffset>
            </wp:positionV>
            <wp:extent cx="662368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6623685" cy="6985"/>
                    </a:xfrm>
                    <a:prstGeom prst="rect">
                      <a:avLst/>
                    </a:prstGeom>
                    <a:noFill/>
                  </pic:spPr>
                </pic:pic>
              </a:graphicData>
            </a:graphic>
          </wp:anchor>
        </w:drawing>
      </w:r>
    </w:p>
    <w:p>
      <w:pPr>
        <w:spacing w:after="0" w:line="46"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67" w:right="319" w:bottom="1440" w:gutter="0" w:footer="0" w:header="0"/>
        </w:sectPr>
      </w:pPr>
    </w:p>
    <w:bookmarkStart w:id="98" w:name="page99"/>
    <w:bookmarkEnd w:id="98"/>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NAUTILUS BIOTECHNOLOGY,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 EMPLOYEE STOCK PURCHASE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WITHDRAWAL</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undersigned Participant in the Offering Period of the Nautilus Biotechnology, Inc. 2021 Employee Stock Purchase Plan (the “</w:t>
      </w:r>
      <w:r>
        <w:rPr>
          <w:rFonts w:ascii="Arial" w:cs="Arial" w:eastAsia="Arial" w:hAnsi="Arial"/>
          <w:sz w:val="13"/>
          <w:szCs w:val="13"/>
          <w:b w:val="1"/>
          <w:bCs w:val="1"/>
          <w:color w:val="auto"/>
        </w:rPr>
        <w:t>Plan</w:t>
      </w:r>
      <w:r>
        <w:rPr>
          <w:rFonts w:ascii="Arial" w:cs="Arial" w:eastAsia="Arial" w:hAnsi="Arial"/>
          <w:sz w:val="13"/>
          <w:szCs w:val="13"/>
          <w:color w:val="auto"/>
        </w:rPr>
        <w:t>”) that began on ____________, ______ (the “</w:t>
      </w:r>
      <w:r>
        <w:rPr>
          <w:rFonts w:ascii="Arial" w:cs="Arial" w:eastAsia="Arial" w:hAnsi="Arial"/>
          <w:sz w:val="13"/>
          <w:szCs w:val="13"/>
          <w:b w:val="1"/>
          <w:bCs w:val="1"/>
          <w:color w:val="auto"/>
        </w:rPr>
        <w:t>Offering</w:t>
      </w:r>
    </w:p>
    <w:p>
      <w:pPr>
        <w:spacing w:after="0" w:line="3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Date</w:t>
      </w:r>
      <w:r>
        <w:rPr>
          <w:rFonts w:ascii="Arial" w:cs="Arial" w:eastAsia="Arial" w:hAnsi="Arial"/>
          <w:sz w:val="14"/>
          <w:szCs w:val="14"/>
          <w:color w:val="auto"/>
        </w:rPr>
        <w:t>”) hereby notifies the Company that he or she hereby withdraws from the Offering Period. He or she hereby directs the Company to pay to the undersigned as promptly as practicable all the</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646430</wp:posOffset>
            </wp:positionV>
            <wp:extent cx="36347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406400</wp:posOffset>
            </wp:positionV>
            <wp:extent cx="363474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36347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165735</wp:posOffset>
            </wp:positionV>
            <wp:extent cx="363474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363474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27940</wp:posOffset>
            </wp:positionV>
            <wp:extent cx="318135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3181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63" w:right="31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June 9, 2021</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Office of the Chief Accountant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100 F Street, NE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20549</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85" w:lineRule="exact"/>
        <w:rPr>
          <w:sz w:val="20"/>
          <w:szCs w:val="20"/>
          <w:color w:val="auto"/>
        </w:rPr>
      </w:pPr>
    </w:p>
    <w:p>
      <w:pPr>
        <w:ind w:right="120"/>
        <w:spacing w:after="0" w:line="274" w:lineRule="auto"/>
        <w:rPr>
          <w:sz w:val="20"/>
          <w:szCs w:val="20"/>
          <w:color w:val="auto"/>
        </w:rPr>
      </w:pPr>
      <w:r>
        <w:rPr>
          <w:rFonts w:ascii="Arial" w:cs="Arial" w:eastAsia="Arial" w:hAnsi="Arial"/>
          <w:sz w:val="14"/>
          <w:szCs w:val="14"/>
          <w:color w:val="auto"/>
        </w:rPr>
        <w:t>We have read Nautilus Biotechnology, Inc. statements (formally known as ARYA Sciences Acquisition Corp III) included under Item 4.01 of its Form 8-K dated June 9, 2021. We agree with the statements concerning our Firm under Item 4.01, in which we were informed of our dismissal on June 9, 2021. We are not in a position to agree or disagree with other statements contained therein.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Very truly yours,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WithumSmith+Brown, PC</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w:t>
      </w:r>
    </w:p>
    <w:p>
      <w:pPr>
        <w:sectPr>
          <w:pgSz w:w="11900" w:h="16838" w:orient="portrait"/>
          <w:cols w:equalWidth="0" w:num="1">
            <w:col w:w="11280"/>
          </w:cols>
          <w:pgMar w:left="300" w:top="125" w:right="3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Nautilus Biotechnology, Inc.</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Condensed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of March 31, 2021 and December 31, 2020 and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7159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86"/>
              </w:rPr>
              <w:t>Page(s)</w:t>
            </w:r>
          </w:p>
        </w:tc>
      </w:tr>
      <w:tr>
        <w:trPr>
          <w:trHeight w:val="249"/>
        </w:trPr>
        <w:tc>
          <w:tcPr>
            <w:tcW w:w="9920" w:type="dxa"/>
            <w:vAlign w:val="bottom"/>
            <w:gridSpan w:val="7"/>
          </w:tcPr>
          <w:p>
            <w:pPr>
              <w:spacing w:after="0"/>
              <w:rPr>
                <w:sz w:val="20"/>
                <w:szCs w:val="20"/>
                <w:color w:val="auto"/>
              </w:rPr>
            </w:pPr>
            <w:r>
              <w:rPr>
                <w:rFonts w:ascii="Arial" w:cs="Arial" w:eastAsia="Arial" w:hAnsi="Arial"/>
                <w:sz w:val="14"/>
                <w:szCs w:val="14"/>
                <w:b w:val="1"/>
                <w:bCs w:val="1"/>
                <w:color w:val="auto"/>
              </w:rPr>
              <w:t>Nautilus Biotechnology, Inc. Unaudited Condensed Financial Statements</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4940" w:type="dxa"/>
            <w:vAlign w:val="bottom"/>
            <w:gridSpan w:val="2"/>
          </w:tcPr>
          <w:p>
            <w:pPr>
              <w:spacing w:after="0"/>
              <w:rPr>
                <w:rFonts w:ascii="Arial" w:cs="Arial" w:eastAsia="Arial" w:hAnsi="Arial"/>
                <w:sz w:val="14"/>
                <w:szCs w:val="14"/>
                <w:color w:val="0000FF"/>
                <w:w w:val="91"/>
              </w:rPr>
            </w:pPr>
            <w:hyperlink w:anchor="page102">
              <w:r>
                <w:rPr>
                  <w:rFonts w:ascii="Arial" w:cs="Arial" w:eastAsia="Arial" w:hAnsi="Arial"/>
                  <w:sz w:val="14"/>
                  <w:szCs w:val="14"/>
                  <w:color w:val="0000FF"/>
                  <w:w w:val="91"/>
                </w:rPr>
                <w:t>Condensed Balance Sheets as of March 31, 2021 and December 31, 2020 (unaudited)</w:t>
              </w:r>
            </w:hyperlink>
          </w:p>
        </w:tc>
        <w:tc>
          <w:tcPr>
            <w:tcW w:w="49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center"/>
              <w:ind w:right="120"/>
              <w:spacing w:after="0"/>
              <w:rPr>
                <w:rFonts w:ascii="Arial" w:cs="Arial" w:eastAsia="Arial" w:hAnsi="Arial"/>
                <w:sz w:val="14"/>
                <w:szCs w:val="14"/>
                <w:color w:val="0000FF"/>
                <w:w w:val="94"/>
              </w:rPr>
            </w:pPr>
            <w:hyperlink w:anchor="page102">
              <w:r>
                <w:rPr>
                  <w:rFonts w:ascii="Arial" w:cs="Arial" w:eastAsia="Arial" w:hAnsi="Arial"/>
                  <w:sz w:val="14"/>
                  <w:szCs w:val="14"/>
                  <w:color w:val="0000FF"/>
                  <w:w w:val="94"/>
                </w:rPr>
                <w:t>F-3</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9920" w:type="dxa"/>
            <w:vAlign w:val="bottom"/>
            <w:gridSpan w:val="7"/>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Condensed Statements of Operations for the Three Months Ended March 31, 2021 and 2020 (unaudited)</w:t>
              </w:r>
            </w:hyperlink>
          </w:p>
        </w:tc>
        <w:tc>
          <w:tcPr>
            <w:tcW w:w="1100" w:type="dxa"/>
            <w:vAlign w:val="bottom"/>
            <w:gridSpan w:val="3"/>
          </w:tcPr>
          <w:p>
            <w:pPr>
              <w:jc w:val="center"/>
              <w:ind w:left="588"/>
              <w:spacing w:after="0"/>
              <w:rPr>
                <w:rFonts w:ascii="Arial" w:cs="Arial" w:eastAsia="Arial" w:hAnsi="Arial"/>
                <w:sz w:val="14"/>
                <w:szCs w:val="14"/>
                <w:color w:val="0000FF"/>
                <w:w w:val="94"/>
              </w:rPr>
            </w:pPr>
            <w:hyperlink w:anchor="page103">
              <w:r>
                <w:rPr>
                  <w:rFonts w:ascii="Arial" w:cs="Arial" w:eastAsia="Arial" w:hAnsi="Arial"/>
                  <w:sz w:val="14"/>
                  <w:szCs w:val="14"/>
                  <w:color w:val="0000FF"/>
                  <w:w w:val="94"/>
                </w:rPr>
                <w:t>F-4</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9920" w:type="dxa"/>
            <w:vAlign w:val="bottom"/>
            <w:gridSpan w:val="7"/>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Condensed Statements of Comprehensive Loss for the Three Months Ended March 31, 2021 and 2020 (unaudited)</w:t>
              </w:r>
            </w:hyperlink>
          </w:p>
        </w:tc>
        <w:tc>
          <w:tcPr>
            <w:tcW w:w="1100" w:type="dxa"/>
            <w:vAlign w:val="bottom"/>
            <w:gridSpan w:val="3"/>
          </w:tcPr>
          <w:p>
            <w:pPr>
              <w:jc w:val="center"/>
              <w:ind w:left="588"/>
              <w:spacing w:after="0"/>
              <w:rPr>
                <w:rFonts w:ascii="Arial" w:cs="Arial" w:eastAsia="Arial" w:hAnsi="Arial"/>
                <w:sz w:val="14"/>
                <w:szCs w:val="14"/>
                <w:color w:val="0000FF"/>
                <w:w w:val="94"/>
              </w:rPr>
            </w:pPr>
            <w:hyperlink w:anchor="page104">
              <w:r>
                <w:rPr>
                  <w:rFonts w:ascii="Arial" w:cs="Arial" w:eastAsia="Arial" w:hAnsi="Arial"/>
                  <w:sz w:val="14"/>
                  <w:szCs w:val="14"/>
                  <w:color w:val="0000FF"/>
                  <w:w w:val="94"/>
                </w:rPr>
                <w:t>F-5</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9920" w:type="dxa"/>
            <w:vAlign w:val="bottom"/>
            <w:gridSpan w:val="7"/>
          </w:tcPr>
          <w:p>
            <w:pPr>
              <w:spacing w:after="0"/>
              <w:rPr>
                <w:rFonts w:ascii="Arial" w:cs="Arial" w:eastAsia="Arial" w:hAnsi="Arial"/>
                <w:sz w:val="14"/>
                <w:szCs w:val="14"/>
                <w:color w:val="0000FF"/>
                <w:w w:val="99"/>
              </w:rPr>
            </w:pPr>
            <w:hyperlink w:anchor="page105">
              <w:r>
                <w:rPr>
                  <w:rFonts w:ascii="Arial" w:cs="Arial" w:eastAsia="Arial" w:hAnsi="Arial"/>
                  <w:sz w:val="14"/>
                  <w:szCs w:val="14"/>
                  <w:color w:val="0000FF"/>
                  <w:w w:val="99"/>
                </w:rPr>
                <w:t>Condensed Statements of Redeemable Convertible Preferred Stock and Stockholders’ Deficit for the Three Months Ended March 31, 2021 and 2020 (unaudited)</w:t>
              </w:r>
            </w:hyperlink>
          </w:p>
        </w:tc>
        <w:tc>
          <w:tcPr>
            <w:tcW w:w="1100" w:type="dxa"/>
            <w:vAlign w:val="bottom"/>
            <w:gridSpan w:val="3"/>
          </w:tcPr>
          <w:p>
            <w:pPr>
              <w:jc w:val="center"/>
              <w:ind w:left="588"/>
              <w:spacing w:after="0"/>
              <w:rPr>
                <w:rFonts w:ascii="Arial" w:cs="Arial" w:eastAsia="Arial" w:hAnsi="Arial"/>
                <w:sz w:val="14"/>
                <w:szCs w:val="14"/>
                <w:color w:val="0000FF"/>
                <w:w w:val="94"/>
              </w:rPr>
            </w:pPr>
            <w:hyperlink w:anchor="page105">
              <w:r>
                <w:rPr>
                  <w:rFonts w:ascii="Arial" w:cs="Arial" w:eastAsia="Arial" w:hAnsi="Arial"/>
                  <w:sz w:val="14"/>
                  <w:szCs w:val="14"/>
                  <w:color w:val="0000FF"/>
                  <w:w w:val="94"/>
                </w:rPr>
                <w:t>F-6</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6080" w:type="dxa"/>
            <w:vAlign w:val="bottom"/>
            <w:gridSpan w:val="4"/>
          </w:tcPr>
          <w:p>
            <w:pPr>
              <w:spacing w:after="0"/>
              <w:rPr>
                <w:rFonts w:ascii="Arial" w:cs="Arial" w:eastAsia="Arial" w:hAnsi="Arial"/>
                <w:sz w:val="14"/>
                <w:szCs w:val="14"/>
                <w:color w:val="0000FF"/>
                <w:w w:val="92"/>
              </w:rPr>
            </w:pPr>
            <w:hyperlink w:anchor="page106">
              <w:r>
                <w:rPr>
                  <w:rFonts w:ascii="Arial" w:cs="Arial" w:eastAsia="Arial" w:hAnsi="Arial"/>
                  <w:sz w:val="14"/>
                  <w:szCs w:val="14"/>
                  <w:color w:val="0000FF"/>
                  <w:w w:val="92"/>
                </w:rPr>
                <w:t>Condensed Statements of Cash Flows for the Three Months Ended March 31, 2021 and 2020 (unaudited)</w:t>
              </w:r>
            </w:hyperlink>
          </w:p>
        </w:tc>
        <w:tc>
          <w:tcPr>
            <w:tcW w:w="32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2"/>
          </w:tcPr>
          <w:p>
            <w:pPr>
              <w:jc w:val="center"/>
              <w:ind w:right="120"/>
              <w:spacing w:after="0"/>
              <w:rPr>
                <w:rFonts w:ascii="Arial" w:cs="Arial" w:eastAsia="Arial" w:hAnsi="Arial"/>
                <w:sz w:val="14"/>
                <w:szCs w:val="14"/>
                <w:color w:val="0000FF"/>
                <w:w w:val="94"/>
              </w:rPr>
            </w:pPr>
            <w:hyperlink w:anchor="page106">
              <w:r>
                <w:rPr>
                  <w:rFonts w:ascii="Arial" w:cs="Arial" w:eastAsia="Arial" w:hAnsi="Arial"/>
                  <w:sz w:val="14"/>
                  <w:szCs w:val="14"/>
                  <w:color w:val="0000FF"/>
                  <w:w w:val="94"/>
                </w:rPr>
                <w:t>F-7</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6080" w:type="dxa"/>
            <w:vAlign w:val="bottom"/>
            <w:gridSpan w:val="4"/>
          </w:tcPr>
          <w:p>
            <w:pPr>
              <w:spacing w:after="0"/>
              <w:rPr>
                <w:rFonts w:ascii="Arial" w:cs="Arial" w:eastAsia="Arial" w:hAnsi="Arial"/>
                <w:sz w:val="14"/>
                <w:szCs w:val="14"/>
                <w:color w:val="0000FF"/>
              </w:rPr>
            </w:pPr>
            <w:hyperlink w:anchor="page107">
              <w:r>
                <w:rPr>
                  <w:rFonts w:ascii="Arial" w:cs="Arial" w:eastAsia="Arial" w:hAnsi="Arial"/>
                  <w:sz w:val="14"/>
                  <w:szCs w:val="14"/>
                  <w:color w:val="0000FF"/>
                </w:rPr>
                <w:t>Notes to Condensed Financial Statements (unaudited)</w:t>
              </w:r>
            </w:hyperlink>
          </w:p>
        </w:tc>
        <w:tc>
          <w:tcPr>
            <w:tcW w:w="384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2"/>
          </w:tcPr>
          <w:p>
            <w:pPr>
              <w:jc w:val="center"/>
              <w:ind w:right="120"/>
              <w:spacing w:after="0"/>
              <w:rPr>
                <w:rFonts w:ascii="Arial" w:cs="Arial" w:eastAsia="Arial" w:hAnsi="Arial"/>
                <w:sz w:val="14"/>
                <w:szCs w:val="14"/>
                <w:color w:val="0000FF"/>
                <w:w w:val="94"/>
              </w:rPr>
            </w:pPr>
            <w:hyperlink w:anchor="page107">
              <w:r>
                <w:rPr>
                  <w:rFonts w:ascii="Arial" w:cs="Arial" w:eastAsia="Arial" w:hAnsi="Arial"/>
                  <w:sz w:val="14"/>
                  <w:szCs w:val="14"/>
                  <w:color w:val="0000FF"/>
                  <w:w w:val="94"/>
                </w:rPr>
                <w:t>F-8</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020"/>
          </w:cols>
          <w:pgMar w:left="320" w:top="171" w:right="559" w:bottom="1440" w:gutter="0" w:footer="0" w:header="0"/>
        </w:sectPr>
      </w:pPr>
    </w:p>
    <w:bookmarkStart w:id="102" w:name="page103"/>
    <w:bookmarkEnd w:id="102"/>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 of March 31, 2021 and December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369"/>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806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7"/>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6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1040" w:type="dxa"/>
            <w:vAlign w:val="bottom"/>
          </w:tcPr>
          <w:p>
            <w:pPr>
              <w:jc w:val="right"/>
              <w:ind w:right="893"/>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51,803</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36,607</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Short-term investments</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40,135</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current assets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77,659</w:t>
            </w: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 term assets</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79,402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0" w:type="dxa"/>
            <w:vAlign w:val="bottom"/>
          </w:tcPr>
          <w:p>
            <w:pPr>
              <w:spacing w:after="0"/>
              <w:rPr>
                <w:sz w:val="1"/>
                <w:szCs w:val="1"/>
                <w:color w:val="auto"/>
              </w:rPr>
            </w:pPr>
          </w:p>
        </w:tc>
      </w:tr>
      <w:tr>
        <w:trPr>
          <w:trHeight w:val="164"/>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6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1040" w:type="dxa"/>
            <w:vAlign w:val="bottom"/>
          </w:tcPr>
          <w:p>
            <w:pPr>
              <w:jc w:val="right"/>
              <w:ind w:right="893"/>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 and other liabilities</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Current portion of operating lease liability</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Operating lease liability, net of current portion</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20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10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9)</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3"/>
              </w:rPr>
              <w:t>Series Seed redeemable convertible preferred stock - par value $0.0001, 3,631,354 shares authorized, issued and outstanding as of March</w:t>
            </w:r>
          </w:p>
        </w:tc>
        <w:tc>
          <w:tcPr>
            <w:tcW w:w="10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31, 2021 and December 31, 2020 (liquidation preference of $7,263 as of March 31, 2021 and December 31, 2020)</w:t>
            </w:r>
          </w:p>
        </w:tc>
        <w:tc>
          <w:tcPr>
            <w:tcW w:w="10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60" w:type="dxa"/>
            <w:vAlign w:val="bottom"/>
          </w:tcPr>
          <w:p>
            <w:pPr>
              <w:ind w:left="20"/>
              <w:spacing w:after="0" w:line="141" w:lineRule="exact"/>
              <w:rPr>
                <w:sz w:val="20"/>
                <w:szCs w:val="20"/>
                <w:color w:val="auto"/>
              </w:rPr>
            </w:pPr>
            <w:r>
              <w:rPr>
                <w:rFonts w:ascii="Arial" w:cs="Arial" w:eastAsia="Arial" w:hAnsi="Arial"/>
                <w:sz w:val="14"/>
                <w:szCs w:val="14"/>
                <w:color w:val="auto"/>
                <w:w w:val="93"/>
              </w:rPr>
              <w:t>Series A redeemable convertible preferred stock - par value $0.0001, 4,640,604 shares authorized, issued and outstanding as of March 31,</w:t>
            </w:r>
          </w:p>
        </w:tc>
        <w:tc>
          <w:tcPr>
            <w:tcW w:w="10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27,067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27,067</w:t>
            </w:r>
          </w:p>
        </w:tc>
        <w:tc>
          <w:tcPr>
            <w:tcW w:w="0" w:type="dxa"/>
            <w:vAlign w:val="bottom"/>
          </w:tcPr>
          <w:p>
            <w:pPr>
              <w:spacing w:after="0"/>
              <w:rPr>
                <w:sz w:val="1"/>
                <w:szCs w:val="1"/>
                <w:color w:val="auto"/>
              </w:rPr>
            </w:pPr>
          </w:p>
        </w:tc>
      </w:tr>
      <w:tr>
        <w:trPr>
          <w:trHeight w:val="183"/>
        </w:trPr>
        <w:tc>
          <w:tcPr>
            <w:tcW w:w="8060" w:type="dxa"/>
            <w:vAlign w:val="bottom"/>
          </w:tcPr>
          <w:p>
            <w:pPr>
              <w:ind w:left="160"/>
              <w:spacing w:after="0"/>
              <w:rPr>
                <w:sz w:val="20"/>
                <w:szCs w:val="20"/>
                <w:color w:val="auto"/>
              </w:rPr>
            </w:pPr>
            <w:r>
              <w:rPr>
                <w:rFonts w:ascii="Arial" w:cs="Arial" w:eastAsia="Arial" w:hAnsi="Arial"/>
                <w:sz w:val="14"/>
                <w:szCs w:val="14"/>
                <w:color w:val="auto"/>
              </w:rPr>
              <w:t>2021 and December 31, 2020 (liquidation preference of $27,200 as of March 31, 2021 and December 31, 2020)</w:t>
            </w:r>
          </w:p>
        </w:tc>
        <w:tc>
          <w:tcPr>
            <w:tcW w:w="10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2"/>
              </w:rPr>
              <w:t>Series B redeemable convertible preferred stock - par value $0.0001, 6,209,233 shares authorized as of March 31, 2021 and December 31,</w:t>
            </w: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6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w w:val="94"/>
              </w:rPr>
              <w:t>2020, 6,109,232 shares issued and outstanding as of March 31, 2021 and December 31, 2020, (liquidation preference of $76,070 as of</w:t>
            </w:r>
          </w:p>
        </w:tc>
        <w:tc>
          <w:tcPr>
            <w:tcW w:w="10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March 31, 2021 and December 31, 2020)</w:t>
            </w:r>
          </w:p>
        </w:tc>
        <w:tc>
          <w:tcPr>
            <w:tcW w:w="10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60" w:type="dxa"/>
            <w:vAlign w:val="bottom"/>
          </w:tcPr>
          <w:p>
            <w:pPr>
              <w:ind w:left="20"/>
              <w:spacing w:after="0" w:line="141" w:lineRule="exact"/>
              <w:rPr>
                <w:sz w:val="20"/>
                <w:szCs w:val="20"/>
                <w:color w:val="auto"/>
              </w:rPr>
            </w:pPr>
            <w:r>
              <w:rPr>
                <w:rFonts w:ascii="Arial" w:cs="Arial" w:eastAsia="Arial" w:hAnsi="Arial"/>
                <w:sz w:val="14"/>
                <w:szCs w:val="14"/>
                <w:color w:val="auto"/>
                <w:w w:val="93"/>
              </w:rPr>
              <w:t>Common stock, $0.0001 par value, 27,196,999 shares authorized as of March 31, 2021 and December 31, 2020; 9,114,904 shares issued</w:t>
            </w:r>
          </w:p>
        </w:tc>
        <w:tc>
          <w:tcPr>
            <w:tcW w:w="10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8060" w:type="dxa"/>
            <w:vAlign w:val="bottom"/>
          </w:tcPr>
          <w:p>
            <w:pPr>
              <w:ind w:left="160"/>
              <w:spacing w:after="0"/>
              <w:rPr>
                <w:sz w:val="20"/>
                <w:szCs w:val="20"/>
                <w:color w:val="auto"/>
              </w:rPr>
            </w:pPr>
            <w:r>
              <w:rPr>
                <w:rFonts w:ascii="Arial" w:cs="Arial" w:eastAsia="Arial" w:hAnsi="Arial"/>
                <w:sz w:val="14"/>
                <w:szCs w:val="14"/>
                <w:color w:val="auto"/>
              </w:rPr>
              <w:t>and outstanding as of March 31, 2021 and December 31, 2020</w:t>
            </w:r>
          </w:p>
        </w:tc>
        <w:tc>
          <w:tcPr>
            <w:tcW w:w="10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3"/>
        </w:trPr>
        <w:tc>
          <w:tcPr>
            <w:tcW w:w="8060" w:type="dxa"/>
            <w:vAlign w:val="bottom"/>
          </w:tcPr>
          <w:p>
            <w:pPr>
              <w:ind w:left="100"/>
              <w:spacing w:after="0"/>
              <w:rPr>
                <w:sz w:val="20"/>
                <w:szCs w:val="20"/>
                <w:color w:val="auto"/>
              </w:rPr>
            </w:pPr>
            <w:r>
              <w:rPr>
                <w:rFonts w:ascii="Arial" w:cs="Arial" w:eastAsia="Arial" w:hAnsi="Arial"/>
                <w:sz w:val="14"/>
                <w:szCs w:val="14"/>
                <w:color w:val="auto"/>
              </w:rPr>
              <w:t>Accumulated other comprehensive income</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deficit</w:t>
            </w:r>
          </w:p>
        </w:tc>
        <w:tc>
          <w:tcPr>
            <w:tcW w:w="10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(38,734)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0" w:type="dxa"/>
            <w:vAlign w:val="bottom"/>
          </w:tcPr>
          <w:p>
            <w:pPr>
              <w:spacing w:after="0"/>
              <w:rPr>
                <w:sz w:val="1"/>
                <w:szCs w:val="1"/>
                <w:color w:val="auto"/>
              </w:rPr>
            </w:pPr>
          </w:p>
        </w:tc>
      </w:tr>
      <w:tr>
        <w:trPr>
          <w:trHeight w:val="174"/>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stockholders’ deficit</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(36,795)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20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79,402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280"/>
          </w:cols>
          <w:pgMar w:left="300" w:top="171" w:right="319" w:bottom="1440" w:gutter="0" w:footer="0" w:header="0"/>
        </w:sectPr>
      </w:pPr>
    </w:p>
    <w:bookmarkStart w:id="103" w:name="page104"/>
    <w:bookmarkEnd w:id="103"/>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Statements of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2"/>
                <w:szCs w:val="12"/>
                <w:b w:val="1"/>
                <w:bCs w:val="1"/>
                <w:color w:val="auto"/>
              </w:rPr>
              <w:t>Three Months Ended March 31,</w:t>
            </w: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4,835</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74"/>
        </w:trPr>
        <w:tc>
          <w:tcPr>
            <w:tcW w:w="8060" w:type="dxa"/>
            <w:vAlign w:val="bottom"/>
          </w:tcPr>
          <w:p>
            <w:pPr>
              <w:ind w:left="200"/>
              <w:spacing w:after="0"/>
              <w:rPr>
                <w:sz w:val="20"/>
                <w:szCs w:val="20"/>
                <w:color w:val="auto"/>
              </w:rPr>
            </w:pPr>
            <w:r>
              <w:rPr>
                <w:rFonts w:ascii="Arial" w:cs="Arial" w:eastAsia="Arial" w:hAnsi="Arial"/>
                <w:sz w:val="14"/>
                <w:szCs w:val="14"/>
                <w:color w:val="auto"/>
              </w:rPr>
              <w:t>Total operating expenses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2,997</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74"/>
        </w:trPr>
        <w:tc>
          <w:tcPr>
            <w:tcW w:w="806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shares used in computing net loss per share attributable to common stockholders, basic and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6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9,095,711</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7,292,773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280"/>
          </w:cols>
          <w:pgMar w:left="300" w:top="171" w:right="319" w:bottom="1440" w:gutter="0" w:footer="0" w:header="0"/>
        </w:sectPr>
      </w:pPr>
    </w:p>
    <w:bookmarkStart w:id="104" w:name="page105"/>
    <w:bookmarkEnd w:id="104"/>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2"/>
                <w:szCs w:val="12"/>
                <w:b w:val="1"/>
                <w:bCs w:val="1"/>
                <w:color w:val="auto"/>
              </w:rPr>
              <w:t>Three Months Ended March 31,</w:t>
            </w:r>
          </w:p>
        </w:tc>
      </w:tr>
      <w:tr>
        <w:trPr>
          <w:trHeight w:val="1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2020</w:t>
            </w: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Unrealized (loss) gain on securities available-for-sale</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74"/>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(loss) income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171" w:right="319" w:bottom="1440" w:gutter="0" w:footer="0" w:header="0"/>
        </w:sectPr>
      </w:pPr>
    </w:p>
    <w:bookmarkStart w:id="105" w:name="page106"/>
    <w:bookmarkEnd w:id="105"/>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Statements of Redeemable Convertible Preferred Stock and Stockholders’ Deficit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0"/>
                <w:szCs w:val="10"/>
                <w:b w:val="1"/>
                <w:bCs w:val="1"/>
                <w:i w:val="1"/>
                <w:iCs w:val="1"/>
                <w:color w:val="auto"/>
              </w:rPr>
              <w:t>Three Months Ended March 31, 2021</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10"/>
          </w:tcPr>
          <w:p>
            <w:pPr>
              <w:jc w:val="center"/>
              <w:ind w:left="264"/>
              <w:spacing w:after="0"/>
              <w:rPr>
                <w:sz w:val="20"/>
                <w:szCs w:val="20"/>
                <w:color w:val="auto"/>
              </w:rPr>
            </w:pPr>
            <w:r>
              <w:rPr>
                <w:rFonts w:ascii="Arial" w:cs="Arial" w:eastAsia="Arial" w:hAnsi="Arial"/>
                <w:sz w:val="10"/>
                <w:szCs w:val="10"/>
                <w:b w:val="1"/>
                <w:bCs w:val="1"/>
                <w:color w:val="auto"/>
                <w:w w:val="90"/>
              </w:rPr>
              <w:t>Redeemable Convertible Preferred Stock</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Additional</w:t>
            </w: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0"/>
                <w:szCs w:val="10"/>
                <w:b w:val="1"/>
                <w:bCs w:val="1"/>
                <w:color w:val="auto"/>
                <w:w w:val="93"/>
              </w:rPr>
              <w:t>Accumulated Other</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center"/>
              <w:ind w:right="45"/>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gridSpan w:val="4"/>
            <w:vMerge w:val="restart"/>
          </w:tcPr>
          <w:p>
            <w:pPr>
              <w:jc w:val="right"/>
              <w:ind w:right="364"/>
              <w:spacing w:after="0"/>
              <w:rPr>
                <w:sz w:val="20"/>
                <w:szCs w:val="20"/>
                <w:color w:val="auto"/>
              </w:rPr>
            </w:pPr>
            <w:r>
              <w:rPr>
                <w:rFonts w:ascii="Arial" w:cs="Arial" w:eastAsia="Arial" w:hAnsi="Arial"/>
                <w:sz w:val="10"/>
                <w:szCs w:val="10"/>
                <w:b w:val="1"/>
                <w:bCs w:val="1"/>
                <w:color w:val="auto"/>
              </w:rPr>
              <w:t>Series Seed</w:t>
            </w:r>
          </w:p>
        </w:tc>
        <w:tc>
          <w:tcPr>
            <w:tcW w:w="60" w:type="dxa"/>
            <w:vAlign w:val="bottom"/>
            <w:vMerge w:val="restart"/>
          </w:tcPr>
          <w:p>
            <w:pPr>
              <w:spacing w:after="0"/>
              <w:rPr>
                <w:sz w:val="2"/>
                <w:szCs w:val="2"/>
                <w:color w:val="auto"/>
              </w:rPr>
            </w:pPr>
          </w:p>
        </w:tc>
        <w:tc>
          <w:tcPr>
            <w:tcW w:w="860" w:type="dxa"/>
            <w:vAlign w:val="bottom"/>
            <w:gridSpan w:val="4"/>
            <w:vMerge w:val="restart"/>
          </w:tcPr>
          <w:p>
            <w:pPr>
              <w:jc w:val="center"/>
              <w:ind w:left="424"/>
              <w:spacing w:after="0"/>
              <w:rPr>
                <w:sz w:val="20"/>
                <w:szCs w:val="20"/>
                <w:color w:val="auto"/>
              </w:rPr>
            </w:pPr>
            <w:r>
              <w:rPr>
                <w:rFonts w:ascii="Arial" w:cs="Arial" w:eastAsia="Arial" w:hAnsi="Arial"/>
                <w:sz w:val="10"/>
                <w:szCs w:val="10"/>
                <w:b w:val="1"/>
                <w:bCs w:val="1"/>
                <w:color w:val="auto"/>
                <w:w w:val="84"/>
              </w:rPr>
              <w:t>Series A</w:t>
            </w: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Series B</w:t>
            </w:r>
          </w:p>
        </w:tc>
        <w:tc>
          <w:tcPr>
            <w:tcW w:w="4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4"/>
            <w:vMerge w:val="restart"/>
          </w:tcPr>
          <w:p>
            <w:pPr>
              <w:jc w:val="right"/>
              <w:ind w:right="284"/>
              <w:spacing w:after="0"/>
              <w:rPr>
                <w:sz w:val="20"/>
                <w:szCs w:val="20"/>
                <w:color w:val="auto"/>
              </w:rPr>
            </w:pPr>
            <w:r>
              <w:rPr>
                <w:rFonts w:ascii="Arial" w:cs="Arial" w:eastAsia="Arial" w:hAnsi="Arial"/>
                <w:sz w:val="10"/>
                <w:szCs w:val="10"/>
                <w:b w:val="1"/>
                <w:bCs w:val="1"/>
                <w:color w:val="auto"/>
              </w:rPr>
              <w:t>Common Stock</w:t>
            </w: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center"/>
              <w:ind w:right="45"/>
              <w:spacing w:after="0" w:line="111" w:lineRule="exact"/>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2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60" w:type="dxa"/>
            <w:vAlign w:val="bottom"/>
            <w:tcBorders>
              <w:bottom w:val="single" w:sz="8" w:color="auto"/>
            </w:tcBorders>
            <w:gridSpan w:val="4"/>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60"/>
              <w:spacing w:after="0" w:line="76"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6"/>
                <w:szCs w:val="6"/>
                <w:color w:val="auto"/>
              </w:rPr>
            </w:pPr>
          </w:p>
        </w:tc>
        <w:tc>
          <w:tcPr>
            <w:tcW w:w="900" w:type="dxa"/>
            <w:vAlign w:val="bottom"/>
            <w:gridSpan w:val="2"/>
          </w:tcPr>
          <w:p>
            <w:pPr>
              <w:jc w:val="center"/>
              <w:ind w:right="180"/>
              <w:spacing w:after="0" w:line="76"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6"/>
                <w:szCs w:val="6"/>
                <w:color w:val="auto"/>
              </w:rPr>
            </w:pPr>
          </w:p>
        </w:tc>
        <w:tc>
          <w:tcPr>
            <w:tcW w:w="780" w:type="dxa"/>
            <w:vAlign w:val="bottom"/>
            <w:gridSpan w:val="2"/>
          </w:tcPr>
          <w:p>
            <w:pPr>
              <w:jc w:val="center"/>
              <w:ind w:right="160"/>
              <w:spacing w:after="0" w:line="76"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80" w:type="dxa"/>
            <w:vAlign w:val="bottom"/>
            <w:gridSpan w:val="2"/>
          </w:tcPr>
          <w:p>
            <w:pPr>
              <w:spacing w:after="0"/>
              <w:rPr>
                <w:sz w:val="20"/>
                <w:szCs w:val="20"/>
                <w:color w:val="auto"/>
              </w:rPr>
            </w:pPr>
            <w:r>
              <w:rPr>
                <w:rFonts w:ascii="Arial" w:cs="Arial" w:eastAsia="Arial" w:hAnsi="Arial"/>
                <w:sz w:val="10"/>
                <w:szCs w:val="10"/>
                <w:i w:val="1"/>
                <w:iCs w:val="1"/>
                <w:color w:val="auto"/>
              </w:rPr>
              <w:t>(in thousands, except share amounts)</w:t>
            </w: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3"/>
          </w:tcPr>
          <w:p>
            <w:pPr>
              <w:ind w:left="20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720" w:type="dxa"/>
            <w:vAlign w:val="bottom"/>
            <w:gridSpan w:val="4"/>
          </w:tcPr>
          <w:p>
            <w:pPr>
              <w:ind w:left="20"/>
              <w:spacing w:after="0"/>
              <w:rPr>
                <w:sz w:val="20"/>
                <w:szCs w:val="20"/>
                <w:color w:val="auto"/>
              </w:rPr>
            </w:pPr>
            <w:r>
              <w:rPr>
                <w:rFonts w:ascii="Arial" w:cs="Arial" w:eastAsia="Arial" w:hAnsi="Arial"/>
                <w:sz w:val="10"/>
                <w:szCs w:val="10"/>
                <w:b w:val="1"/>
                <w:bCs w:val="1"/>
                <w:color w:val="auto"/>
              </w:rPr>
              <w:t>Amount</w:t>
            </w:r>
          </w:p>
        </w:tc>
        <w:tc>
          <w:tcPr>
            <w:tcW w:w="58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1"/>
                <w:szCs w:val="11"/>
                <w:color w:val="auto"/>
              </w:rPr>
            </w:pPr>
          </w:p>
        </w:tc>
        <w:tc>
          <w:tcPr>
            <w:tcW w:w="580" w:type="dxa"/>
            <w:vAlign w:val="bottom"/>
            <w:tcBorders>
              <w:right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1"/>
                <w:szCs w:val="11"/>
                <w:color w:val="auto"/>
              </w:rPr>
            </w:pP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Deficit</w:t>
            </w:r>
          </w:p>
        </w:tc>
        <w:tc>
          <w:tcPr>
            <w:tcW w:w="100" w:type="dxa"/>
            <w:vAlign w:val="bottom"/>
          </w:tcPr>
          <w:p>
            <w:pPr>
              <w:spacing w:after="0"/>
              <w:rPr>
                <w:sz w:val="11"/>
                <w:szCs w:val="11"/>
                <w:color w:val="auto"/>
              </w:rPr>
            </w:pPr>
          </w:p>
        </w:tc>
        <w:tc>
          <w:tcPr>
            <w:tcW w:w="720" w:type="dxa"/>
            <w:vAlign w:val="bottom"/>
          </w:tcPr>
          <w:p>
            <w:pPr>
              <w:jc w:val="center"/>
              <w:ind w:right="45"/>
              <w:spacing w:after="0"/>
              <w:rPr>
                <w:sz w:val="20"/>
                <w:szCs w:val="20"/>
                <w:color w:val="auto"/>
              </w:rPr>
            </w:pPr>
            <w:r>
              <w:rPr>
                <w:rFonts w:ascii="Arial" w:cs="Arial" w:eastAsia="Arial" w:hAnsi="Arial"/>
                <w:sz w:val="10"/>
                <w:szCs w:val="10"/>
                <w:b w:val="1"/>
                <w:bCs w:val="1"/>
                <w:color w:val="auto"/>
                <w:w w:val="98"/>
              </w:rPr>
              <w:t>Deficit</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Balances at December 31, 2020</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3,631,354</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5,494</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4,640,604</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27,067</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w w:val="82"/>
              </w:rPr>
              <w:t>6,109,232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75,857</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9,114,904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600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(30,325)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Arial" w:cs="Arial" w:eastAsia="Arial" w:hAnsi="Arial"/>
                <w:sz w:val="12"/>
                <w:szCs w:val="12"/>
                <w:color w:val="auto"/>
              </w:rPr>
              <w:t>1,336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1,336</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(8,409)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(8,409)</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Balances at March 31, 2021</w:t>
            </w:r>
          </w:p>
        </w:tc>
        <w:tc>
          <w:tcPr>
            <w:tcW w:w="6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3,631,354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5,494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4,640,604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27,067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w w:val="82"/>
              </w:rPr>
              <w:t>6,109,232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75,857</w:t>
            </w: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9,114,904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2"/>
                <w:szCs w:val="12"/>
                <w:color w:val="auto"/>
              </w:rPr>
              <w:t>1,936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(38,734)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(36,795)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2180" w:type="dxa"/>
            <w:vAlign w:val="bottom"/>
            <w:gridSpan w:val="2"/>
            <w:vMerge w:val="restart"/>
          </w:tcPr>
          <w:p>
            <w:pPr>
              <w:spacing w:after="0"/>
              <w:rPr>
                <w:sz w:val="20"/>
                <w:szCs w:val="20"/>
                <w:color w:val="auto"/>
              </w:rPr>
            </w:pPr>
            <w:r>
              <w:rPr>
                <w:rFonts w:ascii="Arial" w:cs="Arial" w:eastAsia="Arial" w:hAnsi="Arial"/>
                <w:sz w:val="10"/>
                <w:szCs w:val="10"/>
                <w:b w:val="1"/>
                <w:bCs w:val="1"/>
                <w:i w:val="1"/>
                <w:iCs w:val="1"/>
                <w:color w:val="auto"/>
              </w:rPr>
              <w:t>Three Months Ended March 31, 2020</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10"/>
            <w:vMerge w:val="restart"/>
          </w:tcPr>
          <w:p>
            <w:pPr>
              <w:jc w:val="center"/>
              <w:ind w:left="264"/>
              <w:spacing w:after="0"/>
              <w:rPr>
                <w:sz w:val="20"/>
                <w:szCs w:val="20"/>
                <w:color w:val="auto"/>
              </w:rPr>
            </w:pPr>
            <w:r>
              <w:rPr>
                <w:rFonts w:ascii="Arial" w:cs="Arial" w:eastAsia="Arial" w:hAnsi="Arial"/>
                <w:sz w:val="10"/>
                <w:szCs w:val="10"/>
                <w:b w:val="1"/>
                <w:bCs w:val="1"/>
                <w:color w:val="auto"/>
                <w:w w:val="90"/>
              </w:rPr>
              <w:t>Redeemable Convertible Preferred Stock</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Additional</w:t>
            </w: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0"/>
                <w:szCs w:val="10"/>
                <w:b w:val="1"/>
                <w:bCs w:val="1"/>
                <w:color w:val="auto"/>
                <w:w w:val="93"/>
              </w:rPr>
              <w:t>Accumulated Other</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vMerge w:val="restart"/>
          </w:tcPr>
          <w:p>
            <w:pPr>
              <w:jc w:val="center"/>
              <w:ind w:right="45"/>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10"/>
            <w:vMerge w:val="continue"/>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gridSpan w:val="4"/>
            <w:vMerge w:val="restart"/>
          </w:tcPr>
          <w:p>
            <w:pPr>
              <w:jc w:val="right"/>
              <w:ind w:right="364"/>
              <w:spacing w:after="0"/>
              <w:rPr>
                <w:sz w:val="20"/>
                <w:szCs w:val="20"/>
                <w:color w:val="auto"/>
              </w:rPr>
            </w:pPr>
            <w:r>
              <w:rPr>
                <w:rFonts w:ascii="Arial" w:cs="Arial" w:eastAsia="Arial" w:hAnsi="Arial"/>
                <w:sz w:val="10"/>
                <w:szCs w:val="10"/>
                <w:b w:val="1"/>
                <w:bCs w:val="1"/>
                <w:color w:val="auto"/>
              </w:rPr>
              <w:t>Series Seed</w:t>
            </w:r>
          </w:p>
        </w:tc>
        <w:tc>
          <w:tcPr>
            <w:tcW w:w="60" w:type="dxa"/>
            <w:vAlign w:val="bottom"/>
            <w:vMerge w:val="restart"/>
          </w:tcPr>
          <w:p>
            <w:pPr>
              <w:spacing w:after="0"/>
              <w:rPr>
                <w:sz w:val="2"/>
                <w:szCs w:val="2"/>
                <w:color w:val="auto"/>
              </w:rPr>
            </w:pPr>
          </w:p>
        </w:tc>
        <w:tc>
          <w:tcPr>
            <w:tcW w:w="860" w:type="dxa"/>
            <w:vAlign w:val="bottom"/>
            <w:gridSpan w:val="4"/>
            <w:vMerge w:val="restart"/>
          </w:tcPr>
          <w:p>
            <w:pPr>
              <w:jc w:val="center"/>
              <w:ind w:left="444"/>
              <w:spacing w:after="0"/>
              <w:rPr>
                <w:sz w:val="20"/>
                <w:szCs w:val="20"/>
                <w:color w:val="auto"/>
              </w:rPr>
            </w:pPr>
            <w:r>
              <w:rPr>
                <w:rFonts w:ascii="Arial" w:cs="Arial" w:eastAsia="Arial" w:hAnsi="Arial"/>
                <w:sz w:val="10"/>
                <w:szCs w:val="10"/>
                <w:b w:val="1"/>
                <w:bCs w:val="1"/>
                <w:color w:val="auto"/>
                <w:w w:val="89"/>
              </w:rPr>
              <w:t>Series A</w:t>
            </w: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Series B</w:t>
            </w:r>
          </w:p>
        </w:tc>
        <w:tc>
          <w:tcPr>
            <w:tcW w:w="4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4"/>
            <w:vMerge w:val="restart"/>
          </w:tcPr>
          <w:p>
            <w:pPr>
              <w:jc w:val="right"/>
              <w:ind w:right="284"/>
              <w:spacing w:after="0"/>
              <w:rPr>
                <w:sz w:val="20"/>
                <w:szCs w:val="20"/>
                <w:color w:val="auto"/>
              </w:rPr>
            </w:pPr>
            <w:r>
              <w:rPr>
                <w:rFonts w:ascii="Arial" w:cs="Arial" w:eastAsia="Arial" w:hAnsi="Arial"/>
                <w:sz w:val="10"/>
                <w:szCs w:val="10"/>
                <w:b w:val="1"/>
                <w:bCs w:val="1"/>
                <w:color w:val="auto"/>
              </w:rPr>
              <w:t>Common Stock</w:t>
            </w: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center"/>
              <w:ind w:right="45"/>
              <w:spacing w:after="0" w:line="111" w:lineRule="exact"/>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2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60" w:type="dxa"/>
            <w:vAlign w:val="bottom"/>
            <w:tcBorders>
              <w:bottom w:val="single" w:sz="8" w:color="auto"/>
            </w:tcBorders>
            <w:gridSpan w:val="4"/>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60"/>
              <w:spacing w:after="0" w:line="76"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6"/>
                <w:szCs w:val="6"/>
                <w:color w:val="auto"/>
              </w:rPr>
            </w:pPr>
          </w:p>
        </w:tc>
        <w:tc>
          <w:tcPr>
            <w:tcW w:w="900" w:type="dxa"/>
            <w:vAlign w:val="bottom"/>
            <w:gridSpan w:val="2"/>
          </w:tcPr>
          <w:p>
            <w:pPr>
              <w:jc w:val="center"/>
              <w:ind w:right="180"/>
              <w:spacing w:after="0" w:line="76" w:lineRule="exact"/>
              <w:rPr>
                <w:sz w:val="20"/>
                <w:szCs w:val="20"/>
                <w:color w:val="auto"/>
              </w:rPr>
            </w:pPr>
            <w:r>
              <w:rPr>
                <w:rFonts w:ascii="Arial" w:cs="Arial" w:eastAsia="Arial" w:hAnsi="Arial"/>
                <w:sz w:val="8"/>
                <w:szCs w:val="8"/>
                <w:b w:val="1"/>
                <w:bCs w:val="1"/>
                <w:color w:val="auto"/>
              </w:rPr>
              <w:t>Comprehensive</w:t>
            </w:r>
          </w:p>
        </w:tc>
        <w:tc>
          <w:tcPr>
            <w:tcW w:w="80" w:type="dxa"/>
            <w:vAlign w:val="bottom"/>
          </w:tcPr>
          <w:p>
            <w:pPr>
              <w:spacing w:after="0"/>
              <w:rPr>
                <w:sz w:val="6"/>
                <w:szCs w:val="6"/>
                <w:color w:val="auto"/>
              </w:rPr>
            </w:pPr>
          </w:p>
        </w:tc>
        <w:tc>
          <w:tcPr>
            <w:tcW w:w="780" w:type="dxa"/>
            <w:vAlign w:val="bottom"/>
            <w:gridSpan w:val="2"/>
          </w:tcPr>
          <w:p>
            <w:pPr>
              <w:jc w:val="center"/>
              <w:ind w:right="160"/>
              <w:spacing w:after="0" w:line="76"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CCEEFF"/>
            </w:tcBorders>
          </w:tcPr>
          <w:p>
            <w:pPr>
              <w:spacing w:after="0"/>
              <w:rPr>
                <w:sz w:val="11"/>
                <w:szCs w:val="11"/>
                <w:color w:val="auto"/>
              </w:rPr>
            </w:pPr>
          </w:p>
        </w:tc>
        <w:tc>
          <w:tcPr>
            <w:tcW w:w="21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i w:val="1"/>
                <w:iCs w:val="1"/>
                <w:color w:val="auto"/>
              </w:rPr>
              <w:t>(in thousands, except share amounts)</w:t>
            </w: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95"/>
              </w:rPr>
              <w:t>Amount</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Borders>
              <w:bottom w:val="single" w:sz="8" w:color="CCEEFF"/>
            </w:tcBorders>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95"/>
              </w:rPr>
              <w:t>Capital</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26"/>
              <w:spacing w:after="0"/>
              <w:rPr>
                <w:sz w:val="20"/>
                <w:szCs w:val="20"/>
                <w:color w:val="auto"/>
              </w:rPr>
            </w:pPr>
            <w:r>
              <w:rPr>
                <w:rFonts w:ascii="Arial" w:cs="Arial" w:eastAsia="Arial" w:hAnsi="Arial"/>
                <w:sz w:val="10"/>
                <w:szCs w:val="10"/>
                <w:b w:val="1"/>
                <w:bCs w:val="1"/>
                <w:color w:val="auto"/>
                <w:w w:val="91"/>
              </w:rPr>
              <w:t>Deficit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98"/>
              </w:rPr>
              <w:t>Deficit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Balances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3,631,354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4,640,604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27,067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9,077,062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189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20" w:type="dxa"/>
            <w:vAlign w:val="bottom"/>
            <w:gridSpan w:val="4"/>
          </w:tcPr>
          <w:p>
            <w:pPr>
              <w:jc w:val="right"/>
              <w:ind w:right="28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80" w:type="dxa"/>
            <w:vAlign w:val="bottom"/>
          </w:tcPr>
          <w:p>
            <w:pPr>
              <w:jc w:val="right"/>
              <w:ind w:right="6"/>
              <w:spacing w:after="0"/>
              <w:rPr>
                <w:sz w:val="20"/>
                <w:szCs w:val="20"/>
                <w:color w:val="auto"/>
              </w:rPr>
            </w:pPr>
            <w:r>
              <w:rPr>
                <w:rFonts w:ascii="Arial" w:cs="Arial" w:eastAsia="Arial" w:hAnsi="Arial"/>
                <w:sz w:val="12"/>
                <w:szCs w:val="12"/>
                <w:color w:val="auto"/>
              </w:rPr>
              <w:t>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Net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(2,934)</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(2,934)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Balances at March 31,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3,631,354</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4,640,604</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27,067</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9,077,062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2"/>
                <w:szCs w:val="12"/>
                <w:color w:val="auto"/>
              </w:rPr>
              <w:t>208</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(17,640)</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(17,390)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280"/>
          </w:cols>
          <w:pgMar w:left="300" w:top="171" w:right="319" w:bottom="1440" w:gutter="0" w:footer="0" w:header="0"/>
        </w:sectPr>
      </w:pPr>
    </w:p>
    <w:bookmarkStart w:id="106" w:name="page107"/>
    <w:bookmarkEnd w:id="106"/>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49"/>
              <w:spacing w:after="0"/>
              <w:rPr>
                <w:sz w:val="20"/>
                <w:szCs w:val="20"/>
                <w:color w:val="auto"/>
              </w:rPr>
            </w:pPr>
            <w:r>
              <w:rPr>
                <w:rFonts w:ascii="Arial" w:cs="Arial" w:eastAsia="Arial" w:hAnsi="Arial"/>
                <w:sz w:val="12"/>
                <w:szCs w:val="12"/>
                <w:b w:val="1"/>
                <w:bCs w:val="1"/>
                <w:color w:val="auto"/>
              </w:rPr>
              <w:t>Three Months Ended March 31,</w:t>
            </w:r>
          </w:p>
        </w:tc>
      </w:tr>
      <w:tr>
        <w:trPr>
          <w:trHeight w:val="149"/>
        </w:trPr>
        <w:tc>
          <w:tcPr>
            <w:tcW w:w="806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2020</w:t>
            </w:r>
          </w:p>
        </w:tc>
      </w:tr>
      <w:tr>
        <w:trPr>
          <w:trHeight w:val="167"/>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83"/>
        </w:trPr>
        <w:tc>
          <w:tcPr>
            <w:tcW w:w="80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premiums and gain on sale of investments, net</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3"/>
        </w:trPr>
        <w:tc>
          <w:tcPr>
            <w:tcW w:w="8060" w:type="dxa"/>
            <w:vAlign w:val="bottom"/>
          </w:tcPr>
          <w:p>
            <w:pPr>
              <w:ind w:left="100"/>
              <w:spacing w:after="0"/>
              <w:rPr>
                <w:sz w:val="20"/>
                <w:szCs w:val="20"/>
                <w:color w:val="auto"/>
              </w:rPr>
            </w:pPr>
            <w:r>
              <w:rPr>
                <w:rFonts w:ascii="Arial" w:cs="Arial" w:eastAsia="Arial" w:hAnsi="Arial"/>
                <w:sz w:val="14"/>
                <w:szCs w:val="14"/>
                <w:color w:val="auto"/>
              </w:rPr>
              <w:t>Amortization of operating lease right-of-use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185"/>
        </w:trPr>
        <w:tc>
          <w:tcPr>
            <w:tcW w:w="8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3"/>
        </w:trPr>
        <w:tc>
          <w:tcPr>
            <w:tcW w:w="8060" w:type="dxa"/>
            <w:vAlign w:val="bottom"/>
          </w:tcPr>
          <w:p>
            <w:pPr>
              <w:ind w:left="200"/>
              <w:spacing w:after="0"/>
              <w:rPr>
                <w:sz w:val="20"/>
                <w:szCs w:val="20"/>
                <w:color w:val="auto"/>
              </w:rPr>
            </w:pPr>
            <w:r>
              <w:rPr>
                <w:rFonts w:ascii="Arial" w:cs="Arial" w:eastAsia="Arial" w:hAnsi="Arial"/>
                <w:sz w:val="14"/>
                <w:szCs w:val="14"/>
                <w:color w:val="auto"/>
              </w:rPr>
              <w:t>Prepaid expenses and other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8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83"/>
        </w:trPr>
        <w:tc>
          <w:tcPr>
            <w:tcW w:w="8060" w:type="dxa"/>
            <w:vAlign w:val="bottom"/>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18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liability</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174"/>
        </w:trPr>
        <w:tc>
          <w:tcPr>
            <w:tcW w:w="8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used in operating activities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w:t>
            </w:r>
          </w:p>
        </w:tc>
      </w:tr>
      <w:tr>
        <w:trPr>
          <w:trHeight w:val="16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Proceeds from sale and maturities of securities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8,001</w:t>
            </w: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74"/>
        </w:trPr>
        <w:tc>
          <w:tcPr>
            <w:tcW w:w="8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provided by investing activities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7,886</w:t>
            </w:r>
          </w:p>
        </w:tc>
      </w:tr>
      <w:tr>
        <w:trPr>
          <w:trHeight w:val="16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 of deferred offering costs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8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financing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8060" w:type="dxa"/>
            <w:vAlign w:val="bottom"/>
          </w:tcPr>
          <w:p>
            <w:pPr>
              <w:ind w:left="280"/>
              <w:spacing w:after="0"/>
              <w:rPr>
                <w:sz w:val="20"/>
                <w:szCs w:val="20"/>
                <w:color w:val="auto"/>
              </w:rPr>
            </w:pPr>
            <w:r>
              <w:rPr>
                <w:rFonts w:ascii="Arial" w:cs="Arial" w:eastAsia="Arial" w:hAnsi="Arial"/>
                <w:sz w:val="14"/>
                <w:szCs w:val="14"/>
                <w:color w:val="auto"/>
              </w:rPr>
              <w:t>Net increase in cash, cash equivalents and restricted cash</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15,196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5,265</w:t>
            </w:r>
          </w:p>
        </w:tc>
      </w:tr>
      <w:tr>
        <w:trPr>
          <w:trHeight w:val="206"/>
        </w:trPr>
        <w:tc>
          <w:tcPr>
            <w:tcW w:w="8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r>
      <w:tr>
        <w:trPr>
          <w:trHeight w:val="20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52,415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8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other cash flow information:</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Deferred offering costs in accounts payable and accrued expenses and other liabilities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8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4"/>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Supplementary cash flow information on non-cash investing activities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171" w:right="319" w:bottom="1440" w:gutter="0" w:footer="0" w:header="0"/>
        </w:sectPr>
      </w:pPr>
    </w:p>
    <w:bookmarkStart w:id="107" w:name="page108"/>
    <w:bookmarkEnd w:id="107"/>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hanging="513"/>
        <w:spacing w:after="0"/>
        <w:tabs>
          <w:tab w:leader="none" w:pos="52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 and Basis of Presentation</w:t>
      </w:r>
    </w:p>
    <w:p>
      <w:pPr>
        <w:spacing w:after="0" w:line="146" w:lineRule="exact"/>
        <w:rPr>
          <w:sz w:val="20"/>
          <w:szCs w:val="20"/>
          <w:color w:val="auto"/>
        </w:rPr>
      </w:pPr>
    </w:p>
    <w:p>
      <w:pPr>
        <w:jc w:val="both"/>
        <w:ind w:firstLine="260"/>
        <w:spacing w:after="0" w:line="304" w:lineRule="auto"/>
        <w:rPr>
          <w:sz w:val="20"/>
          <w:szCs w:val="20"/>
          <w:color w:val="auto"/>
        </w:rPr>
      </w:pPr>
      <w:r>
        <w:rPr>
          <w:rFonts w:ascii="Arial" w:cs="Arial" w:eastAsia="Arial" w:hAnsi="Arial"/>
          <w:sz w:val="13"/>
          <w:szCs w:val="13"/>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81" w:lineRule="exact"/>
        <w:rPr>
          <w:sz w:val="20"/>
          <w:szCs w:val="20"/>
          <w:color w:val="auto"/>
        </w:rPr>
      </w:pPr>
    </w:p>
    <w:p>
      <w:pPr>
        <w:ind w:right="40" w:firstLine="260"/>
        <w:spacing w:after="0" w:line="291" w:lineRule="auto"/>
        <w:rPr>
          <w:sz w:val="20"/>
          <w:szCs w:val="20"/>
          <w:color w:val="auto"/>
        </w:rPr>
      </w:pPr>
      <w:r>
        <w:rPr>
          <w:rFonts w:ascii="Arial" w:cs="Arial" w:eastAsia="Arial" w:hAnsi="Arial"/>
          <w:sz w:val="13"/>
          <w:szCs w:val="13"/>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89" w:lineRule="exact"/>
        <w:rPr>
          <w:sz w:val="20"/>
          <w:szCs w:val="20"/>
          <w:color w:val="auto"/>
        </w:rPr>
      </w:pPr>
    </w:p>
    <w:p>
      <w:pPr>
        <w:ind w:right="40" w:firstLine="260"/>
        <w:spacing w:after="0" w:line="291" w:lineRule="auto"/>
        <w:rPr>
          <w:sz w:val="20"/>
          <w:szCs w:val="20"/>
          <w:color w:val="auto"/>
        </w:rPr>
      </w:pPr>
      <w:r>
        <w:rPr>
          <w:rFonts w:ascii="Arial" w:cs="Arial" w:eastAsia="Arial" w:hAnsi="Arial"/>
          <w:sz w:val="13"/>
          <w:szCs w:val="13"/>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comparable options to purchase shares of common stock of New Nautilus. In addition, immediately after the completion of the Business Combination, certain investors have agreed to subscribe for the purchase of an aggregate of $200 million of common stock of New Nautilus (“PIPE Investors”).</w:t>
      </w:r>
    </w:p>
    <w:p>
      <w:pPr>
        <w:spacing w:after="0" w:line="89" w:lineRule="exact"/>
        <w:rPr>
          <w:sz w:val="20"/>
          <w:szCs w:val="20"/>
          <w:color w:val="auto"/>
        </w:rPr>
      </w:pPr>
    </w:p>
    <w:p>
      <w:pPr>
        <w:ind w:right="20" w:firstLine="260"/>
        <w:spacing w:after="0" w:line="268" w:lineRule="auto"/>
        <w:rPr>
          <w:sz w:val="20"/>
          <w:szCs w:val="20"/>
          <w:color w:val="auto"/>
        </w:rPr>
      </w:pPr>
      <w:r>
        <w:rPr>
          <w:rFonts w:ascii="Arial" w:cs="Arial" w:eastAsia="Arial" w:hAnsi="Arial"/>
          <w:sz w:val="14"/>
          <w:szCs w:val="14"/>
          <w:color w:val="auto"/>
        </w:rPr>
        <w:t>On June 9, 2021 (the “Closing Date”), the Company consummated the Business Combination with ARYA. ARYA was renamed to Nautilus Biotechnology, Inc. and the Company became a wholly owned subsidiary of New Nautilus. In addition, concurrently with the Closing Date and pursuant to the subscription agreement, PIPE Investors purchased an aggregate of 20,000,000 shares of New Nautilus Common Stock at a price of $10.00 per share, for aggregate gross proceeds of $200 million and the Company received gross proceeds of approximately $145 million from the Business Combination.</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42" w:lineRule="exact"/>
        <w:rPr>
          <w:sz w:val="20"/>
          <w:szCs w:val="20"/>
          <w:color w:val="auto"/>
        </w:rPr>
      </w:pPr>
    </w:p>
    <w:p>
      <w:pPr>
        <w:ind w:right="40" w:firstLine="260"/>
        <w:spacing w:after="0" w:line="262" w:lineRule="auto"/>
        <w:rPr>
          <w:sz w:val="20"/>
          <w:szCs w:val="20"/>
          <w:color w:val="auto"/>
        </w:rPr>
      </w:pPr>
      <w:r>
        <w:rPr>
          <w:rFonts w:ascii="Arial" w:cs="Arial" w:eastAsia="Arial" w:hAnsi="Arial"/>
          <w:sz w:val="14"/>
          <w:szCs w:val="14"/>
          <w:color w:val="auto"/>
        </w:rPr>
        <w:t>The condensed financial statements and accompanying notes are unaudited and have been prepared in accordance with accounting principles generally accepted in the United States of America (“U.S. GAAP”) and regulations of the U.S. Securities and Exchange Commission for interim financial reporting. Certain information and footnote disclosures normally included in financial statements prepared in accordance with U.S. GAAP have been condensed or omitted pursuant to such rules and regulations. Accordingly, these condensed financial statements should be read in conjunction with the audited financial statements for the year ended December 31, 2020 and the related notes which provide a more complete discussion of the Company’s accounting policies and certain other information. The information as of December 31, 2020 included on the condensed balance sheets was derived from the Company’s audited financial statements. The condensed financial statements were prepared on the same basis as the audited financial statements and, in the opinion of management, reflect all adjustments, which include only normal recurring adjustments necessary for a fair statement of the Company’s financial position as of March 31, 2021 and the results of operations and cash flows for the three months ended March 31, 2021 and 2020. The results of operations for the three months ended March 31, 2021 are not necessarily indicative of the results that may be expected for the year ending December 31, 2021. The Company’s reporting currency is the U.S. dollar.</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Going Concern</w:t>
      </w:r>
    </w:p>
    <w:p>
      <w:pPr>
        <w:spacing w:after="0" w:line="142" w:lineRule="exact"/>
        <w:rPr>
          <w:sz w:val="20"/>
          <w:szCs w:val="20"/>
          <w:color w:val="auto"/>
        </w:rPr>
      </w:pPr>
    </w:p>
    <w:p>
      <w:pPr>
        <w:ind w:right="40" w:firstLine="260"/>
        <w:spacing w:after="0" w:line="290" w:lineRule="auto"/>
        <w:rPr>
          <w:sz w:val="20"/>
          <w:szCs w:val="20"/>
          <w:color w:val="auto"/>
        </w:rPr>
      </w:pPr>
      <w:r>
        <w:rPr>
          <w:rFonts w:ascii="Arial" w:cs="Arial" w:eastAsia="Arial" w:hAnsi="Arial"/>
          <w:sz w:val="14"/>
          <w:szCs w:val="14"/>
          <w:color w:val="auto"/>
        </w:rPr>
        <w:t>The Company’s condensed financial statements have been prepared on the basis of continuity of operations, the realization of assets, and the satisfaction of liabilities in the ordinary course of business. Since inception,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171" w:right="319" w:bottom="1440" w:gutter="0" w:footer="0" w:header="0"/>
        </w:sectPr>
      </w:pPr>
    </w:p>
    <w:bookmarkStart w:id="108" w:name="page109"/>
    <w:bookmarkEnd w:id="108"/>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40"/>
        <w:spacing w:after="0" w:line="291" w:lineRule="auto"/>
        <w:rPr>
          <w:sz w:val="20"/>
          <w:szCs w:val="20"/>
          <w:color w:val="auto"/>
        </w:rPr>
      </w:pPr>
      <w:r>
        <w:rPr>
          <w:rFonts w:ascii="Arial" w:cs="Arial" w:eastAsia="Arial" w:hAnsi="Arial"/>
          <w:sz w:val="13"/>
          <w:szCs w:val="13"/>
          <w:color w:val="auto"/>
        </w:rPr>
        <w:t>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2021, the Company had an accumulated deficit of $38.7 million.</w:t>
      </w:r>
    </w:p>
    <w:p>
      <w:pPr>
        <w:spacing w:after="0" w:line="89" w:lineRule="exact"/>
        <w:rPr>
          <w:sz w:val="20"/>
          <w:szCs w:val="20"/>
          <w:color w:val="auto"/>
        </w:rPr>
      </w:pPr>
    </w:p>
    <w:p>
      <w:pPr>
        <w:ind w:right="40" w:firstLine="260"/>
        <w:spacing w:after="0" w:line="283" w:lineRule="auto"/>
        <w:rPr>
          <w:sz w:val="20"/>
          <w:szCs w:val="20"/>
          <w:color w:val="auto"/>
        </w:rPr>
      </w:pPr>
      <w:r>
        <w:rPr>
          <w:rFonts w:ascii="Arial" w:cs="Arial" w:eastAsia="Arial" w:hAnsi="Arial"/>
          <w:sz w:val="13"/>
          <w:szCs w:val="13"/>
          <w:color w:val="auto"/>
        </w:rPr>
        <w:t>The Company has funded its operations primarily with proceeds from the issuance of redeemable convertible preferred stock and common stock. The Company had cash, cash equivalents, and short-term investments of $67.8 million as of March 31, 2021. In June 2021, the Company received gross proceeds of approximately $345 million from PIPE Investors and the Business Combination, offset by approximately $20 million of transaction costs and underwriters’ fees relating to the closing of the Business Combination. As of the date on which these condensed financial statements were available to be issued, the Company believes that its cash, cash equivalents, and short-term investments will be sufficient to fund its operations for the next twelve months following the issuance of the condensed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Impact of the COVID-19 Coronavirus</w:t>
      </w:r>
    </w:p>
    <w:p>
      <w:pPr>
        <w:spacing w:after="0" w:line="142" w:lineRule="exact"/>
        <w:rPr>
          <w:sz w:val="20"/>
          <w:szCs w:val="20"/>
          <w:color w:val="auto"/>
        </w:rPr>
      </w:pPr>
    </w:p>
    <w:p>
      <w:pPr>
        <w:ind w:firstLine="260"/>
        <w:spacing w:after="0" w:line="274" w:lineRule="auto"/>
        <w:rPr>
          <w:sz w:val="20"/>
          <w:szCs w:val="20"/>
          <w:color w:val="auto"/>
        </w:rPr>
      </w:pPr>
      <w:r>
        <w:rPr>
          <w:rFonts w:ascii="Arial" w:cs="Arial" w:eastAsia="Arial" w:hAnsi="Arial"/>
          <w:sz w:val="14"/>
          <w:szCs w:val="14"/>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98" w:lineRule="exact"/>
        <w:rPr>
          <w:sz w:val="20"/>
          <w:szCs w:val="20"/>
          <w:color w:val="auto"/>
        </w:rPr>
      </w:pPr>
    </w:p>
    <w:p>
      <w:pPr>
        <w:ind w:right="160" w:firstLine="260"/>
        <w:spacing w:after="0" w:line="295" w:lineRule="auto"/>
        <w:rPr>
          <w:sz w:val="20"/>
          <w:szCs w:val="20"/>
          <w:color w:val="auto"/>
        </w:rPr>
      </w:pPr>
      <w:r>
        <w:rPr>
          <w:rFonts w:ascii="Arial" w:cs="Arial" w:eastAsia="Arial" w:hAnsi="Arial"/>
          <w:sz w:val="13"/>
          <w:szCs w:val="13"/>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87" w:lineRule="exact"/>
        <w:rPr>
          <w:sz w:val="20"/>
          <w:szCs w:val="20"/>
          <w:color w:val="auto"/>
        </w:rPr>
      </w:pPr>
    </w:p>
    <w:p>
      <w:pPr>
        <w:ind w:right="60" w:firstLine="260"/>
        <w:spacing w:after="0" w:line="274" w:lineRule="auto"/>
        <w:rPr>
          <w:sz w:val="20"/>
          <w:szCs w:val="20"/>
          <w:color w:val="auto"/>
        </w:rPr>
      </w:pPr>
      <w:r>
        <w:rPr>
          <w:rFonts w:ascii="Arial" w:cs="Arial" w:eastAsia="Arial" w:hAnsi="Arial"/>
          <w:sz w:val="14"/>
          <w:szCs w:val="14"/>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94" w:lineRule="exact"/>
        <w:rPr>
          <w:sz w:val="20"/>
          <w:szCs w:val="20"/>
          <w:color w:val="auto"/>
        </w:rPr>
      </w:pPr>
    </w:p>
    <w:p>
      <w:pPr>
        <w:ind w:left="520" w:hanging="513"/>
        <w:spacing w:after="0"/>
        <w:tabs>
          <w:tab w:leader="none" w:pos="520"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42" w:lineRule="exact"/>
        <w:rPr>
          <w:sz w:val="20"/>
          <w:szCs w:val="20"/>
          <w:color w:val="auto"/>
        </w:rPr>
      </w:pPr>
    </w:p>
    <w:p>
      <w:pPr>
        <w:ind w:right="80" w:firstLine="260"/>
        <w:spacing w:after="0" w:line="290" w:lineRule="auto"/>
        <w:rPr>
          <w:sz w:val="20"/>
          <w:szCs w:val="20"/>
          <w:color w:val="auto"/>
        </w:rPr>
      </w:pPr>
      <w:r>
        <w:rPr>
          <w:rFonts w:ascii="Arial" w:cs="Arial" w:eastAsia="Arial" w:hAnsi="Arial"/>
          <w:sz w:val="14"/>
          <w:szCs w:val="14"/>
          <w:color w:val="auto"/>
        </w:rPr>
        <w:t>The preparation of the condensed financial statements in conformity with U.S. GAAP requires management to make estimates and assumptions that affect the reported amounts of assets and liabilities and disclosures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171" w:right="319" w:bottom="1440" w:gutter="0" w:footer="0" w:header="0"/>
        </w:sectPr>
      </w:pPr>
    </w:p>
    <w:bookmarkStart w:id="109" w:name="page110"/>
    <w:bookmarkEnd w:id="109"/>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contingent assets and liabilities as of the date of the condensed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Concentrations of Credit Risk and Other Risks and Uncertainties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Credit risk represents the accounting loss that would be recognized as of the reporting date if counterparties failed completely to perform as contracted.</w:t>
      </w:r>
    </w:p>
    <w:p>
      <w:pPr>
        <w:spacing w:after="0" w:line="142" w:lineRule="exact"/>
        <w:rPr>
          <w:sz w:val="20"/>
          <w:szCs w:val="20"/>
          <w:color w:val="auto"/>
        </w:rPr>
      </w:pPr>
    </w:p>
    <w:p>
      <w:pPr>
        <w:ind w:right="20" w:firstLine="260"/>
        <w:spacing w:after="0" w:line="268" w:lineRule="auto"/>
        <w:rPr>
          <w:sz w:val="20"/>
          <w:szCs w:val="20"/>
          <w:color w:val="auto"/>
        </w:rPr>
      </w:pPr>
      <w:r>
        <w:rPr>
          <w:rFonts w:ascii="Arial" w:cs="Arial" w:eastAsia="Arial" w:hAnsi="Arial"/>
          <w:sz w:val="14"/>
          <w:szCs w:val="14"/>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42" w:lineRule="exact"/>
        <w:rPr>
          <w:sz w:val="20"/>
          <w:szCs w:val="20"/>
          <w:color w:val="auto"/>
        </w:rPr>
      </w:pPr>
    </w:p>
    <w:p>
      <w:pPr>
        <w:ind w:right="140" w:firstLine="260"/>
        <w:spacing w:after="0" w:line="268" w:lineRule="auto"/>
        <w:rPr>
          <w:sz w:val="20"/>
          <w:szCs w:val="20"/>
          <w:color w:val="auto"/>
        </w:rPr>
      </w:pPr>
      <w:r>
        <w:rPr>
          <w:rFonts w:ascii="Arial" w:cs="Arial" w:eastAsia="Arial" w:hAnsi="Arial"/>
          <w:sz w:val="14"/>
          <w:szCs w:val="14"/>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considers all highly-liquid investments with an original maturity of three months or less as of the date of acquisition to be cash equivalents.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Short-term Investments</w:t>
      </w:r>
    </w:p>
    <w:p>
      <w:pPr>
        <w:spacing w:after="0" w:line="142" w:lineRule="exact"/>
        <w:rPr>
          <w:sz w:val="20"/>
          <w:szCs w:val="20"/>
          <w:color w:val="auto"/>
        </w:rPr>
      </w:pPr>
    </w:p>
    <w:p>
      <w:pPr>
        <w:ind w:right="20" w:firstLine="260"/>
        <w:spacing w:after="0" w:line="268" w:lineRule="auto"/>
        <w:rPr>
          <w:sz w:val="20"/>
          <w:szCs w:val="20"/>
          <w:color w:val="auto"/>
        </w:rPr>
      </w:pPr>
      <w:r>
        <w:rPr>
          <w:rFonts w:ascii="Arial" w:cs="Arial" w:eastAsia="Arial" w:hAnsi="Arial"/>
          <w:sz w:val="14"/>
          <w:szCs w:val="14"/>
          <w:color w:val="auto"/>
        </w:rPr>
        <w:t>The Company considers investments with an original maturity greater than three months and remaining maturities less than one year to be short-term investments. The Company’s short-term investments consist of debt securities and are classified as available for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condensed statement of operations.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Other-than-temporary Impairment</w:t>
      </w:r>
    </w:p>
    <w:p>
      <w:pPr>
        <w:spacing w:after="0" w:line="142" w:lineRule="exact"/>
        <w:rPr>
          <w:sz w:val="20"/>
          <w:szCs w:val="20"/>
          <w:color w:val="auto"/>
        </w:rPr>
      </w:pPr>
    </w:p>
    <w:p>
      <w:pPr>
        <w:ind w:right="20" w:firstLine="260"/>
        <w:spacing w:after="0" w:line="268" w:lineRule="auto"/>
        <w:rPr>
          <w:sz w:val="20"/>
          <w:szCs w:val="20"/>
          <w:color w:val="auto"/>
        </w:rPr>
      </w:pPr>
      <w:r>
        <w:rPr>
          <w:rFonts w:ascii="Arial" w:cs="Arial" w:eastAsia="Arial" w:hAnsi="Arial"/>
          <w:sz w:val="14"/>
          <w:szCs w:val="14"/>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171" w:right="319" w:bottom="1440" w:gutter="0" w:footer="0" w:header="0"/>
        </w:sectPr>
      </w:pPr>
    </w:p>
    <w:bookmarkStart w:id="110" w:name="page111"/>
    <w:bookmarkEnd w:id="110"/>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Company considers to be “other than temporary,” the Company reduces the investment to fair value through a charge to the condensed statement of operations and condensed statement of comprehensive loss. No such adjustments were necessary during the periods presented.</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Offering Costs</w:t>
      </w:r>
    </w:p>
    <w:p>
      <w:pPr>
        <w:spacing w:after="0" w:line="142" w:lineRule="exact"/>
        <w:rPr>
          <w:sz w:val="20"/>
          <w:szCs w:val="20"/>
          <w:color w:val="auto"/>
        </w:rPr>
      </w:pPr>
    </w:p>
    <w:p>
      <w:pPr>
        <w:jc w:val="both"/>
        <w:ind w:right="100" w:firstLine="260"/>
        <w:spacing w:after="0" w:line="304" w:lineRule="auto"/>
        <w:rPr>
          <w:sz w:val="20"/>
          <w:szCs w:val="20"/>
          <w:color w:val="auto"/>
        </w:rPr>
      </w:pPr>
      <w:r>
        <w:rPr>
          <w:rFonts w:ascii="Arial" w:cs="Arial" w:eastAsia="Arial" w:hAnsi="Arial"/>
          <w:sz w:val="13"/>
          <w:szCs w:val="13"/>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March 31, 2021 and December 31, 2020 were $3.2 million and $0.2 million, respectively, and is included within Other long term assets on the Company’s condensed balance sheets.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Leases</w:t>
      </w:r>
    </w:p>
    <w:p>
      <w:pPr>
        <w:spacing w:after="0" w:line="142" w:lineRule="exact"/>
        <w:rPr>
          <w:sz w:val="20"/>
          <w:szCs w:val="20"/>
          <w:color w:val="auto"/>
        </w:rPr>
      </w:pPr>
    </w:p>
    <w:p>
      <w:pPr>
        <w:ind w:right="20" w:firstLine="260"/>
        <w:spacing w:after="0" w:line="282" w:lineRule="auto"/>
        <w:rPr>
          <w:sz w:val="20"/>
          <w:szCs w:val="20"/>
          <w:color w:val="auto"/>
        </w:rPr>
      </w:pPr>
      <w:r>
        <w:rPr>
          <w:rFonts w:ascii="Arial" w:cs="Arial" w:eastAsia="Arial" w:hAnsi="Arial"/>
          <w:sz w:val="13"/>
          <w:szCs w:val="13"/>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condensed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142" w:lineRule="exact"/>
        <w:rPr>
          <w:sz w:val="20"/>
          <w:szCs w:val="20"/>
          <w:color w:val="auto"/>
        </w:rPr>
      </w:pPr>
    </w:p>
    <w:p>
      <w:pPr>
        <w:ind w:right="300" w:firstLine="260"/>
        <w:spacing w:after="0" w:line="290" w:lineRule="auto"/>
        <w:rPr>
          <w:sz w:val="20"/>
          <w:szCs w:val="20"/>
          <w:color w:val="auto"/>
        </w:rPr>
      </w:pPr>
      <w:r>
        <w:rPr>
          <w:rFonts w:ascii="Arial" w:cs="Arial" w:eastAsia="Arial" w:hAnsi="Arial"/>
          <w:sz w:val="14"/>
          <w:szCs w:val="14"/>
          <w:color w:val="auto"/>
        </w:rPr>
        <w:t>Comprehensive loss consists of net loss and other gains or losses affecting stockholders’ deficit that, under U.S. GAAP are excluded from net loss. For the three months ended March 31, 2021 and December 31, 2020, unrealized gains and losses on debt securities were included as components of comprehensive loss.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Accounting Pronouncements</w:t>
      </w:r>
    </w:p>
    <w:p>
      <w:pPr>
        <w:spacing w:after="0" w:line="142" w:lineRule="exact"/>
        <w:rPr>
          <w:sz w:val="20"/>
          <w:szCs w:val="20"/>
          <w:color w:val="auto"/>
        </w:rPr>
      </w:pPr>
    </w:p>
    <w:p>
      <w:pPr>
        <w:ind w:firstLine="260"/>
        <w:spacing w:after="0" w:line="268" w:lineRule="auto"/>
        <w:rPr>
          <w:sz w:val="20"/>
          <w:szCs w:val="20"/>
          <w:color w:val="auto"/>
        </w:rPr>
      </w:pPr>
      <w:r>
        <w:rPr>
          <w:rFonts w:ascii="Arial" w:cs="Arial" w:eastAsia="Arial" w:hAnsi="Arial"/>
          <w:sz w:val="14"/>
          <w:szCs w:val="14"/>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Recently Adopted Accounting Standards</w:t>
      </w:r>
    </w:p>
    <w:p>
      <w:pPr>
        <w:spacing w:after="0" w:line="142" w:lineRule="exact"/>
        <w:rPr>
          <w:sz w:val="20"/>
          <w:szCs w:val="20"/>
          <w:color w:val="auto"/>
        </w:rPr>
      </w:pPr>
    </w:p>
    <w:p>
      <w:pPr>
        <w:ind w:right="240" w:firstLine="260"/>
        <w:spacing w:after="0" w:line="274"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“Intangibles—Goodwill and Other—Internal-Use Software (Subtopic 350-40): Customer’s Accounting for Fees Paid in a Cloud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Computing Arrangement,” </w:t>
      </w:r>
      <w:r>
        <w:rPr>
          <w:rFonts w:ascii="Arial" w:cs="Arial" w:eastAsia="Arial" w:hAnsi="Arial"/>
          <w:sz w:val="14"/>
          <w:szCs w:val="14"/>
          <w:color w:val="auto"/>
        </w:rPr>
        <w:t>to help entities evaluate the accounting for fees paid by a customer in a cloud computing arrangement (hosting arrangement) by providing guidance for determining</w:t>
      </w:r>
      <w:r>
        <w:rPr>
          <w:rFonts w:ascii="Arial" w:cs="Arial" w:eastAsia="Arial" w:hAnsi="Arial"/>
          <w:sz w:val="14"/>
          <w:szCs w:val="14"/>
          <w:i w:val="1"/>
          <w:iCs w:val="1"/>
          <w:color w:val="auto"/>
        </w:rPr>
        <w:t xml:space="preserve"> </w:t>
      </w:r>
      <w:r>
        <w:rPr>
          <w:rFonts w:ascii="Arial" w:cs="Arial" w:eastAsia="Arial" w:hAnsi="Arial"/>
          <w:sz w:val="14"/>
          <w:szCs w:val="14"/>
          <w:color w:val="auto"/>
        </w:rPr>
        <w:t>when the arrangement includes a software license. The ASU will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280"/>
          </w:cols>
          <w:pgMar w:left="300" w:top="171" w:right="319" w:bottom="1440" w:gutter="0" w:footer="0" w:header="0"/>
        </w:sectPr>
      </w:pPr>
    </w:p>
    <w:bookmarkStart w:id="111" w:name="page112"/>
    <w:bookmarkEnd w:id="111"/>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effective for annual periods beginning after December 15, 2020. The Company adopted this guidance effective January 1, 2021 using prospective method, which did not have a material impact on the Company’s condensed financial statements.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Recently Issued Accounting Pronouncements Not Yet Adopted</w:t>
      </w:r>
    </w:p>
    <w:p>
      <w:pPr>
        <w:spacing w:after="0" w:line="142" w:lineRule="exact"/>
        <w:rPr>
          <w:sz w:val="20"/>
          <w:szCs w:val="20"/>
          <w:color w:val="auto"/>
        </w:rPr>
      </w:pPr>
    </w:p>
    <w:p>
      <w:pPr>
        <w:ind w:right="20" w:firstLine="260"/>
        <w:spacing w:after="0" w:line="263"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 Credit Losses (Topic 326): Measurement of Credit Losses on Financial Instruments</w:t>
      </w:r>
      <w:r>
        <w:rPr>
          <w:rFonts w:ascii="Arial" w:cs="Arial" w:eastAsia="Arial" w:hAnsi="Arial"/>
          <w:sz w:val="14"/>
          <w:szCs w:val="14"/>
          <w:color w:val="auto"/>
        </w:rPr>
        <w:t>”,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107" w:lineRule="exact"/>
        <w:rPr>
          <w:sz w:val="20"/>
          <w:szCs w:val="20"/>
          <w:color w:val="auto"/>
        </w:rPr>
      </w:pPr>
    </w:p>
    <w:p>
      <w:pPr>
        <w:ind w:firstLine="260"/>
        <w:spacing w:after="0" w:line="264" w:lineRule="auto"/>
        <w:rPr>
          <w:sz w:val="20"/>
          <w:szCs w:val="20"/>
          <w:color w:val="auto"/>
        </w:rPr>
      </w:pPr>
      <w:r>
        <w:rPr>
          <w:rFonts w:ascii="Arial" w:cs="Arial" w:eastAsia="Arial" w:hAnsi="Arial"/>
          <w:sz w:val="14"/>
          <w:szCs w:val="14"/>
          <w:color w:val="auto"/>
        </w:rPr>
        <w:t xml:space="preserve">In December 2019, the FASB issued ASU No.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106" w:lineRule="exact"/>
        <w:rPr>
          <w:sz w:val="20"/>
          <w:szCs w:val="20"/>
          <w:color w:val="auto"/>
        </w:rPr>
      </w:pPr>
    </w:p>
    <w:p>
      <w:pPr>
        <w:ind w:right="80" w:firstLine="260"/>
        <w:spacing w:after="0" w:line="263" w:lineRule="auto"/>
        <w:rPr>
          <w:sz w:val="20"/>
          <w:szCs w:val="20"/>
          <w:color w:val="auto"/>
        </w:rPr>
      </w:pPr>
      <w:r>
        <w:rPr>
          <w:rFonts w:ascii="Arial" w:cs="Arial" w:eastAsia="Arial" w:hAnsi="Arial"/>
          <w:sz w:val="14"/>
          <w:szCs w:val="14"/>
          <w:color w:val="auto"/>
        </w:rPr>
        <w:t xml:space="preserve">In March 2020, the FASB issued ASU No. 2020-04, </w:t>
      </w:r>
      <w:r>
        <w:rPr>
          <w:rFonts w:ascii="Arial" w:cs="Arial" w:eastAsia="Arial" w:hAnsi="Arial"/>
          <w:sz w:val="14"/>
          <w:szCs w:val="14"/>
          <w:i w:val="1"/>
          <w:iCs w:val="1"/>
          <w:color w:val="auto"/>
        </w:rPr>
        <w:t>“Reference Rate Reform (Topic 848).”</w:t>
      </w:r>
      <w:r>
        <w:rPr>
          <w:rFonts w:ascii="Arial" w:cs="Arial" w:eastAsia="Arial" w:hAnsi="Arial"/>
          <w:sz w:val="14"/>
          <w:szCs w:val="14"/>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103" w:lineRule="exact"/>
        <w:rPr>
          <w:sz w:val="20"/>
          <w:szCs w:val="20"/>
          <w:color w:val="auto"/>
        </w:rPr>
      </w:pPr>
    </w:p>
    <w:p>
      <w:pPr>
        <w:ind w:left="520" w:hanging="513"/>
        <w:spacing w:after="0"/>
        <w:tabs>
          <w:tab w:leader="none" w:pos="520"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details the assets carried at fair value and measured on a recurring basis within the three levels of fair value as of March 31, 2021 and December 31,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2"/>
                <w:szCs w:val="12"/>
                <w:b w:val="1"/>
                <w:bCs w:val="1"/>
                <w:color w:val="auto"/>
              </w:rPr>
              <w:t>Gross Unrealized</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2"/>
                <w:szCs w:val="12"/>
                <w:b w:val="1"/>
                <w:bCs w:val="1"/>
                <w:color w:val="auto"/>
              </w:rPr>
              <w:t>Reported as:</w:t>
            </w:r>
          </w:p>
        </w:tc>
      </w:tr>
      <w:tr>
        <w:trPr>
          <w:trHeight w:val="150"/>
        </w:trPr>
        <w:tc>
          <w:tcPr>
            <w:tcW w:w="2220" w:type="dxa"/>
            <w:vAlign w:val="bottom"/>
          </w:tcPr>
          <w:p>
            <w:pPr>
              <w:ind w:left="660"/>
              <w:spacing w:after="0"/>
              <w:rPr>
                <w:sz w:val="20"/>
                <w:szCs w:val="20"/>
                <w:color w:val="auto"/>
              </w:rPr>
            </w:pPr>
            <w:r>
              <w:rPr>
                <w:rFonts w:ascii="Arial" w:cs="Arial" w:eastAsia="Arial" w:hAnsi="Arial"/>
                <w:sz w:val="12"/>
                <w:szCs w:val="12"/>
                <w:b w:val="1"/>
                <w:bCs w:val="1"/>
                <w:color w:val="auto"/>
              </w:rPr>
              <w:t>March 31, 2021</w:t>
            </w: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340" w:type="dxa"/>
            <w:vAlign w:val="bottom"/>
          </w:tcPr>
          <w:p>
            <w:pPr>
              <w:spacing w:after="0"/>
              <w:rPr>
                <w:sz w:val="13"/>
                <w:szCs w:val="13"/>
                <w:color w:val="auto"/>
              </w:rPr>
            </w:pPr>
          </w:p>
        </w:tc>
        <w:tc>
          <w:tcPr>
            <w:tcW w:w="1180" w:type="dxa"/>
            <w:vAlign w:val="bottom"/>
            <w:gridSpan w:val="2"/>
          </w:tcPr>
          <w:p>
            <w:pPr>
              <w:ind w:left="240"/>
              <w:spacing w:after="0"/>
              <w:rPr>
                <w:sz w:val="20"/>
                <w:szCs w:val="20"/>
                <w:color w:val="auto"/>
              </w:rPr>
            </w:pPr>
            <w:r>
              <w:rPr>
                <w:rFonts w:ascii="Arial" w:cs="Arial" w:eastAsia="Arial" w:hAnsi="Arial"/>
                <w:sz w:val="12"/>
                <w:szCs w:val="12"/>
                <w:b w:val="1"/>
                <w:bCs w:val="1"/>
                <w:color w:val="auto"/>
              </w:rPr>
              <w:t>Gains</w:t>
            </w:r>
          </w:p>
        </w:tc>
        <w:tc>
          <w:tcPr>
            <w:tcW w:w="48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Losses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Fair Value</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w w:val="93"/>
              </w:rPr>
              <w:t>Cash and cash equivalents</w:t>
            </w:r>
          </w:p>
        </w:tc>
        <w:tc>
          <w:tcPr>
            <w:tcW w:w="120" w:type="dxa"/>
            <w:vAlign w:val="bottom"/>
          </w:tcPr>
          <w:p>
            <w:pPr>
              <w:spacing w:after="0"/>
              <w:rPr>
                <w:sz w:val="13"/>
                <w:szCs w:val="13"/>
                <w:color w:val="auto"/>
              </w:rPr>
            </w:pPr>
          </w:p>
        </w:tc>
        <w:tc>
          <w:tcPr>
            <w:tcW w:w="1320" w:type="dxa"/>
            <w:vAlign w:val="bottom"/>
          </w:tcPr>
          <w:p>
            <w:pPr>
              <w:jc w:val="right"/>
              <w:ind w:right="71"/>
              <w:spacing w:after="0"/>
              <w:rPr>
                <w:sz w:val="20"/>
                <w:szCs w:val="20"/>
                <w:color w:val="auto"/>
              </w:rPr>
            </w:pPr>
            <w:r>
              <w:rPr>
                <w:rFonts w:ascii="Arial" w:cs="Arial" w:eastAsia="Arial" w:hAnsi="Arial"/>
                <w:sz w:val="12"/>
                <w:szCs w:val="12"/>
                <w:b w:val="1"/>
                <w:bCs w:val="1"/>
                <w:color w:val="auto"/>
                <w:w w:val="86"/>
              </w:rPr>
              <w:t>Short-term investments</w:t>
            </w:r>
          </w:p>
        </w:tc>
      </w:tr>
      <w:tr>
        <w:trPr>
          <w:trHeight w:val="165"/>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183"/>
        </w:trPr>
        <w:tc>
          <w:tcPr>
            <w:tcW w:w="222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51,803</w:t>
            </w:r>
          </w:p>
        </w:tc>
        <w:tc>
          <w:tcPr>
            <w:tcW w:w="8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51,803</w:t>
            </w:r>
          </w:p>
        </w:tc>
        <w:tc>
          <w:tcPr>
            <w:tcW w:w="8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51,803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bills</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16,034</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16,034</w:t>
            </w:r>
          </w:p>
        </w:tc>
      </w:tr>
      <w:tr>
        <w:trPr>
          <w:trHeight w:val="175"/>
        </w:trPr>
        <w:tc>
          <w:tcPr>
            <w:tcW w:w="2220" w:type="dxa"/>
            <w:vAlign w:val="bottom"/>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67,835</w:t>
            </w:r>
          </w:p>
        </w:tc>
        <w:tc>
          <w:tcPr>
            <w:tcW w:w="8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67,837</w:t>
            </w:r>
          </w:p>
        </w:tc>
        <w:tc>
          <w:tcPr>
            <w:tcW w:w="8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51,803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16,034</w:t>
            </w:r>
          </w:p>
        </w:tc>
      </w:tr>
      <w:tr>
        <w:trPr>
          <w:trHeight w:val="20"/>
        </w:trPr>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280"/>
          </w:cols>
          <w:pgMar w:left="300" w:top="171" w:right="319" w:bottom="1440" w:gutter="0" w:footer="0" w:header="0"/>
        </w:sectPr>
      </w:pPr>
    </w:p>
    <w:bookmarkStart w:id="112" w:name="page113"/>
    <w:bookmarkEnd w:id="112"/>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2"/>
                <w:szCs w:val="12"/>
                <w:b w:val="1"/>
                <w:bCs w:val="1"/>
                <w:color w:val="auto"/>
              </w:rPr>
              <w:t>Gross Unrealized</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2"/>
                <w:szCs w:val="12"/>
                <w:b w:val="1"/>
                <w:bCs w:val="1"/>
                <w:color w:val="auto"/>
              </w:rPr>
              <w:t>Reported as:</w:t>
            </w:r>
          </w:p>
        </w:tc>
      </w:tr>
      <w:tr>
        <w:trPr>
          <w:trHeight w:val="150"/>
        </w:trPr>
        <w:tc>
          <w:tcPr>
            <w:tcW w:w="2180" w:type="dxa"/>
            <w:vAlign w:val="bottom"/>
          </w:tcPr>
          <w:p>
            <w:pPr>
              <w:ind w:left="580"/>
              <w:spacing w:after="0"/>
              <w:rPr>
                <w:sz w:val="20"/>
                <w:szCs w:val="20"/>
                <w:color w:val="auto"/>
              </w:rPr>
            </w:pPr>
            <w:r>
              <w:rPr>
                <w:rFonts w:ascii="Arial" w:cs="Arial" w:eastAsia="Arial" w:hAnsi="Arial"/>
                <w:sz w:val="12"/>
                <w:szCs w:val="12"/>
                <w:b w:val="1"/>
                <w:bCs w:val="1"/>
                <w:color w:val="auto"/>
              </w:rPr>
              <w:t>December 31, 2020</w:t>
            </w: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340" w:type="dxa"/>
            <w:vAlign w:val="bottom"/>
          </w:tcPr>
          <w:p>
            <w:pPr>
              <w:spacing w:after="0"/>
              <w:rPr>
                <w:sz w:val="13"/>
                <w:szCs w:val="13"/>
                <w:color w:val="auto"/>
              </w:rPr>
            </w:pPr>
          </w:p>
        </w:tc>
        <w:tc>
          <w:tcPr>
            <w:tcW w:w="1180" w:type="dxa"/>
            <w:vAlign w:val="bottom"/>
            <w:gridSpan w:val="2"/>
          </w:tcPr>
          <w:p>
            <w:pPr>
              <w:ind w:left="240"/>
              <w:spacing w:after="0"/>
              <w:rPr>
                <w:sz w:val="20"/>
                <w:szCs w:val="20"/>
                <w:color w:val="auto"/>
              </w:rPr>
            </w:pPr>
            <w:r>
              <w:rPr>
                <w:rFonts w:ascii="Arial" w:cs="Arial" w:eastAsia="Arial" w:hAnsi="Arial"/>
                <w:sz w:val="12"/>
                <w:szCs w:val="12"/>
                <w:b w:val="1"/>
                <w:bCs w:val="1"/>
                <w:color w:val="auto"/>
              </w:rPr>
              <w:t>Gains</w:t>
            </w:r>
          </w:p>
        </w:tc>
        <w:tc>
          <w:tcPr>
            <w:tcW w:w="48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Losses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Fair Value</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w w:val="93"/>
              </w:rPr>
              <w:t>Cash and cash equivalents</w:t>
            </w:r>
          </w:p>
        </w:tc>
        <w:tc>
          <w:tcPr>
            <w:tcW w:w="120" w:type="dxa"/>
            <w:vAlign w:val="bottom"/>
          </w:tcPr>
          <w:p>
            <w:pPr>
              <w:spacing w:after="0"/>
              <w:rPr>
                <w:sz w:val="13"/>
                <w:szCs w:val="13"/>
                <w:color w:val="auto"/>
              </w:rPr>
            </w:pPr>
          </w:p>
        </w:tc>
        <w:tc>
          <w:tcPr>
            <w:tcW w:w="1320" w:type="dxa"/>
            <w:vAlign w:val="bottom"/>
          </w:tcPr>
          <w:p>
            <w:pPr>
              <w:jc w:val="right"/>
              <w:ind w:right="71"/>
              <w:spacing w:after="0"/>
              <w:rPr>
                <w:sz w:val="20"/>
                <w:szCs w:val="20"/>
                <w:color w:val="auto"/>
              </w:rPr>
            </w:pPr>
            <w:r>
              <w:rPr>
                <w:rFonts w:ascii="Arial" w:cs="Arial" w:eastAsia="Arial" w:hAnsi="Arial"/>
                <w:sz w:val="12"/>
                <w:szCs w:val="12"/>
                <w:b w:val="1"/>
                <w:bCs w:val="1"/>
                <w:color w:val="auto"/>
                <w:w w:val="86"/>
              </w:rPr>
              <w:t>Short-term investments</w:t>
            </w:r>
          </w:p>
        </w:tc>
      </w:tr>
      <w:tr>
        <w:trPr>
          <w:trHeight w:val="165"/>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183"/>
        </w:trPr>
        <w:tc>
          <w:tcPr>
            <w:tcW w:w="218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36,607</w:t>
            </w:r>
          </w:p>
        </w:tc>
        <w:tc>
          <w:tcPr>
            <w:tcW w:w="8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36,607</w:t>
            </w:r>
          </w:p>
        </w:tc>
        <w:tc>
          <w:tcPr>
            <w:tcW w:w="100" w:type="dxa"/>
            <w:vAlign w:val="bottom"/>
          </w:tcPr>
          <w:p>
            <w:pPr>
              <w:spacing w:after="0"/>
              <w:rPr>
                <w:sz w:val="15"/>
                <w:szCs w:val="15"/>
                <w:color w:val="auto"/>
              </w:rPr>
            </w:pPr>
          </w:p>
        </w:tc>
        <w:tc>
          <w:tcPr>
            <w:tcW w:w="520" w:type="dxa"/>
            <w:vAlign w:val="bottom"/>
          </w:tcPr>
          <w:p>
            <w:pPr>
              <w:jc w:val="right"/>
              <w:ind w:right="373"/>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36,607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bills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3"/>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40,135</w:t>
            </w:r>
          </w:p>
        </w:tc>
      </w:tr>
      <w:tr>
        <w:trPr>
          <w:trHeight w:val="175"/>
        </w:trPr>
        <w:tc>
          <w:tcPr>
            <w:tcW w:w="2180" w:type="dxa"/>
            <w:vAlign w:val="bottom"/>
          </w:tcPr>
          <w:p>
            <w:pPr>
              <w:ind w:left="20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76,739</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color w:val="auto"/>
                <w:w w:val="93"/>
              </w:rPr>
              <w:t>(1)</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76,742</w:t>
            </w:r>
          </w:p>
        </w:tc>
        <w:tc>
          <w:tcPr>
            <w:tcW w:w="10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36,607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40,135</w:t>
            </w:r>
          </w:p>
        </w:tc>
      </w:tr>
      <w:tr>
        <w:trPr>
          <w:trHeight w:val="20"/>
        </w:trPr>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All contractual maturities at the date of purchase are due in one year or less.</w:t>
      </w:r>
    </w:p>
    <w:p>
      <w:pPr>
        <w:spacing w:after="0" w:line="138" w:lineRule="exact"/>
        <w:rPr>
          <w:sz w:val="20"/>
          <w:szCs w:val="20"/>
          <w:color w:val="auto"/>
        </w:rPr>
      </w:pPr>
    </w:p>
    <w:p>
      <w:pPr>
        <w:ind w:right="6620" w:firstLine="7"/>
        <w:spacing w:after="0" w:line="454" w:lineRule="auto"/>
        <w:tabs>
          <w:tab w:leader="none" w:pos="519"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Composition of Certain Condensed Financial Statement Line Items Property and Equipment, Net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Property and equipment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(in thousands)</w:t>
            </w:r>
          </w:p>
        </w:tc>
        <w:tc>
          <w:tcPr>
            <w:tcW w:w="300" w:type="dxa"/>
            <w:vAlign w:val="bottom"/>
          </w:tcPr>
          <w:p>
            <w:pPr>
              <w:spacing w:after="0"/>
              <w:rPr>
                <w:sz w:val="12"/>
                <w:szCs w:val="12"/>
                <w:color w:val="auto"/>
              </w:rPr>
            </w:pPr>
          </w:p>
        </w:tc>
        <w:tc>
          <w:tcPr>
            <w:tcW w:w="1360" w:type="dxa"/>
            <w:vAlign w:val="bottom"/>
            <w:gridSpan w:val="2"/>
          </w:tcPr>
          <w:p>
            <w:pPr>
              <w:ind w:left="220"/>
              <w:spacing w:after="0"/>
              <w:rPr>
                <w:sz w:val="20"/>
                <w:szCs w:val="20"/>
                <w:color w:val="auto"/>
              </w:rPr>
            </w:pPr>
            <w:r>
              <w:rPr>
                <w:rFonts w:ascii="Arial" w:cs="Arial" w:eastAsia="Arial" w:hAnsi="Arial"/>
                <w:sz w:val="12"/>
                <w:szCs w:val="12"/>
                <w:b w:val="1"/>
                <w:bCs w:val="1"/>
                <w:color w:val="auto"/>
              </w:rPr>
              <w:t>March 31,</w:t>
            </w:r>
          </w:p>
        </w:tc>
        <w:tc>
          <w:tcPr>
            <w:tcW w:w="260" w:type="dxa"/>
            <w:vAlign w:val="bottom"/>
          </w:tcPr>
          <w:p>
            <w:pPr>
              <w:spacing w:after="0"/>
              <w:rPr>
                <w:sz w:val="12"/>
                <w:szCs w:val="12"/>
                <w:color w:val="auto"/>
              </w:rPr>
            </w:pPr>
          </w:p>
        </w:tc>
        <w:tc>
          <w:tcPr>
            <w:tcW w:w="1300" w:type="dxa"/>
            <w:vAlign w:val="bottom"/>
          </w:tcPr>
          <w:p>
            <w:pPr>
              <w:jc w:val="right"/>
              <w:ind w:right="371"/>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fixtures and office equipment</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Computer hardware</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Property and equipment, net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recorded $0.2 million of depreciation expense for the three months ended March 31, 2021 and 2020,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280"/>
          </w:cols>
          <w:pgMar w:left="300" w:top="171" w:right="319" w:bottom="1440" w:gutter="0" w:footer="0" w:header="0"/>
        </w:sectPr>
      </w:pPr>
    </w:p>
    <w:bookmarkStart w:id="113" w:name="page114"/>
    <w:bookmarkEnd w:id="113"/>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Long Term Assets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long term assets consisted of the following:</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6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4980" w:type="dxa"/>
            <w:vAlign w:val="bottom"/>
          </w:tcPr>
          <w:p>
            <w:pPr>
              <w:jc w:val="center"/>
              <w:ind w:left="3362"/>
              <w:spacing w:after="0"/>
              <w:rPr>
                <w:sz w:val="20"/>
                <w:szCs w:val="20"/>
                <w:color w:val="auto"/>
              </w:rPr>
            </w:pPr>
            <w:r>
              <w:rPr>
                <w:rFonts w:ascii="Arial" w:cs="Arial" w:eastAsia="Arial" w:hAnsi="Arial"/>
                <w:sz w:val="12"/>
                <w:szCs w:val="12"/>
                <w:b w:val="1"/>
                <w:bCs w:val="1"/>
                <w:color w:val="auto"/>
                <w:w w:val="93"/>
              </w:rPr>
              <w:t>March 31,</w:t>
            </w:r>
          </w:p>
        </w:tc>
        <w:tc>
          <w:tcPr>
            <w:tcW w:w="1220" w:type="dxa"/>
            <w:vAlign w:val="bottom"/>
          </w:tcPr>
          <w:p>
            <w:pPr>
              <w:jc w:val="center"/>
              <w:ind w:left="482"/>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49"/>
        </w:trPr>
        <w:tc>
          <w:tcPr>
            <w:tcW w:w="4620" w:type="dxa"/>
            <w:vAlign w:val="bottom"/>
            <w:vMerge w:val="continue"/>
          </w:tcPr>
          <w:p>
            <w:pPr>
              <w:spacing w:after="0"/>
              <w:rPr>
                <w:sz w:val="12"/>
                <w:szCs w:val="12"/>
                <w:color w:val="auto"/>
              </w:rPr>
            </w:pPr>
          </w:p>
        </w:tc>
        <w:tc>
          <w:tcPr>
            <w:tcW w:w="4980" w:type="dxa"/>
            <w:vAlign w:val="bottom"/>
          </w:tcPr>
          <w:p>
            <w:pPr>
              <w:jc w:val="right"/>
              <w:ind w:right="602"/>
              <w:spacing w:after="0"/>
              <w:rPr>
                <w:sz w:val="20"/>
                <w:szCs w:val="20"/>
                <w:color w:val="auto"/>
              </w:rPr>
            </w:pPr>
            <w:r>
              <w:rPr>
                <w:rFonts w:ascii="Arial" w:cs="Arial" w:eastAsia="Arial" w:hAnsi="Arial"/>
                <w:sz w:val="12"/>
                <w:szCs w:val="12"/>
                <w:b w:val="1"/>
                <w:bCs w:val="1"/>
                <w:color w:val="auto"/>
              </w:rPr>
              <w:t>2021</w:t>
            </w:r>
          </w:p>
        </w:tc>
        <w:tc>
          <w:tcPr>
            <w:tcW w:w="1220" w:type="dxa"/>
            <w:vAlign w:val="bottom"/>
          </w:tcPr>
          <w:p>
            <w:pPr>
              <w:jc w:val="right"/>
              <w:ind w:right="162"/>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59625" cy="123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2">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offering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59625" cy="130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3">
                      <a:extLst>
                        <a:ext uri="{28A0092B-C50C-407E-A947-70E740481C1C}"/>
                      </a:extLst>
                    </a:blip>
                    <a:srcRect/>
                    <a:stretch>
                      <a:fillRect/>
                    </a:stretch>
                  </pic:blipFill>
                  <pic:spPr bwMode="auto">
                    <a:xfrm>
                      <a:off x="0" y="0"/>
                      <a:ext cx="7159625" cy="130810"/>
                    </a:xfrm>
                    <a:prstGeom prst="rect">
                      <a:avLst/>
                    </a:prstGeom>
                    <a:noFill/>
                  </pic:spPr>
                </pic:pic>
              </a:graphicData>
            </a:graphic>
          </wp:anchor>
        </w:drawing>
      </w:r>
    </w:p>
    <w:p>
      <w:pPr>
        <w:spacing w:after="0" w:line="14" w:lineRule="exact"/>
        <w:rPr>
          <w:sz w:val="20"/>
          <w:szCs w:val="20"/>
          <w:color w:val="auto"/>
        </w:rPr>
      </w:pPr>
    </w:p>
    <w:p>
      <w:pPr>
        <w:jc w:val="right"/>
        <w:ind w:right="6820"/>
        <w:spacing w:after="0"/>
        <w:rPr>
          <w:sz w:val="20"/>
          <w:szCs w:val="20"/>
          <w:color w:val="auto"/>
        </w:rPr>
      </w:pPr>
      <w:r>
        <w:rPr>
          <w:rFonts w:ascii="Arial" w:cs="Arial" w:eastAsia="Arial" w:hAnsi="Arial"/>
          <w:sz w:val="13"/>
          <w:szCs w:val="13"/>
          <w:color w:val="auto"/>
        </w:rPr>
        <w:t>Deposits</w:t>
      </w:r>
    </w:p>
    <w:p>
      <w:pPr>
        <w:spacing w:after="0" w:line="78" w:lineRule="exact"/>
        <w:rPr>
          <w:sz w:val="20"/>
          <w:szCs w:val="20"/>
          <w:color w:val="auto"/>
        </w:rPr>
      </w:pPr>
    </w:p>
    <w:p>
      <w:pPr>
        <w:jc w:val="right"/>
        <w:ind w:right="6860"/>
        <w:spacing w:after="0"/>
        <w:rPr>
          <w:sz w:val="20"/>
          <w:szCs w:val="20"/>
          <w:color w:val="auto"/>
        </w:rPr>
      </w:pPr>
      <w:r>
        <w:rPr>
          <w:rFonts w:ascii="Arial" w:cs="Arial" w:eastAsia="Arial" w:hAnsi="Arial"/>
          <w:sz w:val="14"/>
          <w:szCs w:val="14"/>
          <w:color w:val="auto"/>
        </w:rPr>
        <w:t>Total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Accrued Expenses and Other Liabilities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Accrued expenses and other liabilities consisted of the following:</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3,202</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w:t>
            </w:r>
          </w:p>
        </w:tc>
      </w:tr>
      <w:tr>
        <w:trPr>
          <w:trHeight w:val="183"/>
        </w:trPr>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612</w:t>
            </w:r>
          </w:p>
        </w:tc>
      </w:tr>
      <w:tr>
        <w:trPr>
          <w:trHeight w:val="206"/>
        </w:trPr>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r>
      <w:tr>
        <w:trPr>
          <w:trHeight w:val="175"/>
        </w:trPr>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4,129</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2"/>
          <w:szCs w:val="12"/>
          <w:b w:val="1"/>
          <w:bCs w:val="1"/>
          <w:color w:val="auto"/>
        </w:rPr>
        <w:t>March 31,</w:t>
      </w:r>
      <w:r>
        <w:rPr>
          <w:sz w:val="20"/>
          <w:szCs w:val="20"/>
          <w:color w:val="auto"/>
        </w:rPr>
        <w:tab/>
      </w:r>
      <w:r>
        <w:rPr>
          <w:rFonts w:ascii="Arial" w:cs="Arial" w:eastAsia="Arial" w:hAnsi="Arial"/>
          <w:sz w:val="10"/>
          <w:szCs w:val="10"/>
          <w:b w:val="1"/>
          <w:bCs w:val="1"/>
          <w:color w:val="auto"/>
        </w:rPr>
        <w:t>December 31,</w:t>
      </w:r>
    </w:p>
    <w:p>
      <w:pPr>
        <w:ind w:left="660"/>
        <w:spacing w:after="0" w:line="237" w:lineRule="auto"/>
        <w:tabs>
          <w:tab w:leader="none" w:pos="23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1" w:lineRule="exact"/>
        <w:rPr>
          <w:sz w:val="20"/>
          <w:szCs w:val="20"/>
          <w:color w:val="auto"/>
        </w:rPr>
      </w:pPr>
    </w:p>
    <w:p>
      <w:pPr>
        <w:sectPr>
          <w:pgSz w:w="11900" w:h="16838" w:orient="portrait"/>
          <w:cols w:equalWidth="0" w:num="2">
            <w:col w:w="7340" w:space="720"/>
            <w:col w:w="3220"/>
          </w:cols>
          <w:pgMar w:left="30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Accrued professional and consulting fees</w:t>
            </w:r>
          </w:p>
        </w:tc>
        <w:tc>
          <w:tcPr>
            <w:tcW w:w="1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3"/>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Employee compensation</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5"/>
        </w:trPr>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Use tax</w:t>
            </w:r>
          </w:p>
        </w:tc>
        <w:tc>
          <w:tcPr>
            <w:tcW w:w="38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3"/>
        </w:trPr>
        <w:tc>
          <w:tcPr>
            <w:tcW w:w="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8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5"/>
        </w:trPr>
        <w:tc>
          <w:tcPr>
            <w:tcW w:w="5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Total</w:t>
            </w:r>
          </w:p>
        </w:tc>
        <w:tc>
          <w:tcPr>
            <w:tcW w:w="38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Cash, Cash Equivalents and Restricted Cash</w:t>
            </w: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3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340" w:type="dxa"/>
            <w:vAlign w:val="bottom"/>
            <w:gridSpan w:val="2"/>
          </w:tcPr>
          <w:p>
            <w:pPr>
              <w:ind w:left="260"/>
              <w:spacing w:after="0"/>
              <w:rPr>
                <w:sz w:val="20"/>
                <w:szCs w:val="20"/>
                <w:color w:val="auto"/>
              </w:rPr>
            </w:pPr>
            <w:r>
              <w:rPr>
                <w:rFonts w:ascii="Arial" w:cs="Arial" w:eastAsia="Arial" w:hAnsi="Arial"/>
                <w:sz w:val="14"/>
                <w:szCs w:val="14"/>
                <w:color w:val="auto"/>
                <w:w w:val="94"/>
              </w:rPr>
              <w:t>Cash, cash equivalents and restricted cash consisted of the following:</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34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auto"/>
              </w:rPr>
              <w:t>(in thousands)</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3"/>
              </w:rPr>
              <w:t>March 31,</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371"/>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50"/>
        </w:trPr>
        <w:tc>
          <w:tcPr>
            <w:tcW w:w="4340" w:type="dxa"/>
            <w:vAlign w:val="bottom"/>
            <w:tcBorders>
              <w:bottom w:val="single" w:sz="8" w:color="CCEEFF"/>
            </w:tcBorders>
            <w:gridSpan w:val="2"/>
            <w:vMerge w:val="continue"/>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51,803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36,607</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 included in other long term assets</w:t>
            </w: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95"/>
        </w:trPr>
        <w:tc>
          <w:tcPr>
            <w:tcW w:w="5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Total</w:t>
            </w:r>
          </w:p>
        </w:tc>
        <w:tc>
          <w:tcPr>
            <w:tcW w:w="38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52,415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37,219</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5.</w:t>
            </w:r>
          </w:p>
        </w:tc>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2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340" w:type="dxa"/>
            <w:vAlign w:val="bottom"/>
            <w:gridSpan w:val="2"/>
          </w:tcPr>
          <w:p>
            <w:pPr>
              <w:ind w:left="20"/>
              <w:spacing w:after="0"/>
              <w:rPr>
                <w:sz w:val="20"/>
                <w:szCs w:val="20"/>
                <w:color w:val="auto"/>
              </w:rPr>
            </w:pPr>
            <w:r>
              <w:rPr>
                <w:rFonts w:ascii="Arial" w:cs="Arial" w:eastAsia="Arial" w:hAnsi="Arial"/>
                <w:sz w:val="12"/>
                <w:szCs w:val="12"/>
                <w:i w:val="1"/>
                <w:iCs w:val="1"/>
                <w:color w:val="auto"/>
              </w:rPr>
              <w:t>(in thousands, except share and per share information)</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7"/>
          </w:tcPr>
          <w:p>
            <w:pPr>
              <w:jc w:val="center"/>
              <w:ind w:left="433"/>
              <w:spacing w:after="0"/>
              <w:rPr>
                <w:sz w:val="20"/>
                <w:szCs w:val="20"/>
                <w:color w:val="auto"/>
              </w:rPr>
            </w:pPr>
            <w:r>
              <w:rPr>
                <w:rFonts w:ascii="Arial" w:cs="Arial" w:eastAsia="Arial" w:hAnsi="Arial"/>
                <w:sz w:val="12"/>
                <w:szCs w:val="12"/>
                <w:b w:val="1"/>
                <w:bCs w:val="1"/>
                <w:color w:val="auto"/>
                <w:w w:val="87"/>
              </w:rPr>
              <w:t>March 31, 2021 and December 31, 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Borders>
              <w:bottom w:val="single" w:sz="8" w:color="auto"/>
            </w:tcBorders>
            <w:gridSpan w:val="3"/>
          </w:tcPr>
          <w:p>
            <w:pPr>
              <w:ind w:left="1200"/>
              <w:spacing w:after="0"/>
              <w:rPr>
                <w:sz w:val="20"/>
                <w:szCs w:val="20"/>
                <w:color w:val="auto"/>
              </w:rPr>
            </w:pPr>
            <w:r>
              <w:rPr>
                <w:rFonts w:ascii="Arial" w:cs="Arial" w:eastAsia="Arial" w:hAnsi="Arial"/>
                <w:sz w:val="12"/>
                <w:szCs w:val="12"/>
                <w:b w:val="1"/>
                <w:bCs w:val="1"/>
                <w:color w:val="auto"/>
              </w:rPr>
              <w:t>Shares</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7"/>
              </w:rPr>
              <w:t>Original Issue Price per</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20" w:type="dxa"/>
            <w:vAlign w:val="bottom"/>
            <w:tcBorders>
              <w:bottom w:val="single" w:sz="8" w:color="CCEEFF"/>
            </w:tcBorders>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Authorized</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w w:val="98"/>
              </w:rPr>
              <w:t>Outstanding</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2"/>
                <w:szCs w:val="12"/>
                <w:b w:val="1"/>
                <w:bCs w:val="1"/>
                <w:color w:val="auto"/>
                <w:w w:val="89"/>
              </w:rPr>
              <w:t>Share</w:t>
            </w: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2"/>
                <w:szCs w:val="12"/>
                <w:b w:val="1"/>
                <w:bCs w:val="1"/>
                <w:color w:val="auto"/>
                <w:w w:val="92"/>
              </w:rPr>
              <w:t>Liquidation Preference</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Carrying Value</w:t>
            </w:r>
          </w:p>
        </w:tc>
        <w:tc>
          <w:tcPr>
            <w:tcW w:w="0" w:type="dxa"/>
            <w:vAlign w:val="bottom"/>
          </w:tcPr>
          <w:p>
            <w:pPr>
              <w:spacing w:after="0"/>
              <w:rPr>
                <w:sz w:val="1"/>
                <w:szCs w:val="1"/>
                <w:color w:val="auto"/>
              </w:rPr>
            </w:pPr>
          </w:p>
        </w:tc>
      </w:tr>
      <w:tr>
        <w:trPr>
          <w:trHeight w:val="17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Series Seed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3,631,354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3,631,354</w:t>
            </w:r>
          </w:p>
        </w:tc>
        <w:tc>
          <w:tcPr>
            <w:tcW w:w="380" w:type="dxa"/>
            <w:vAlign w:val="bottom"/>
            <w:gridSpan w:val="2"/>
            <w:shd w:val="clear" w:color="auto" w:fill="CCEEFF"/>
          </w:tcPr>
          <w:p>
            <w:pPr>
              <w:jc w:val="right"/>
              <w:ind w:right="142"/>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7"/>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183"/>
        </w:trPr>
        <w:tc>
          <w:tcPr>
            <w:tcW w:w="520" w:type="dxa"/>
            <w:vAlign w:val="bottom"/>
          </w:tcPr>
          <w:p>
            <w:pPr>
              <w:ind w:left="20"/>
              <w:spacing w:after="0"/>
              <w:rPr>
                <w:sz w:val="20"/>
                <w:szCs w:val="20"/>
                <w:color w:val="auto"/>
              </w:rPr>
            </w:pPr>
            <w:r>
              <w:rPr>
                <w:rFonts w:ascii="Arial" w:cs="Arial" w:eastAsia="Arial" w:hAnsi="Arial"/>
                <w:sz w:val="14"/>
                <w:szCs w:val="14"/>
                <w:color w:val="auto"/>
                <w:w w:val="90"/>
              </w:rPr>
              <w:t>Series A</w:t>
            </w:r>
          </w:p>
        </w:tc>
        <w:tc>
          <w:tcPr>
            <w:tcW w:w="38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4,640,604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4,640,604</w:t>
            </w:r>
          </w:p>
        </w:tc>
        <w:tc>
          <w:tcPr>
            <w:tcW w:w="380" w:type="dxa"/>
            <w:vAlign w:val="bottom"/>
            <w:gridSpan w:val="2"/>
          </w:tcPr>
          <w:p>
            <w:pPr>
              <w:jc w:val="right"/>
              <w:ind w:right="142"/>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27,200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27,067</w:t>
            </w:r>
          </w:p>
        </w:tc>
        <w:tc>
          <w:tcPr>
            <w:tcW w:w="0" w:type="dxa"/>
            <w:vAlign w:val="bottom"/>
          </w:tcPr>
          <w:p>
            <w:pPr>
              <w:spacing w:after="0"/>
              <w:rPr>
                <w:sz w:val="1"/>
                <w:szCs w:val="1"/>
                <w:color w:val="auto"/>
              </w:rPr>
            </w:pPr>
          </w:p>
        </w:tc>
      </w:tr>
      <w:tr>
        <w:trPr>
          <w:trHeight w:val="184"/>
        </w:trPr>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Series B</w:t>
            </w:r>
          </w:p>
        </w:tc>
        <w:tc>
          <w:tcPr>
            <w:tcW w:w="382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6,209,233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6,109,232</w:t>
            </w:r>
          </w:p>
        </w:tc>
        <w:tc>
          <w:tcPr>
            <w:tcW w:w="380" w:type="dxa"/>
            <w:vAlign w:val="bottom"/>
            <w:gridSpan w:val="2"/>
            <w:shd w:val="clear" w:color="auto" w:fill="CCEEFF"/>
          </w:tcPr>
          <w:p>
            <w:pPr>
              <w:jc w:val="right"/>
              <w:ind w:right="142"/>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76,070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14,481,191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14,381,190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110,533</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Series Seed Redeemable Convertible Preferred Stock</w:t>
      </w:r>
    </w:p>
    <w:p>
      <w:pPr>
        <w:spacing w:after="0" w:line="142" w:lineRule="exact"/>
        <w:rPr>
          <w:sz w:val="20"/>
          <w:szCs w:val="20"/>
          <w:color w:val="auto"/>
        </w:rPr>
      </w:pPr>
    </w:p>
    <w:p>
      <w:pPr>
        <w:ind w:right="160" w:firstLine="260"/>
        <w:spacing w:after="0" w:line="378" w:lineRule="auto"/>
        <w:rPr>
          <w:sz w:val="20"/>
          <w:szCs w:val="20"/>
          <w:color w:val="auto"/>
        </w:rPr>
      </w:pPr>
      <w:r>
        <w:rPr>
          <w:rFonts w:ascii="Arial" w:cs="Arial" w:eastAsia="Arial" w:hAnsi="Arial"/>
          <w:sz w:val="12"/>
          <w:szCs w:val="12"/>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280"/>
          </w:cols>
          <w:pgMar w:left="300" w:top="171" w:right="319" w:bottom="1440" w:gutter="0" w:footer="0" w:header="0"/>
          <w:type w:val="continuous"/>
        </w:sectPr>
      </w:pPr>
    </w:p>
    <w:bookmarkStart w:id="114" w:name="page115"/>
    <w:bookmarkEnd w:id="114"/>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Series A Redeemable Convertible Preferred Stock</w:t>
      </w:r>
    </w:p>
    <w:p>
      <w:pPr>
        <w:spacing w:after="0" w:line="142" w:lineRule="exact"/>
        <w:rPr>
          <w:sz w:val="20"/>
          <w:szCs w:val="20"/>
          <w:color w:val="auto"/>
        </w:rPr>
      </w:pPr>
    </w:p>
    <w:p>
      <w:pPr>
        <w:ind w:right="340" w:firstLine="260"/>
        <w:spacing w:after="0" w:line="290" w:lineRule="auto"/>
        <w:rPr>
          <w:sz w:val="20"/>
          <w:szCs w:val="20"/>
          <w:color w:val="auto"/>
        </w:rPr>
      </w:pPr>
      <w:r>
        <w:rPr>
          <w:rFonts w:ascii="Arial" w:cs="Arial" w:eastAsia="Arial" w:hAnsi="Arial"/>
          <w:sz w:val="14"/>
          <w:szCs w:val="14"/>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Series B Redeemable Convertible Preferred Stock</w:t>
      </w:r>
    </w:p>
    <w:p>
      <w:pPr>
        <w:spacing w:after="0" w:line="142" w:lineRule="exact"/>
        <w:rPr>
          <w:sz w:val="20"/>
          <w:szCs w:val="20"/>
          <w:color w:val="auto"/>
        </w:rPr>
      </w:pPr>
    </w:p>
    <w:p>
      <w:pPr>
        <w:ind w:right="40" w:firstLine="260"/>
        <w:spacing w:after="0" w:line="290" w:lineRule="auto"/>
        <w:rPr>
          <w:sz w:val="20"/>
          <w:szCs w:val="20"/>
          <w:color w:val="auto"/>
        </w:rPr>
      </w:pPr>
      <w:r>
        <w:rPr>
          <w:rFonts w:ascii="Arial" w:cs="Arial" w:eastAsia="Arial" w:hAnsi="Arial"/>
          <w:sz w:val="14"/>
          <w:szCs w:val="14"/>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87" w:lineRule="exact"/>
        <w:rPr>
          <w:sz w:val="20"/>
          <w:szCs w:val="20"/>
          <w:color w:val="auto"/>
        </w:rPr>
      </w:pPr>
    </w:p>
    <w:p>
      <w:pPr>
        <w:ind w:right="220" w:firstLine="260"/>
        <w:spacing w:after="0" w:line="290" w:lineRule="auto"/>
        <w:rPr>
          <w:sz w:val="20"/>
          <w:szCs w:val="20"/>
          <w:color w:val="auto"/>
        </w:rPr>
      </w:pPr>
      <w:r>
        <w:rPr>
          <w:rFonts w:ascii="Arial" w:cs="Arial" w:eastAsia="Arial" w:hAnsi="Arial"/>
          <w:sz w:val="14"/>
          <w:szCs w:val="14"/>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Dividends</w:t>
      </w:r>
    </w:p>
    <w:p>
      <w:pPr>
        <w:spacing w:after="0" w:line="142" w:lineRule="exact"/>
        <w:rPr>
          <w:sz w:val="20"/>
          <w:szCs w:val="20"/>
          <w:color w:val="auto"/>
        </w:rPr>
      </w:pPr>
    </w:p>
    <w:p>
      <w:pPr>
        <w:ind w:right="40" w:firstLine="260"/>
        <w:spacing w:after="0" w:line="264" w:lineRule="auto"/>
        <w:rPr>
          <w:sz w:val="20"/>
          <w:szCs w:val="20"/>
          <w:color w:val="auto"/>
        </w:rPr>
      </w:pPr>
      <w:r>
        <w:rPr>
          <w:rFonts w:ascii="Arial" w:cs="Arial" w:eastAsia="Arial" w:hAnsi="Arial"/>
          <w:sz w:val="14"/>
          <w:szCs w:val="14"/>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 convertible preferred stock, Series A redeemable convertible preferred stock and Series B redeemable convertible preferred stock. As of March 31, 2021, no dividends have been declared or paid by the Company.</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Conversion</w:t>
      </w:r>
    </w:p>
    <w:p>
      <w:pPr>
        <w:spacing w:after="0" w:line="142" w:lineRule="exact"/>
        <w:rPr>
          <w:sz w:val="20"/>
          <w:szCs w:val="20"/>
          <w:color w:val="auto"/>
        </w:rPr>
      </w:pPr>
    </w:p>
    <w:p>
      <w:pPr>
        <w:ind w:right="20" w:firstLine="260"/>
        <w:spacing w:after="0" w:line="264" w:lineRule="auto"/>
        <w:rPr>
          <w:sz w:val="20"/>
          <w:szCs w:val="20"/>
          <w:color w:val="auto"/>
        </w:rPr>
      </w:pPr>
      <w:r>
        <w:rPr>
          <w:rFonts w:ascii="Arial" w:cs="Arial" w:eastAsia="Arial" w:hAnsi="Arial"/>
          <w:sz w:val="14"/>
          <w:szCs w:val="14"/>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March 31, 2021, each series of the Company’s redeemable convertible preferred stock was convertible into the Company’s shares of common stock on a one-for-one basis.</w:t>
      </w:r>
    </w:p>
    <w:p>
      <w:pPr>
        <w:spacing w:after="0" w:line="106" w:lineRule="exact"/>
        <w:rPr>
          <w:sz w:val="20"/>
          <w:szCs w:val="20"/>
          <w:color w:val="auto"/>
        </w:rPr>
      </w:pPr>
    </w:p>
    <w:p>
      <w:pPr>
        <w:ind w:firstLine="260"/>
        <w:spacing w:after="0" w:line="285" w:lineRule="auto"/>
        <w:rPr>
          <w:sz w:val="20"/>
          <w:szCs w:val="20"/>
          <w:color w:val="auto"/>
        </w:rPr>
      </w:pPr>
      <w:r>
        <w:rPr>
          <w:rFonts w:ascii="Arial" w:cs="Arial" w:eastAsia="Arial" w:hAnsi="Arial"/>
          <w:sz w:val="13"/>
          <w:szCs w:val="13"/>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 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280"/>
          </w:cols>
          <w:pgMar w:left="300" w:top="171" w:right="319" w:bottom="1440" w:gutter="0" w:footer="0" w:header="0"/>
        </w:sectPr>
      </w:pPr>
    </w:p>
    <w:bookmarkStart w:id="115" w:name="page116"/>
    <w:bookmarkEnd w:id="115"/>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Liquidation Event</w:t>
      </w:r>
    </w:p>
    <w:p>
      <w:pPr>
        <w:spacing w:after="0" w:line="142" w:lineRule="exact"/>
        <w:rPr>
          <w:sz w:val="20"/>
          <w:szCs w:val="20"/>
          <w:color w:val="auto"/>
        </w:rPr>
      </w:pPr>
    </w:p>
    <w:p>
      <w:pPr>
        <w:ind w:right="120" w:firstLine="260"/>
        <w:spacing w:after="0" w:line="266" w:lineRule="auto"/>
        <w:rPr>
          <w:sz w:val="20"/>
          <w:szCs w:val="20"/>
          <w:color w:val="auto"/>
        </w:rPr>
      </w:pPr>
      <w:r>
        <w:rPr>
          <w:rFonts w:ascii="Arial" w:cs="Arial" w:eastAsia="Arial" w:hAnsi="Arial"/>
          <w:sz w:val="14"/>
          <w:szCs w:val="14"/>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 (i) 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03" w:lineRule="exact"/>
        <w:rPr>
          <w:sz w:val="20"/>
          <w:szCs w:val="20"/>
          <w:color w:val="auto"/>
        </w:rPr>
      </w:pPr>
    </w:p>
    <w:p>
      <w:pPr>
        <w:jc w:val="both"/>
        <w:ind w:right="220" w:firstLine="260"/>
        <w:spacing w:after="0" w:line="304" w:lineRule="auto"/>
        <w:rPr>
          <w:sz w:val="20"/>
          <w:szCs w:val="20"/>
          <w:color w:val="auto"/>
        </w:rPr>
      </w:pPr>
      <w:r>
        <w:rPr>
          <w:rFonts w:ascii="Arial" w:cs="Arial" w:eastAsia="Arial" w:hAnsi="Arial"/>
          <w:sz w:val="13"/>
          <w:szCs w:val="13"/>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81" w:lineRule="exact"/>
        <w:rPr>
          <w:sz w:val="20"/>
          <w:szCs w:val="20"/>
          <w:color w:val="auto"/>
        </w:rPr>
      </w:pPr>
    </w:p>
    <w:p>
      <w:pPr>
        <w:ind w:right="40" w:firstLine="260"/>
        <w:spacing w:after="0" w:line="274" w:lineRule="auto"/>
        <w:rPr>
          <w:sz w:val="20"/>
          <w:szCs w:val="20"/>
          <w:color w:val="auto"/>
        </w:rPr>
      </w:pPr>
      <w:r>
        <w:rPr>
          <w:rFonts w:ascii="Arial" w:cs="Arial" w:eastAsia="Arial" w:hAnsi="Arial"/>
          <w:sz w:val="14"/>
          <w:szCs w:val="14"/>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condensed balance sheets.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Voting Rights</w:t>
      </w:r>
    </w:p>
    <w:p>
      <w:pPr>
        <w:spacing w:after="0" w:line="142" w:lineRule="exact"/>
        <w:rPr>
          <w:sz w:val="20"/>
          <w:szCs w:val="20"/>
          <w:color w:val="auto"/>
        </w:rPr>
      </w:pPr>
    </w:p>
    <w:p>
      <w:pPr>
        <w:ind w:right="460" w:firstLine="260"/>
        <w:spacing w:after="0" w:line="330" w:lineRule="auto"/>
        <w:rPr>
          <w:sz w:val="20"/>
          <w:szCs w:val="20"/>
          <w:color w:val="auto"/>
        </w:rPr>
      </w:pPr>
      <w:r>
        <w:rPr>
          <w:rFonts w:ascii="Arial" w:cs="Arial" w:eastAsia="Arial" w:hAnsi="Arial"/>
          <w:sz w:val="13"/>
          <w:szCs w:val="13"/>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61" w:lineRule="exact"/>
        <w:rPr>
          <w:sz w:val="20"/>
          <w:szCs w:val="20"/>
          <w:color w:val="auto"/>
        </w:rPr>
      </w:pPr>
    </w:p>
    <w:p>
      <w:pPr>
        <w:ind w:left="520" w:hanging="513"/>
        <w:spacing w:after="0"/>
        <w:tabs>
          <w:tab w:leader="none" w:pos="520"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46" w:lineRule="exact"/>
        <w:rPr>
          <w:sz w:val="20"/>
          <w:szCs w:val="20"/>
          <w:color w:val="auto"/>
        </w:rPr>
      </w:pPr>
    </w:p>
    <w:p>
      <w:pPr>
        <w:ind w:firstLine="260"/>
        <w:spacing w:after="0" w:line="304" w:lineRule="auto"/>
        <w:rPr>
          <w:sz w:val="20"/>
          <w:szCs w:val="20"/>
          <w:color w:val="auto"/>
        </w:rPr>
      </w:pPr>
      <w:r>
        <w:rPr>
          <w:rFonts w:ascii="Arial" w:cs="Arial" w:eastAsia="Arial" w:hAnsi="Arial"/>
          <w:sz w:val="13"/>
          <w:szCs w:val="13"/>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March 31, 2021.</w:t>
      </w:r>
    </w:p>
    <w:p>
      <w:pPr>
        <w:spacing w:after="0" w:line="81" w:lineRule="exact"/>
        <w:rPr>
          <w:sz w:val="20"/>
          <w:szCs w:val="20"/>
          <w:color w:val="auto"/>
        </w:rPr>
      </w:pPr>
    </w:p>
    <w:p>
      <w:pPr>
        <w:ind w:right="20" w:firstLine="260"/>
        <w:spacing w:after="0" w:line="263" w:lineRule="auto"/>
        <w:rPr>
          <w:sz w:val="20"/>
          <w:szCs w:val="20"/>
          <w:color w:val="auto"/>
        </w:rPr>
      </w:pPr>
      <w:r>
        <w:rPr>
          <w:rFonts w:ascii="Arial" w:cs="Arial" w:eastAsia="Arial" w:hAnsi="Arial"/>
          <w:sz w:val="14"/>
          <w:szCs w:val="14"/>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Common Stock Warrants</w:t>
      </w:r>
    </w:p>
    <w:p>
      <w:pPr>
        <w:spacing w:after="0" w:line="142" w:lineRule="exact"/>
        <w:rPr>
          <w:sz w:val="20"/>
          <w:szCs w:val="20"/>
          <w:color w:val="auto"/>
        </w:rPr>
      </w:pPr>
    </w:p>
    <w:p>
      <w:pPr>
        <w:ind w:right="180" w:firstLine="260"/>
        <w:spacing w:after="0" w:line="290" w:lineRule="auto"/>
        <w:rPr>
          <w:sz w:val="20"/>
          <w:szCs w:val="20"/>
          <w:color w:val="auto"/>
        </w:rPr>
      </w:pPr>
      <w:r>
        <w:rPr>
          <w:rFonts w:ascii="Arial" w:cs="Arial" w:eastAsia="Arial" w:hAnsi="Arial"/>
          <w:sz w:val="14"/>
          <w:szCs w:val="14"/>
          <w:color w:val="auto"/>
        </w:rPr>
        <w:t>In connection with a term loan that the Company entered into during fiscal year 2017, 17,500 common stock warrants were issued to the lender, and recorded at fair value within additional paid-in capital in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280"/>
          </w:cols>
          <w:pgMar w:left="300" w:top="171" w:right="319" w:bottom="1440" w:gutter="0" w:footer="0" w:header="0"/>
        </w:sectPr>
      </w:pPr>
    </w:p>
    <w:bookmarkStart w:id="116" w:name="page117"/>
    <w:bookmarkEnd w:id="116"/>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deficit. Fair value was determined using the Black-Scholes Option Pricing Model. There were no common stock warrants issued during the three months ended March 31, 2021 and 2020.</w:t>
      </w:r>
    </w:p>
    <w:p>
      <w:pPr>
        <w:sectPr>
          <w:pgSz w:w="11900" w:h="16838" w:orient="portrait"/>
          <w:cols w:equalWidth="0" w:num="1">
            <w:col w:w="11280"/>
          </w:cols>
          <w:pgMar w:left="300" w:top="171" w:right="319" w:bottom="1440" w:gutter="0" w:footer="0" w:header="0"/>
        </w:sectPr>
      </w:pP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Common stock warrants as of March 31, 2021 and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59625" cy="123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7">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Common stock</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outstanding common stock warrants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Common Stock Reserved for Future Issuance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Shares of common stock reserved for future issuance on an as-if converted basis,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480"/>
        <w:spacing w:after="0"/>
        <w:rPr>
          <w:sz w:val="20"/>
          <w:szCs w:val="20"/>
          <w:color w:val="auto"/>
        </w:rPr>
      </w:pPr>
      <w:r>
        <w:rPr>
          <w:rFonts w:ascii="Arial" w:cs="Arial" w:eastAsia="Arial" w:hAnsi="Arial"/>
          <w:sz w:val="12"/>
          <w:szCs w:val="12"/>
          <w:b w:val="1"/>
          <w:bCs w:val="1"/>
          <w:color w:val="auto"/>
        </w:rPr>
        <w:t>March 31, 2021 and December 31,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Borders>
              <w:top w:val="single" w:sz="8" w:color="auto"/>
            </w:tcBorders>
            <w:gridSpan w:val="5"/>
          </w:tcPr>
          <w:p>
            <w:pPr>
              <w:ind w:left="1060"/>
              <w:spacing w:after="0"/>
              <w:rPr>
                <w:sz w:val="20"/>
                <w:szCs w:val="20"/>
                <w:color w:val="auto"/>
              </w:rPr>
            </w:pPr>
            <w:r>
              <w:rPr>
                <w:rFonts w:ascii="Arial" w:cs="Arial" w:eastAsia="Arial" w:hAnsi="Arial"/>
                <w:sz w:val="12"/>
                <w:szCs w:val="12"/>
                <w:b w:val="1"/>
                <w:bCs w:val="1"/>
                <w:color w:val="auto"/>
              </w:rPr>
              <w:t>Outstanding Warrants</w:t>
            </w:r>
          </w:p>
        </w:tc>
        <w:tc>
          <w:tcPr>
            <w:tcW w:w="1560" w:type="dxa"/>
            <w:vAlign w:val="bottom"/>
            <w:tcBorders>
              <w:top w:val="single" w:sz="8" w:color="auto"/>
            </w:tcBorders>
          </w:tcPr>
          <w:p>
            <w:pPr>
              <w:spacing w:after="0"/>
              <w:rPr>
                <w:sz w:val="12"/>
                <w:szCs w:val="12"/>
                <w:color w:val="auto"/>
              </w:rPr>
            </w:pPr>
          </w:p>
        </w:tc>
      </w:tr>
      <w:tr>
        <w:trPr>
          <w:trHeight w:val="144"/>
        </w:trPr>
        <w:tc>
          <w:tcPr>
            <w:tcW w:w="15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Number of Warrants</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2"/>
                <w:szCs w:val="12"/>
                <w:b w:val="1"/>
                <w:bCs w:val="1"/>
                <w:color w:val="auto"/>
              </w:rPr>
              <w:t>Exercise Price</w:t>
            </w:r>
          </w:p>
        </w:tc>
        <w:tc>
          <w:tcPr>
            <w:tcW w:w="100" w:type="dxa"/>
            <w:vAlign w:val="bottom"/>
          </w:tcPr>
          <w:p>
            <w:pPr>
              <w:spacing w:after="0"/>
              <w:rPr>
                <w:sz w:val="12"/>
                <w:szCs w:val="12"/>
                <w:color w:val="auto"/>
              </w:rPr>
            </w:pPr>
          </w:p>
        </w:tc>
        <w:tc>
          <w:tcPr>
            <w:tcW w:w="1560" w:type="dxa"/>
            <w:vAlign w:val="bottom"/>
            <w:tcBorders>
              <w:bottom w:val="single" w:sz="8" w:color="auto"/>
            </w:tcBorders>
          </w:tcPr>
          <w:p>
            <w:pPr>
              <w:jc w:val="right"/>
              <w:ind w:right="315"/>
              <w:spacing w:after="0" w:line="136" w:lineRule="exact"/>
              <w:rPr>
                <w:sz w:val="20"/>
                <w:szCs w:val="20"/>
                <w:color w:val="auto"/>
              </w:rPr>
            </w:pPr>
            <w:r>
              <w:rPr>
                <w:rFonts w:ascii="Arial" w:cs="Arial" w:eastAsia="Arial" w:hAnsi="Arial"/>
                <w:sz w:val="12"/>
                <w:szCs w:val="12"/>
                <w:b w:val="1"/>
                <w:bCs w:val="1"/>
                <w:color w:val="auto"/>
              </w:rPr>
              <w:t>Expiration Date</w:t>
            </w:r>
          </w:p>
        </w:tc>
      </w:tr>
      <w:tr>
        <w:trPr>
          <w:trHeight w:val="175"/>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9/7/2027</w:t>
            </w:r>
          </w:p>
        </w:tc>
      </w:tr>
      <w:tr>
        <w:trPr>
          <w:trHeight w:val="175"/>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180"/>
        <w:spacing w:after="0"/>
        <w:tabs>
          <w:tab w:leader="none" w:pos="3740" w:val="left"/>
        </w:tabs>
        <w:rPr>
          <w:sz w:val="20"/>
          <w:szCs w:val="20"/>
          <w:color w:val="auto"/>
        </w:rPr>
      </w:pPr>
      <w:r>
        <w:rPr>
          <w:rFonts w:ascii="Arial" w:cs="Arial" w:eastAsia="Arial" w:hAnsi="Arial"/>
          <w:sz w:val="12"/>
          <w:szCs w:val="12"/>
          <w:b w:val="1"/>
          <w:bCs w:val="1"/>
          <w:color w:val="auto"/>
        </w:rPr>
        <w:t>March 31,</w:t>
      </w:r>
      <w:r>
        <w:rPr>
          <w:sz w:val="20"/>
          <w:szCs w:val="20"/>
          <w:color w:val="auto"/>
        </w:rPr>
        <w:tab/>
      </w:r>
      <w:r>
        <w:rPr>
          <w:rFonts w:ascii="Arial" w:cs="Arial" w:eastAsia="Arial" w:hAnsi="Arial"/>
          <w:sz w:val="10"/>
          <w:szCs w:val="10"/>
          <w:b w:val="1"/>
          <w:bCs w:val="1"/>
          <w:color w:val="auto"/>
        </w:rPr>
        <w:t>December 31,</w:t>
      </w:r>
    </w:p>
    <w:p>
      <w:pPr>
        <w:ind w:left="2320"/>
        <w:spacing w:after="0" w:line="237" w:lineRule="auto"/>
        <w:tabs>
          <w:tab w:leader="none" w:pos="396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1" w:lineRule="exact"/>
        <w:rPr>
          <w:sz w:val="20"/>
          <w:szCs w:val="20"/>
          <w:color w:val="auto"/>
        </w:rPr>
      </w:pPr>
    </w:p>
    <w:p>
      <w:pPr>
        <w:sectPr>
          <w:pgSz w:w="11900" w:h="16838" w:orient="portrait"/>
          <w:cols w:equalWidth="0" w:num="2">
            <w:col w:w="5920" w:space="480"/>
            <w:col w:w="4880"/>
          </w:cols>
          <w:pgMar w:left="30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14,381,190</w:t>
            </w: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14,381,190</w:t>
            </w: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Stock options issued and outstanding</w:t>
            </w:r>
          </w:p>
        </w:tc>
        <w:tc>
          <w:tcPr>
            <w:tcW w:w="1560" w:type="dxa"/>
            <w:vAlign w:val="bottom"/>
          </w:tcPr>
          <w:p>
            <w:pPr>
              <w:jc w:val="right"/>
              <w:spacing w:after="0"/>
              <w:rPr>
                <w:sz w:val="20"/>
                <w:szCs w:val="20"/>
                <w:color w:val="auto"/>
              </w:rPr>
            </w:pPr>
            <w:r>
              <w:rPr>
                <w:rFonts w:ascii="Arial" w:cs="Arial" w:eastAsia="Arial" w:hAnsi="Arial"/>
                <w:sz w:val="14"/>
                <w:szCs w:val="14"/>
                <w:color w:val="auto"/>
              </w:rPr>
              <w:t>1,982,839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1,418,267</w:t>
            </w: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w:t>
            </w: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 available for grant under 2017 Equity Incentive Plan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83,065</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647,637</w:t>
            </w:r>
          </w:p>
        </w:tc>
      </w:tr>
      <w:tr>
        <w:trPr>
          <w:trHeight w:val="20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shares of common stock reserved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16,464,594</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16,464,594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520" w:hanging="513"/>
        <w:spacing w:after="0"/>
        <w:tabs>
          <w:tab w:leader="none" w:pos="520"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46" w:lineRule="exact"/>
        <w:rPr>
          <w:sz w:val="20"/>
          <w:szCs w:val="20"/>
          <w:color w:val="auto"/>
        </w:rPr>
      </w:pPr>
    </w:p>
    <w:p>
      <w:pPr>
        <w:ind w:right="220" w:firstLine="260"/>
        <w:spacing w:after="0" w:line="268" w:lineRule="auto"/>
        <w:rPr>
          <w:sz w:val="20"/>
          <w:szCs w:val="20"/>
          <w:color w:val="auto"/>
        </w:rPr>
      </w:pPr>
      <w:r>
        <w:rPr>
          <w:rFonts w:ascii="Arial" w:cs="Arial" w:eastAsia="Arial" w:hAnsi="Arial"/>
          <w:sz w:val="14"/>
          <w:szCs w:val="14"/>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2021 and 2020, no income tax expense or benefit was recognized, primarily due to a full valuation allowance recorded against its deferred tax asset.</w:t>
      </w:r>
    </w:p>
    <w:p>
      <w:pPr>
        <w:spacing w:after="0" w:line="103" w:lineRule="exact"/>
        <w:rPr>
          <w:sz w:val="20"/>
          <w:szCs w:val="20"/>
          <w:color w:val="auto"/>
        </w:rPr>
      </w:pPr>
    </w:p>
    <w:p>
      <w:pPr>
        <w:ind w:right="40" w:firstLine="260"/>
        <w:spacing w:after="0" w:line="291" w:lineRule="auto"/>
        <w:rPr>
          <w:sz w:val="20"/>
          <w:szCs w:val="20"/>
          <w:color w:val="auto"/>
        </w:rPr>
      </w:pPr>
      <w:r>
        <w:rPr>
          <w:rFonts w:ascii="Arial" w:cs="Arial" w:eastAsia="Arial" w:hAnsi="Arial"/>
          <w:sz w:val="13"/>
          <w:szCs w:val="13"/>
          <w:color w:val="auto"/>
        </w:rPr>
        <w:t>The Company assesses all material positions taken in any income tax return, including all significant uncertain positions, in all tax years that are still subject to assessment or challenge by the relevant taxing authorities. Assessing an uncertain tax position begins with the initial determination of the position’s sustainability and is measured at the largest amount of benefit that is greater than fifty percent likely of being realized upon ultimate settlement. At each balance sheet date, unresolved uncertain tax positions must be reassessed, and the Company determines whether (i) the factors underlying the sustainability assertion have changed and (ii) the amount of the recognized benefit is still appropriate. The recognition and measurement of tax benefits requires significant judgment. Judgments concerning the recognition and measurement of a tax benefit might change as new information becomes available.</w:t>
      </w:r>
    </w:p>
    <w:p>
      <w:pPr>
        <w:spacing w:after="0" w:line="85" w:lineRule="exact"/>
        <w:rPr>
          <w:sz w:val="20"/>
          <w:szCs w:val="20"/>
          <w:color w:val="auto"/>
        </w:rPr>
      </w:pPr>
    </w:p>
    <w:p>
      <w:pPr>
        <w:ind w:left="520" w:hanging="513"/>
        <w:spacing w:after="0"/>
        <w:tabs>
          <w:tab w:leader="none" w:pos="52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Stock Option Plan and Stock-based Compensation</w:t>
      </w:r>
    </w:p>
    <w:p>
      <w:pPr>
        <w:spacing w:after="0" w:line="146" w:lineRule="exact"/>
        <w:rPr>
          <w:sz w:val="20"/>
          <w:szCs w:val="20"/>
          <w:color w:val="auto"/>
        </w:rPr>
      </w:pPr>
    </w:p>
    <w:p>
      <w:pPr>
        <w:ind w:right="40" w:firstLine="260"/>
        <w:spacing w:after="0" w:line="288" w:lineRule="auto"/>
        <w:rPr>
          <w:sz w:val="20"/>
          <w:szCs w:val="20"/>
          <w:color w:val="auto"/>
        </w:rPr>
      </w:pPr>
      <w:r>
        <w:rPr>
          <w:rFonts w:ascii="Arial" w:cs="Arial" w:eastAsia="Arial" w:hAnsi="Arial"/>
          <w:sz w:val="13"/>
          <w:szCs w:val="13"/>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March 31, 2021, 83,065 options were available for grant under the 2017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280"/>
          </w:cols>
          <w:pgMar w:left="300" w:top="171" w:right="319" w:bottom="1440" w:gutter="0" w:footer="0" w:header="0"/>
          <w:type w:val="continuous"/>
        </w:sectPr>
      </w:pPr>
    </w:p>
    <w:bookmarkStart w:id="117" w:name="page118"/>
    <w:bookmarkEnd w:id="117"/>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right="60" w:firstLine="260"/>
        <w:spacing w:after="0" w:line="274" w:lineRule="auto"/>
        <w:rPr>
          <w:sz w:val="20"/>
          <w:szCs w:val="20"/>
          <w:color w:val="auto"/>
        </w:rPr>
      </w:pPr>
      <w:r>
        <w:rPr>
          <w:rFonts w:ascii="Arial" w:cs="Arial" w:eastAsia="Arial" w:hAnsi="Arial"/>
          <w:sz w:val="14"/>
          <w:szCs w:val="14"/>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98" w:lineRule="exact"/>
        <w:rPr>
          <w:sz w:val="20"/>
          <w:szCs w:val="20"/>
          <w:color w:val="auto"/>
        </w:rPr>
      </w:pPr>
    </w:p>
    <w:p>
      <w:pPr>
        <w:ind w:right="80" w:firstLine="260"/>
        <w:spacing w:after="0" w:line="290" w:lineRule="auto"/>
        <w:rPr>
          <w:sz w:val="20"/>
          <w:szCs w:val="20"/>
          <w:color w:val="auto"/>
        </w:rPr>
      </w:pPr>
      <w:r>
        <w:rPr>
          <w:rFonts w:ascii="Arial" w:cs="Arial" w:eastAsia="Arial" w:hAnsi="Arial"/>
          <w:sz w:val="14"/>
          <w:szCs w:val="14"/>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40" w:type="dxa"/>
            <w:vAlign w:val="bottom"/>
          </w:tcPr>
          <w:p>
            <w:pPr>
              <w:spacing w:after="0"/>
              <w:rPr>
                <w:sz w:val="13"/>
                <w:szCs w:val="13"/>
                <w:color w:val="auto"/>
              </w:rPr>
            </w:pPr>
          </w:p>
        </w:tc>
        <w:tc>
          <w:tcPr>
            <w:tcW w:w="34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2"/>
                <w:szCs w:val="12"/>
                <w:b w:val="1"/>
                <w:bCs w:val="1"/>
                <w:color w:val="auto"/>
              </w:rPr>
              <w:t>Three Months Ended March 31,</w:t>
            </w:r>
          </w:p>
        </w:tc>
      </w:tr>
      <w:tr>
        <w:trPr>
          <w:trHeight w:val="146"/>
        </w:trPr>
        <w:tc>
          <w:tcPr>
            <w:tcW w:w="784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52"/>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2"/>
                <w:szCs w:val="12"/>
                <w:b w:val="1"/>
                <w:bCs w:val="1"/>
                <w:color w:val="auto"/>
              </w:rPr>
              <w:t>2020</w:t>
            </w:r>
          </w:p>
        </w:tc>
      </w:tr>
      <w:tr>
        <w:trPr>
          <w:trHeight w:val="17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5.5 - 6.6</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6.0 - 6.1</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680" w:type="dxa"/>
            <w:vAlign w:val="bottom"/>
          </w:tcPr>
          <w:p>
            <w:pPr>
              <w:jc w:val="right"/>
              <w:spacing w:after="0"/>
              <w:rPr>
                <w:sz w:val="20"/>
                <w:szCs w:val="20"/>
                <w:color w:val="auto"/>
              </w:rPr>
            </w:pPr>
            <w:r>
              <w:rPr>
                <w:rFonts w:ascii="Arial" w:cs="Arial" w:eastAsia="Arial" w:hAnsi="Arial"/>
                <w:sz w:val="14"/>
                <w:szCs w:val="14"/>
                <w:color w:val="auto"/>
              </w:rPr>
              <w:t>92.0% - 94.2%</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96.4% - 96.5%</w:t>
            </w:r>
          </w:p>
        </w:tc>
      </w:tr>
      <w:tr>
        <w:trPr>
          <w:trHeight w:val="185"/>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83"/>
        </w:trPr>
        <w:tc>
          <w:tcPr>
            <w:tcW w:w="7840" w:type="dxa"/>
            <w:vAlign w:val="bottom"/>
          </w:tcPr>
          <w:p>
            <w:pPr>
              <w:ind w:left="20"/>
              <w:spacing w:after="0"/>
              <w:rPr>
                <w:sz w:val="20"/>
                <w:szCs w:val="20"/>
                <w:color w:val="auto"/>
              </w:rPr>
            </w:pPr>
            <w:r>
              <w:rPr>
                <w:rFonts w:ascii="Arial" w:cs="Arial" w:eastAsia="Arial" w:hAnsi="Arial"/>
                <w:sz w:val="14"/>
                <w:szCs w:val="14"/>
                <w:color w:val="auto"/>
              </w:rPr>
              <w:t>Risk free interest rate</w:t>
            </w:r>
          </w:p>
        </w:tc>
        <w:tc>
          <w:tcPr>
            <w:tcW w:w="1680" w:type="dxa"/>
            <w:vAlign w:val="bottom"/>
          </w:tcPr>
          <w:p>
            <w:pPr>
              <w:jc w:val="right"/>
              <w:spacing w:after="0"/>
              <w:rPr>
                <w:sz w:val="20"/>
                <w:szCs w:val="20"/>
                <w:color w:val="auto"/>
              </w:rPr>
            </w:pPr>
            <w:r>
              <w:rPr>
                <w:rFonts w:ascii="Arial" w:cs="Arial" w:eastAsia="Arial" w:hAnsi="Arial"/>
                <w:sz w:val="14"/>
                <w:szCs w:val="14"/>
                <w:color w:val="auto"/>
              </w:rPr>
              <w:t>0.53% - 0.73%</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5"/>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price</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$27.42 - $36.28</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bl>
    <w:p>
      <w:pPr>
        <w:spacing w:after="0" w:line="162" w:lineRule="exact"/>
        <w:rPr>
          <w:sz w:val="20"/>
          <w:szCs w:val="20"/>
          <w:color w:val="auto"/>
        </w:rPr>
      </w:pPr>
    </w:p>
    <w:p>
      <w:pPr>
        <w:ind w:right="180" w:firstLine="260"/>
        <w:spacing w:after="0" w:line="274" w:lineRule="auto"/>
        <w:rPr>
          <w:sz w:val="20"/>
          <w:szCs w:val="20"/>
          <w:color w:val="auto"/>
        </w:rPr>
      </w:pPr>
      <w:r>
        <w:rPr>
          <w:rFonts w:ascii="Arial" w:cs="Arial" w:eastAsia="Arial" w:hAnsi="Arial"/>
          <w:sz w:val="14"/>
          <w:szCs w:val="14"/>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98" w:lineRule="exact"/>
        <w:rPr>
          <w:sz w:val="20"/>
          <w:szCs w:val="20"/>
          <w:color w:val="auto"/>
        </w:rPr>
      </w:pPr>
    </w:p>
    <w:p>
      <w:pPr>
        <w:ind w:right="200" w:firstLine="260"/>
        <w:spacing w:after="0" w:line="290" w:lineRule="auto"/>
        <w:rPr>
          <w:sz w:val="20"/>
          <w:szCs w:val="20"/>
          <w:color w:val="auto"/>
        </w:rPr>
      </w:pPr>
      <w:r>
        <w:rPr>
          <w:rFonts w:ascii="Arial" w:cs="Arial" w:eastAsia="Arial" w:hAnsi="Arial"/>
          <w:sz w:val="14"/>
          <w:szCs w:val="14"/>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Expected dividend yield: The expected dividend rate is zero as the Company currently has no history or expectation of declaring dividends on its common stock.</w:t>
      </w:r>
    </w:p>
    <w:p>
      <w:pPr>
        <w:spacing w:after="0" w:line="142" w:lineRule="exact"/>
        <w:rPr>
          <w:sz w:val="20"/>
          <w:szCs w:val="20"/>
          <w:color w:val="auto"/>
        </w:rPr>
      </w:pPr>
    </w:p>
    <w:p>
      <w:pPr>
        <w:ind w:right="120" w:firstLine="260"/>
        <w:spacing w:after="0" w:line="290" w:lineRule="auto"/>
        <w:rPr>
          <w:sz w:val="20"/>
          <w:szCs w:val="20"/>
          <w:color w:val="auto"/>
        </w:rPr>
      </w:pPr>
      <w:r>
        <w:rPr>
          <w:rFonts w:ascii="Arial" w:cs="Arial" w:eastAsia="Arial" w:hAnsi="Arial"/>
          <w:sz w:val="14"/>
          <w:szCs w:val="14"/>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87" w:lineRule="exact"/>
        <w:rPr>
          <w:sz w:val="20"/>
          <w:szCs w:val="20"/>
          <w:color w:val="auto"/>
        </w:rPr>
      </w:pPr>
    </w:p>
    <w:p>
      <w:pPr>
        <w:ind w:right="40" w:firstLine="260"/>
        <w:spacing w:after="0" w:line="288" w:lineRule="auto"/>
        <w:rPr>
          <w:sz w:val="20"/>
          <w:szCs w:val="20"/>
          <w:color w:val="auto"/>
        </w:rPr>
      </w:pPr>
      <w:r>
        <w:rPr>
          <w:rFonts w:ascii="Arial" w:cs="Arial" w:eastAsia="Arial" w:hAnsi="Arial"/>
          <w:sz w:val="13"/>
          <w:szCs w:val="13"/>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92" w:lineRule="exact"/>
        <w:rPr>
          <w:sz w:val="20"/>
          <w:szCs w:val="20"/>
          <w:color w:val="auto"/>
        </w:rPr>
      </w:pPr>
    </w:p>
    <w:p>
      <w:pPr>
        <w:ind w:right="120" w:firstLine="260"/>
        <w:spacing w:after="0" w:line="274" w:lineRule="auto"/>
        <w:rPr>
          <w:sz w:val="20"/>
          <w:szCs w:val="20"/>
          <w:color w:val="auto"/>
        </w:rPr>
      </w:pPr>
      <w:r>
        <w:rPr>
          <w:rFonts w:ascii="Arial" w:cs="Arial" w:eastAsia="Arial" w:hAnsi="Arial"/>
          <w:sz w:val="14"/>
          <w:szCs w:val="14"/>
          <w:color w:val="auto"/>
        </w:rPr>
        <w:t>For awards granted in late January 2021, these were granted at the grant date fair value on the date of grant. The Company’s board of directors made a determination of the fair market value of our common stock which contemplated the implied equity value of the Company per the Business Combination agreement that was executed on February 7, 2021. For the period following execution of the Business Combination agreement through March 31, 2021, no additional equity awards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280"/>
          </w:cols>
          <w:pgMar w:left="300" w:top="171" w:right="319" w:bottom="1440" w:gutter="0" w:footer="0" w:header="0"/>
        </w:sectPr>
      </w:pPr>
    </w:p>
    <w:bookmarkStart w:id="118" w:name="page119"/>
    <w:bookmarkEnd w:id="118"/>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option award activity during the three months ended March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1580" w:type="dxa"/>
            <w:vAlign w:val="bottom"/>
          </w:tcPr>
          <w:p>
            <w:pPr>
              <w:jc w:val="right"/>
              <w:ind w:right="111"/>
              <w:spacing w:after="0"/>
              <w:rPr>
                <w:sz w:val="20"/>
                <w:szCs w:val="20"/>
                <w:color w:val="auto"/>
              </w:rPr>
            </w:pPr>
            <w:r>
              <w:rPr>
                <w:rFonts w:ascii="Arial" w:cs="Arial" w:eastAsia="Arial" w:hAnsi="Arial"/>
                <w:sz w:val="12"/>
                <w:szCs w:val="12"/>
                <w:b w:val="1"/>
                <w:bCs w:val="1"/>
                <w:color w:val="auto"/>
                <w:w w:val="99"/>
              </w:rPr>
              <w:t>Number of Stock Option</w:t>
            </w:r>
          </w:p>
        </w:tc>
        <w:tc>
          <w:tcPr>
            <w:tcW w:w="180" w:type="dxa"/>
            <w:vAlign w:val="bottom"/>
          </w:tcPr>
          <w:p>
            <w:pPr>
              <w:spacing w:after="0"/>
              <w:rPr>
                <w:sz w:val="12"/>
                <w:szCs w:val="12"/>
                <w:color w:val="auto"/>
              </w:rPr>
            </w:pPr>
          </w:p>
        </w:tc>
        <w:tc>
          <w:tcPr>
            <w:tcW w:w="1520" w:type="dxa"/>
            <w:vAlign w:val="bottom"/>
          </w:tcPr>
          <w:p>
            <w:pPr>
              <w:jc w:val="right"/>
              <w:ind w:right="91"/>
              <w:spacing w:after="0"/>
              <w:rPr>
                <w:sz w:val="20"/>
                <w:szCs w:val="20"/>
                <w:color w:val="auto"/>
              </w:rPr>
            </w:pPr>
            <w:r>
              <w:rPr>
                <w:rFonts w:ascii="Arial" w:cs="Arial" w:eastAsia="Arial" w:hAnsi="Arial"/>
                <w:sz w:val="12"/>
                <w:szCs w:val="12"/>
                <w:b w:val="1"/>
                <w:bCs w:val="1"/>
                <w:color w:val="auto"/>
                <w:w w:val="85"/>
              </w:rPr>
              <w:t>Weighted Average Exercise</w:t>
            </w:r>
          </w:p>
        </w:tc>
        <w:tc>
          <w:tcPr>
            <w:tcW w:w="1640" w:type="dxa"/>
            <w:vAlign w:val="bottom"/>
          </w:tcPr>
          <w:p>
            <w:pPr>
              <w:jc w:val="right"/>
              <w:ind w:right="15"/>
              <w:spacing w:after="0"/>
              <w:rPr>
                <w:sz w:val="20"/>
                <w:szCs w:val="20"/>
                <w:color w:val="auto"/>
              </w:rPr>
            </w:pPr>
            <w:r>
              <w:rPr>
                <w:rFonts w:ascii="Arial" w:cs="Arial" w:eastAsia="Arial" w:hAnsi="Arial"/>
                <w:sz w:val="12"/>
                <w:szCs w:val="12"/>
                <w:b w:val="1"/>
                <w:bCs w:val="1"/>
                <w:color w:val="auto"/>
                <w:w w:val="90"/>
              </w:rPr>
              <w:t>Weighted Average Remaining</w:t>
            </w:r>
          </w:p>
        </w:tc>
        <w:tc>
          <w:tcPr>
            <w:tcW w:w="180" w:type="dxa"/>
            <w:vAlign w:val="bottom"/>
          </w:tcPr>
          <w:p>
            <w:pPr>
              <w:spacing w:after="0"/>
              <w:rPr>
                <w:sz w:val="12"/>
                <w:szCs w:val="12"/>
                <w:color w:val="auto"/>
              </w:rPr>
            </w:pPr>
          </w:p>
        </w:tc>
        <w:tc>
          <w:tcPr>
            <w:tcW w:w="14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87"/>
              </w:rPr>
              <w:t>Aggregate Intrinsic Value</w:t>
            </w:r>
          </w:p>
        </w:tc>
        <w:tc>
          <w:tcPr>
            <w:tcW w:w="0" w:type="dxa"/>
            <w:vAlign w:val="bottom"/>
          </w:tcPr>
          <w:p>
            <w:pPr>
              <w:spacing w:after="0"/>
              <w:rPr>
                <w:sz w:val="1"/>
                <w:szCs w:val="1"/>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Awards</w:t>
            </w:r>
          </w:p>
        </w:tc>
        <w:tc>
          <w:tcPr>
            <w:tcW w:w="18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jc w:val="right"/>
              <w:ind w:right="631"/>
              <w:spacing w:after="0"/>
              <w:rPr>
                <w:sz w:val="20"/>
                <w:szCs w:val="20"/>
                <w:color w:val="auto"/>
              </w:rPr>
            </w:pPr>
            <w:r>
              <w:rPr>
                <w:rFonts w:ascii="Arial" w:cs="Arial" w:eastAsia="Arial" w:hAnsi="Arial"/>
                <w:sz w:val="12"/>
                <w:szCs w:val="12"/>
                <w:b w:val="1"/>
                <w:bCs w:val="1"/>
                <w:color w:val="auto"/>
              </w:rPr>
              <w:t>Price</w:t>
            </w:r>
          </w:p>
        </w:tc>
        <w:tc>
          <w:tcPr>
            <w:tcW w:w="1640" w:type="dxa"/>
            <w:vAlign w:val="bottom"/>
            <w:tcBorders>
              <w:bottom w:val="single" w:sz="8" w:color="CCEEFF"/>
            </w:tcBorders>
          </w:tcPr>
          <w:p>
            <w:pPr>
              <w:jc w:val="right"/>
              <w:ind w:right="155"/>
              <w:spacing w:after="0"/>
              <w:rPr>
                <w:sz w:val="20"/>
                <w:szCs w:val="20"/>
                <w:color w:val="auto"/>
              </w:rPr>
            </w:pPr>
            <w:r>
              <w:rPr>
                <w:rFonts w:ascii="Arial" w:cs="Arial" w:eastAsia="Arial" w:hAnsi="Arial"/>
                <w:sz w:val="12"/>
                <w:szCs w:val="12"/>
                <w:b w:val="1"/>
                <w:bCs w:val="1"/>
                <w:color w:val="auto"/>
              </w:rPr>
              <w:t>Contractual Life (Years)</w:t>
            </w:r>
          </w:p>
        </w:tc>
        <w:tc>
          <w:tcPr>
            <w:tcW w:w="1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1,418,267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3.05</w:t>
            </w:r>
          </w:p>
        </w:tc>
        <w:tc>
          <w:tcPr>
            <w:tcW w:w="1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578,572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35.62</w:t>
            </w: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4.12</w:t>
            </w:r>
          </w:p>
        </w:tc>
        <w:tc>
          <w:tcPr>
            <w:tcW w:w="16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March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1,982,839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12.55</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69,289,358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40" w:type="dxa"/>
            <w:vAlign w:val="bottom"/>
          </w:tcPr>
          <w:p>
            <w:pPr>
              <w:ind w:left="20"/>
              <w:spacing w:after="0" w:line="148" w:lineRule="exact"/>
              <w:rPr>
                <w:sz w:val="20"/>
                <w:szCs w:val="20"/>
                <w:color w:val="auto"/>
              </w:rPr>
            </w:pPr>
            <w:r>
              <w:rPr>
                <w:rFonts w:ascii="Arial" w:cs="Arial" w:eastAsia="Arial" w:hAnsi="Arial"/>
                <w:sz w:val="14"/>
                <w:szCs w:val="14"/>
                <w:color w:val="auto"/>
              </w:rPr>
              <w:t>Options vested and expected to vest as of March 31, 2021</w:t>
            </w:r>
          </w:p>
        </w:tc>
        <w:tc>
          <w:tcPr>
            <w:tcW w:w="15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1,982,839</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31"/>
              <w:spacing w:after="0" w:line="148" w:lineRule="exact"/>
              <w:rPr>
                <w:sz w:val="20"/>
                <w:szCs w:val="20"/>
                <w:color w:val="auto"/>
              </w:rPr>
            </w:pPr>
            <w:r>
              <w:rPr>
                <w:rFonts w:ascii="Arial" w:cs="Arial" w:eastAsia="Arial" w:hAnsi="Arial"/>
                <w:sz w:val="14"/>
                <w:szCs w:val="14"/>
                <w:color w:val="auto"/>
              </w:rPr>
              <w:t>12.55</w:t>
            </w: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exercisable at March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13,803,431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260"/>
        <w:spacing w:after="0" w:line="290" w:lineRule="auto"/>
        <w:rPr>
          <w:sz w:val="20"/>
          <w:szCs w:val="20"/>
          <w:color w:val="auto"/>
        </w:rPr>
      </w:pPr>
      <w:r>
        <w:rPr>
          <w:rFonts w:ascii="Arial" w:cs="Arial" w:eastAsia="Arial" w:hAnsi="Arial"/>
          <w:sz w:val="14"/>
          <w:szCs w:val="14"/>
          <w:color w:val="auto"/>
        </w:rPr>
        <w:t>As of March 31, 2021, there was $22.5 million of total unrecognized compensation expense expected to be recognized over a weighted average-period of 3.63 years. Aggregate intrinsic value represents the difference between the fair market value of the common stock and the exercise price of outstanding, in-the-money options.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January 2017, the Company granted 9.0 million shares of restricted common stock to founders for future services that vest over four years from the date of grant.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Activity with respect to restricted stock during the three months ended March 31, 2021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w w:val="88"/>
              </w:rPr>
              <w:t>Number of Shares Underlying</w:t>
            </w:r>
          </w:p>
        </w:tc>
        <w:tc>
          <w:tcPr>
            <w:tcW w:w="100" w:type="dxa"/>
            <w:vAlign w:val="bottom"/>
          </w:tcPr>
          <w:p>
            <w:pPr>
              <w:spacing w:after="0"/>
              <w:rPr>
                <w:sz w:val="12"/>
                <w:szCs w:val="12"/>
                <w:color w:val="auto"/>
              </w:rPr>
            </w:pP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w w:val="87"/>
              </w:rPr>
              <w:t>Weighted- Average Grant Date</w:t>
            </w:r>
          </w:p>
        </w:tc>
      </w:tr>
      <w:tr>
        <w:trPr>
          <w:trHeight w:val="150"/>
        </w:trPr>
        <w:tc>
          <w:tcPr>
            <w:tcW w:w="806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7"/>
              </w:rPr>
              <w:t>Outstanding Restricted Stock</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Fair Value</w:t>
            </w: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157,031</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0.0001</w:t>
            </w: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(157,031)</w:t>
            </w:r>
          </w:p>
        </w:tc>
        <w:tc>
          <w:tcPr>
            <w:tcW w:w="4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0.0001</w:t>
            </w:r>
          </w:p>
        </w:tc>
      </w:tr>
      <w:tr>
        <w:trPr>
          <w:trHeight w:val="20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sets forth the total stock-based compensation expense for the Company’s stock options included in the Company’s condensed statement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2"/>
                <w:szCs w:val="12"/>
                <w:b w:val="1"/>
                <w:bCs w:val="1"/>
                <w:color w:val="auto"/>
              </w:rPr>
              <w:t>Three Months Ended March 31,</w:t>
            </w:r>
          </w:p>
        </w:tc>
      </w:tr>
      <w:tr>
        <w:trPr>
          <w:trHeight w:val="1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2020</w:t>
            </w: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520" w:hanging="513"/>
        <w:spacing w:after="0"/>
        <w:tabs>
          <w:tab w:leader="none" w:pos="520" w:val="left"/>
        </w:tabs>
        <w:numPr>
          <w:ilvl w:val="0"/>
          <w:numId w:val="102"/>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Purchase Commitments</w:t>
      </w:r>
    </w:p>
    <w:p>
      <w:pPr>
        <w:spacing w:after="0" w:line="142" w:lineRule="exact"/>
        <w:rPr>
          <w:sz w:val="20"/>
          <w:szCs w:val="20"/>
          <w:color w:val="auto"/>
        </w:rPr>
      </w:pPr>
    </w:p>
    <w:p>
      <w:pPr>
        <w:ind w:right="40" w:firstLine="260"/>
        <w:spacing w:after="0" w:line="304" w:lineRule="auto"/>
        <w:rPr>
          <w:sz w:val="20"/>
          <w:szCs w:val="20"/>
          <w:color w:val="auto"/>
        </w:rPr>
      </w:pPr>
      <w:r>
        <w:rPr>
          <w:rFonts w:ascii="Arial" w:cs="Arial" w:eastAsia="Arial" w:hAnsi="Arial"/>
          <w:sz w:val="13"/>
          <w:szCs w:val="13"/>
          <w:color w:val="auto"/>
        </w:rPr>
        <w:t>Open purchase commitments are for the purchase of goods and services related to, but not limited to, research and development, facilities, and professional services under non-cancellable contracts. They were not recorded as liabilities on the condensed balance sheet as of March 31, 2021 as the Company had not yet received the related goods or services. As of March 31, 2021, the Company had open purchase commitments for goods and services of $1.3 million, which are expected to be received through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280"/>
          </w:cols>
          <w:pgMar w:left="300" w:top="171" w:right="319" w:bottom="1440" w:gutter="0" w:footer="0" w:header="0"/>
        </w:sectPr>
      </w:pPr>
    </w:p>
    <w:bookmarkStart w:id="119" w:name="page120"/>
    <w:bookmarkEnd w:id="119"/>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42" w:lineRule="exact"/>
        <w:rPr>
          <w:sz w:val="20"/>
          <w:szCs w:val="20"/>
          <w:color w:val="auto"/>
        </w:rPr>
      </w:pPr>
    </w:p>
    <w:p>
      <w:pPr>
        <w:ind w:right="60" w:firstLine="260"/>
        <w:spacing w:after="0" w:line="330" w:lineRule="auto"/>
        <w:rPr>
          <w:sz w:val="20"/>
          <w:szCs w:val="20"/>
          <w:color w:val="auto"/>
        </w:rPr>
      </w:pPr>
      <w:r>
        <w:rPr>
          <w:rFonts w:ascii="Arial" w:cs="Arial" w:eastAsia="Arial" w:hAnsi="Arial"/>
          <w:sz w:val="13"/>
          <w:szCs w:val="13"/>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Leases</w:t>
      </w:r>
    </w:p>
    <w:p>
      <w:pPr>
        <w:spacing w:after="0" w:line="142" w:lineRule="exact"/>
        <w:rPr>
          <w:sz w:val="20"/>
          <w:szCs w:val="20"/>
          <w:color w:val="auto"/>
        </w:rPr>
      </w:pPr>
    </w:p>
    <w:p>
      <w:pPr>
        <w:ind w:right="260" w:firstLine="260"/>
        <w:spacing w:after="0" w:line="274" w:lineRule="auto"/>
        <w:rPr>
          <w:sz w:val="20"/>
          <w:szCs w:val="20"/>
          <w:color w:val="auto"/>
        </w:rPr>
      </w:pPr>
      <w:r>
        <w:rPr>
          <w:rFonts w:ascii="Arial" w:cs="Arial" w:eastAsia="Arial" w:hAnsi="Arial"/>
          <w:sz w:val="14"/>
          <w:szCs w:val="14"/>
          <w:color w:val="auto"/>
        </w:rPr>
        <w:t>The Company is obligated under certain non-cancelable operating leases for office space and laboratory space. This space includes operating leases in Seattle, Washington, Menlo Park, California and San Carlos, California. The operating lease in Seattle, Washington will expire in April 2021 and will be renewed month to month while the Company negotiates on a new lease. The operating lease in San Carlos, California will expire in September 2023. The operating lease in Menlo Park, California expired in February 2020.</w:t>
      </w:r>
    </w:p>
    <w:p>
      <w:pPr>
        <w:spacing w:after="0" w:line="98" w:lineRule="exact"/>
        <w:rPr>
          <w:sz w:val="20"/>
          <w:szCs w:val="20"/>
          <w:color w:val="auto"/>
        </w:rPr>
      </w:pPr>
    </w:p>
    <w:p>
      <w:pPr>
        <w:ind w:right="140" w:firstLine="260"/>
        <w:spacing w:after="0" w:line="268" w:lineRule="auto"/>
        <w:rPr>
          <w:sz w:val="20"/>
          <w:szCs w:val="20"/>
          <w:color w:val="auto"/>
        </w:rPr>
      </w:pPr>
      <w:r>
        <w:rPr>
          <w:rFonts w:ascii="Arial" w:cs="Arial" w:eastAsia="Arial" w:hAnsi="Arial"/>
          <w:sz w:val="14"/>
          <w:szCs w:val="14"/>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 The temporary office space lease agreement was recognized as a short-term lease due to the election of the short-term lease measurement and recognition exemption.</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lease costs, which were included in operating expenses in condensed statements of operations,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2"/>
                <w:szCs w:val="12"/>
                <w:b w:val="1"/>
                <w:bCs w:val="1"/>
                <w:color w:val="auto"/>
              </w:rPr>
              <w:t>Three Months Ended March 31,</w:t>
            </w:r>
          </w:p>
        </w:tc>
      </w:tr>
      <w:tr>
        <w:trPr>
          <w:trHeight w:val="1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2020</w:t>
            </w: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operating lease costs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Variable operating lease costs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costs</w:t>
            </w: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360" w:firstLine="260"/>
        <w:spacing w:after="0" w:line="290" w:lineRule="auto"/>
        <w:rPr>
          <w:sz w:val="20"/>
          <w:szCs w:val="20"/>
          <w:color w:val="auto"/>
        </w:rPr>
      </w:pPr>
      <w:r>
        <w:rPr>
          <w:rFonts w:ascii="Arial" w:cs="Arial" w:eastAsia="Arial" w:hAnsi="Arial"/>
          <w:sz w:val="14"/>
          <w:szCs w:val="14"/>
          <w:color w:val="auto"/>
        </w:rPr>
        <w:t>For the three months ended March 31, 2021 and 2020, cash paid for amounts included in the measurement of lease liabilities included in cash flows used in operating activities was $0.3 million and $0.6 million, respectively.</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March 31, 2021, the weighted-average remaining lease term and weighted-average discount rate for operating leases is 2.5 years and 8.0% respectively.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Company's future principal contractual obligations for operating lease commitments as of March 31,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72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8"/>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w w:val="96"/>
              </w:rPr>
              <w:t>Lease Obligations</w:t>
            </w: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w:t>
            </w:r>
          </w:p>
        </w:tc>
      </w:tr>
      <w:tr>
        <w:trPr>
          <w:trHeight w:val="183"/>
        </w:trPr>
        <w:tc>
          <w:tcPr>
            <w:tcW w:w="9720" w:type="dxa"/>
            <w:vAlign w:val="bottom"/>
          </w:tcPr>
          <w:p>
            <w:pPr>
              <w:ind w:left="20"/>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1,988</w:t>
            </w:r>
          </w:p>
        </w:tc>
      </w:tr>
      <w:tr>
        <w:trPr>
          <w:trHeight w:val="185"/>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w:t>
            </w:r>
          </w:p>
        </w:tc>
      </w:tr>
      <w:tr>
        <w:trPr>
          <w:trHeight w:val="174"/>
        </w:trPr>
        <w:tc>
          <w:tcPr>
            <w:tcW w:w="9720" w:type="dxa"/>
            <w:vAlign w:val="bottom"/>
          </w:tcPr>
          <w:p>
            <w:pPr>
              <w:ind w:left="20"/>
              <w:spacing w:after="0"/>
              <w:rPr>
                <w:sz w:val="20"/>
                <w:szCs w:val="20"/>
                <w:color w:val="auto"/>
              </w:rPr>
            </w:pPr>
            <w:r>
              <w:rPr>
                <w:rFonts w:ascii="Arial" w:cs="Arial" w:eastAsia="Arial" w:hAnsi="Arial"/>
                <w:sz w:val="14"/>
                <w:szCs w:val="14"/>
                <w:color w:val="auto"/>
              </w:rPr>
              <w:t>Total future minimum lease payments</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5,926</w:t>
            </w:r>
          </w:p>
        </w:tc>
      </w:tr>
      <w:tr>
        <w:trPr>
          <w:trHeight w:val="185"/>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74"/>
        </w:trPr>
        <w:tc>
          <w:tcPr>
            <w:tcW w:w="972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5,486</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80"/>
          </w:cols>
          <w:pgMar w:left="300" w:top="171" w:right="319" w:bottom="1440" w:gutter="0" w:footer="0" w:header="0"/>
        </w:sectPr>
      </w:pPr>
    </w:p>
    <w:bookmarkStart w:id="120" w:name="page121"/>
    <w:bookmarkEnd w:id="120"/>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40" w:firstLine="260"/>
        <w:spacing w:after="0" w:line="290" w:lineRule="auto"/>
        <w:rPr>
          <w:sz w:val="20"/>
          <w:szCs w:val="20"/>
          <w:color w:val="auto"/>
        </w:rPr>
      </w:pPr>
      <w:r>
        <w:rPr>
          <w:rFonts w:ascii="Arial" w:cs="Arial" w:eastAsia="Arial" w:hAnsi="Arial"/>
          <w:sz w:val="14"/>
          <w:szCs w:val="14"/>
          <w:color w:val="auto"/>
        </w:rPr>
        <w:t>Total future principal contractual obligations for operating lease commitments exceeded the undiscounted lease liability by $1.0 million as of March 31, 2021 because the lease liability in the condensed balance sheet excluded short-term lease payments.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Guarantees and Indemnifications</w:t>
      </w:r>
    </w:p>
    <w:p>
      <w:pPr>
        <w:spacing w:after="0" w:line="142" w:lineRule="exact"/>
        <w:rPr>
          <w:sz w:val="20"/>
          <w:szCs w:val="20"/>
          <w:color w:val="auto"/>
        </w:rPr>
      </w:pPr>
    </w:p>
    <w:p>
      <w:pPr>
        <w:ind w:right="40" w:firstLine="260"/>
        <w:spacing w:after="0" w:line="268" w:lineRule="auto"/>
        <w:rPr>
          <w:sz w:val="20"/>
          <w:szCs w:val="20"/>
          <w:color w:val="auto"/>
        </w:rPr>
      </w:pPr>
      <w:r>
        <w:rPr>
          <w:rFonts w:ascii="Arial" w:cs="Arial" w:eastAsia="Arial" w:hAnsi="Arial"/>
          <w:sz w:val="14"/>
          <w:szCs w:val="14"/>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03" w:lineRule="exact"/>
        <w:rPr>
          <w:sz w:val="20"/>
          <w:szCs w:val="20"/>
          <w:color w:val="auto"/>
        </w:rPr>
      </w:pPr>
    </w:p>
    <w:p>
      <w:pPr>
        <w:ind w:right="80" w:firstLine="260"/>
        <w:spacing w:after="0" w:line="268" w:lineRule="auto"/>
        <w:rPr>
          <w:sz w:val="20"/>
          <w:szCs w:val="20"/>
          <w:color w:val="auto"/>
        </w:rPr>
      </w:pPr>
      <w:r>
        <w:rPr>
          <w:rFonts w:ascii="Arial" w:cs="Arial" w:eastAsia="Arial" w:hAnsi="Arial"/>
          <w:sz w:val="14"/>
          <w:szCs w:val="14"/>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Letter of Credit</w:t>
      </w:r>
    </w:p>
    <w:p>
      <w:pPr>
        <w:spacing w:after="0" w:line="142" w:lineRule="exact"/>
        <w:rPr>
          <w:sz w:val="20"/>
          <w:szCs w:val="20"/>
          <w:color w:val="auto"/>
        </w:rPr>
      </w:pPr>
    </w:p>
    <w:p>
      <w:pPr>
        <w:ind w:right="440" w:firstLine="260"/>
        <w:spacing w:after="0" w:line="290" w:lineRule="auto"/>
        <w:rPr>
          <w:sz w:val="20"/>
          <w:szCs w:val="20"/>
          <w:color w:val="auto"/>
        </w:rPr>
      </w:pPr>
      <w:r>
        <w:rPr>
          <w:rFonts w:ascii="Arial" w:cs="Arial" w:eastAsia="Arial" w:hAnsi="Arial"/>
          <w:sz w:val="14"/>
          <w:szCs w:val="14"/>
          <w:color w:val="auto"/>
        </w:rPr>
        <w:t>In conjunction with the San Carlos lease agreement, the Company issued a cash-collateralized letter of credit in lieu of security deposit of $0.6 million. The cash amount is recorded as restricted cash under Other long-term assets on the Company’s condensed balance sheet.</w:t>
      </w:r>
    </w:p>
    <w:p>
      <w:pPr>
        <w:spacing w:after="0" w:line="83" w:lineRule="exact"/>
        <w:rPr>
          <w:sz w:val="20"/>
          <w:szCs w:val="20"/>
          <w:color w:val="auto"/>
        </w:rPr>
      </w:pPr>
    </w:p>
    <w:p>
      <w:pPr>
        <w:ind w:left="520" w:hanging="513"/>
        <w:spacing w:after="0"/>
        <w:tabs>
          <w:tab w:leader="none" w:pos="520"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Basic and Diluted Net Loss per Share</w:t>
      </w:r>
    </w:p>
    <w:p>
      <w:pPr>
        <w:spacing w:after="0" w:line="146" w:lineRule="exact"/>
        <w:rPr>
          <w:sz w:val="20"/>
          <w:szCs w:val="20"/>
          <w:color w:val="auto"/>
        </w:rPr>
      </w:pPr>
    </w:p>
    <w:p>
      <w:pPr>
        <w:ind w:right="300" w:firstLine="260"/>
        <w:spacing w:after="0" w:line="290" w:lineRule="auto"/>
        <w:rPr>
          <w:sz w:val="20"/>
          <w:szCs w:val="20"/>
          <w:color w:val="auto"/>
        </w:rPr>
      </w:pPr>
      <w:r>
        <w:rPr>
          <w:rFonts w:ascii="Arial" w:cs="Arial" w:eastAsia="Arial" w:hAnsi="Arial"/>
          <w:sz w:val="14"/>
          <w:szCs w:val="14"/>
          <w:color w:val="auto"/>
        </w:rPr>
        <w:t>The following tables set forth the computation of the Company’s basic and diluted net loss per share attributable to common stockholders for the three months ended March 31, 2021 and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2"/>
                <w:szCs w:val="12"/>
                <w:b w:val="1"/>
                <w:bCs w:val="1"/>
                <w:color w:val="auto"/>
              </w:rPr>
              <w:t>Three Months Ended March 31,</w:t>
            </w:r>
          </w:p>
        </w:tc>
      </w:tr>
      <w:tr>
        <w:trPr>
          <w:trHeight w:val="1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2020</w:t>
            </w:r>
          </w:p>
        </w:tc>
      </w:tr>
      <w:tr>
        <w:trPr>
          <w:trHeight w:val="16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(8,409)</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(2,934)</w:t>
            </w:r>
          </w:p>
        </w:tc>
      </w:tr>
      <w:tr>
        <w:trPr>
          <w:trHeight w:val="18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shares used in computing net loss per share attributable to common stockholders, basic and diluted</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9,095,711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7,292,773</w:t>
            </w:r>
          </w:p>
        </w:tc>
      </w:tr>
      <w:tr>
        <w:trPr>
          <w:trHeight w:val="20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100" w:firstLine="260"/>
        <w:spacing w:after="0" w:line="290" w:lineRule="auto"/>
        <w:rPr>
          <w:sz w:val="20"/>
          <w:szCs w:val="20"/>
          <w:color w:val="auto"/>
        </w:rPr>
      </w:pPr>
      <w:r>
        <w:rPr>
          <w:rFonts w:ascii="Arial" w:cs="Arial" w:eastAsia="Arial" w:hAnsi="Arial"/>
          <w:sz w:val="14"/>
          <w:szCs w:val="14"/>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13" w:lineRule="exact"/>
        <w:rPr>
          <w:sz w:val="20"/>
          <w:szCs w:val="20"/>
          <w:color w:val="auto"/>
        </w:rPr>
      </w:pPr>
    </w:p>
    <w:p>
      <w:pPr>
        <w:ind w:left="8880"/>
        <w:spacing w:after="0"/>
        <w:rPr>
          <w:sz w:val="20"/>
          <w:szCs w:val="20"/>
          <w:color w:val="auto"/>
        </w:rPr>
      </w:pPr>
      <w:r>
        <w:rPr>
          <w:rFonts w:ascii="Arial" w:cs="Arial" w:eastAsia="Arial" w:hAnsi="Arial"/>
          <w:sz w:val="12"/>
          <w:szCs w:val="12"/>
          <w:b w:val="1"/>
          <w:bCs w:val="1"/>
          <w:color w:val="auto"/>
        </w:rPr>
        <w:t>Three Months Ended 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2020</w:t>
            </w:r>
          </w:p>
        </w:tc>
      </w:tr>
      <w:tr>
        <w:trPr>
          <w:trHeight w:val="176"/>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Convertible preferred stock (on an as-converted basis)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14,381,190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8,271,958</w:t>
            </w:r>
          </w:p>
        </w:tc>
      </w:tr>
      <w:tr>
        <w:trPr>
          <w:trHeight w:val="183"/>
        </w:trPr>
        <w:tc>
          <w:tcPr>
            <w:tcW w:w="8960" w:type="dxa"/>
            <w:vAlign w:val="bottom"/>
            <w:gridSpan w:val="2"/>
          </w:tcPr>
          <w:p>
            <w:pPr>
              <w:ind w:left="20"/>
              <w:spacing w:after="0"/>
              <w:rPr>
                <w:sz w:val="20"/>
                <w:szCs w:val="20"/>
                <w:color w:val="auto"/>
              </w:rPr>
            </w:pPr>
            <w:r>
              <w:rPr>
                <w:rFonts w:ascii="Arial" w:cs="Arial" w:eastAsia="Arial" w:hAnsi="Arial"/>
                <w:sz w:val="14"/>
                <w:szCs w:val="14"/>
                <w:color w:val="auto"/>
              </w:rPr>
              <w:t>Options to purchase common stock</w:t>
            </w:r>
          </w:p>
        </w:tc>
        <w:tc>
          <w:tcPr>
            <w:tcW w:w="660" w:type="dxa"/>
            <w:vAlign w:val="bottom"/>
          </w:tcPr>
          <w:p>
            <w:pPr>
              <w:jc w:val="right"/>
              <w:spacing w:after="0"/>
              <w:rPr>
                <w:sz w:val="20"/>
                <w:szCs w:val="20"/>
                <w:color w:val="auto"/>
              </w:rPr>
            </w:pPr>
            <w:r>
              <w:rPr>
                <w:rFonts w:ascii="Arial" w:cs="Arial" w:eastAsia="Arial" w:hAnsi="Arial"/>
                <w:sz w:val="14"/>
                <w:szCs w:val="14"/>
                <w:color w:val="auto"/>
              </w:rPr>
              <w:t>1,982,839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598,181</w:t>
            </w:r>
          </w:p>
        </w:tc>
      </w:tr>
      <w:tr>
        <w:trPr>
          <w:trHeight w:val="18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w:t>
            </w: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Unvested restricted common stock</w:t>
            </w:r>
          </w:p>
        </w:tc>
        <w:tc>
          <w:tcPr>
            <w:tcW w:w="9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1,570,313</w:t>
            </w:r>
          </w:p>
        </w:tc>
      </w:tr>
      <w:tr>
        <w:trPr>
          <w:trHeight w:val="19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potentially dilutive common share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16,381,529</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10,457,952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80"/>
          </w:cols>
          <w:pgMar w:left="300" w:top="171" w:right="319" w:bottom="1440" w:gutter="0" w:footer="0" w:header="0"/>
        </w:sectPr>
      </w:pPr>
    </w:p>
    <w:bookmarkStart w:id="121" w:name="page122"/>
    <w:bookmarkEnd w:id="121"/>
    <w:p>
      <w:pPr>
        <w:ind w:left="20"/>
        <w:spacing w:after="0"/>
        <w:rPr>
          <w:sz w:val="20"/>
          <w:szCs w:val="20"/>
          <w:color w:val="auto"/>
        </w:rPr>
      </w:pPr>
      <w:r>
        <w:rPr>
          <w:rFonts w:ascii="Arial" w:cs="Arial" w:eastAsia="Arial" w:hAnsi="Arial"/>
          <w:sz w:val="17"/>
          <w:szCs w:val="17"/>
          <w:b w:val="1"/>
          <w:bCs w:val="1"/>
          <w:color w:val="auto"/>
        </w:rPr>
        <w:t>Nautilus Biotechnology, Inc.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59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20" w:hanging="513"/>
        <w:spacing w:after="0"/>
        <w:tabs>
          <w:tab w:leader="none" w:pos="52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evaluated subsequent events through June 9, 2021, the date on which the condensed financial statements were available to be issued.</w:t>
      </w:r>
    </w:p>
    <w:p>
      <w:pPr>
        <w:spacing w:after="0" w:line="142" w:lineRule="exact"/>
        <w:rPr>
          <w:sz w:val="20"/>
          <w:szCs w:val="20"/>
          <w:color w:val="auto"/>
        </w:rPr>
      </w:pPr>
    </w:p>
    <w:p>
      <w:pPr>
        <w:ind w:firstLine="260"/>
        <w:spacing w:after="0" w:line="268" w:lineRule="auto"/>
        <w:rPr>
          <w:sz w:val="20"/>
          <w:szCs w:val="20"/>
          <w:color w:val="auto"/>
        </w:rPr>
      </w:pPr>
      <w:r>
        <w:rPr>
          <w:rFonts w:ascii="Arial" w:cs="Arial" w:eastAsia="Arial" w:hAnsi="Arial"/>
          <w:sz w:val="14"/>
          <w:szCs w:val="14"/>
          <w:color w:val="auto"/>
        </w:rPr>
        <w:t>On June 9, 2021, the Company consummated the Business Combination with ARYA. ARYA was renamed to Nautilus Biotechnology, Inc. and the Company became a wholly owned subsidiary of New Nautilus. In addition, concurrently with the Closing Date and pursuant to the subscription agreement, PIPE Investors purchased an aggregate of 20,000,000 shares of New Nautilus Common Stock at a price of $10.00 per share, for aggregate gross proceeds of $200 million and the Company received gross proceeds of approximately $145 million from ARYA, offset by approximately $20 million of transaction costs and underwriters’ fees relating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220"/>
          </w:cols>
          <w:pgMar w:left="300" w:top="171" w:right="3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CONDENSED COMBINED FINANCIAL INFORMATION</w:t>
      </w:r>
    </w:p>
    <w:p>
      <w:pPr>
        <w:spacing w:after="0" w:line="200" w:lineRule="exact"/>
        <w:rPr>
          <w:sz w:val="20"/>
          <w:szCs w:val="20"/>
          <w:color w:val="auto"/>
        </w:rPr>
      </w:pPr>
    </w:p>
    <w:p>
      <w:pPr>
        <w:ind w:right="440" w:firstLine="260"/>
        <w:spacing w:after="0" w:line="290" w:lineRule="auto"/>
        <w:rPr>
          <w:sz w:val="20"/>
          <w:szCs w:val="20"/>
          <w:color w:val="auto"/>
        </w:rPr>
      </w:pPr>
      <w:r>
        <w:rPr>
          <w:rFonts w:ascii="Arial" w:cs="Arial" w:eastAsia="Arial" w:hAnsi="Arial"/>
          <w:sz w:val="14"/>
          <w:szCs w:val="14"/>
          <w:i w:val="1"/>
          <w:iCs w:val="1"/>
          <w:color w:val="auto"/>
        </w:rPr>
        <w:t>Capitalized terms used but not defined in this Exhibit 99.2 shall have the meanings ascribed to them in the Current Report on Form 8-K (the “</w:t>
      </w:r>
      <w:r>
        <w:rPr>
          <w:rFonts w:ascii="Arial" w:cs="Arial" w:eastAsia="Arial" w:hAnsi="Arial"/>
          <w:sz w:val="14"/>
          <w:szCs w:val="14"/>
          <w:i w:val="1"/>
          <w:iCs w:val="1"/>
          <w:u w:val="single" w:color="auto"/>
          <w:color w:val="auto"/>
        </w:rPr>
        <w:t>Form 8-K</w:t>
      </w:r>
      <w:r>
        <w:rPr>
          <w:rFonts w:ascii="Arial" w:cs="Arial" w:eastAsia="Arial" w:hAnsi="Arial"/>
          <w:sz w:val="14"/>
          <w:szCs w:val="14"/>
          <w:i w:val="1"/>
          <w:iCs w:val="1"/>
          <w:color w:val="auto"/>
        </w:rPr>
        <w:t>”) filed with the Securities and Exchange Commission (the “</w:t>
      </w:r>
      <w:r>
        <w:rPr>
          <w:rFonts w:ascii="Arial" w:cs="Arial" w:eastAsia="Arial" w:hAnsi="Arial"/>
          <w:sz w:val="14"/>
          <w:szCs w:val="14"/>
          <w:i w:val="1"/>
          <w:iCs w:val="1"/>
          <w:u w:val="single" w:color="auto"/>
          <w:color w:val="auto"/>
        </w:rPr>
        <w:t>SEC</w:t>
      </w:r>
      <w:r>
        <w:rPr>
          <w:rFonts w:ascii="Arial" w:cs="Arial" w:eastAsia="Arial" w:hAnsi="Arial"/>
          <w:sz w:val="14"/>
          <w:szCs w:val="14"/>
          <w:i w:val="1"/>
          <w:iCs w:val="1"/>
          <w:color w:val="auto"/>
        </w:rPr>
        <w:t>”) on June 9, 2021 and, if not defined in the Form 8-K, the Proxy Statement.</w:t>
      </w:r>
    </w:p>
    <w:p>
      <w:pPr>
        <w:spacing w:after="0" w:line="141" w:lineRule="exact"/>
        <w:rPr>
          <w:sz w:val="20"/>
          <w:szCs w:val="20"/>
          <w:color w:val="auto"/>
        </w:rPr>
      </w:pPr>
    </w:p>
    <w:p>
      <w:pPr>
        <w:ind w:right="60" w:firstLine="260"/>
        <w:spacing w:after="0" w:line="301" w:lineRule="auto"/>
        <w:rPr>
          <w:sz w:val="20"/>
          <w:szCs w:val="20"/>
          <w:color w:val="auto"/>
        </w:rPr>
      </w:pPr>
      <w:r>
        <w:rPr>
          <w:rFonts w:ascii="Arial" w:cs="Arial" w:eastAsia="Arial" w:hAnsi="Arial"/>
          <w:sz w:val="14"/>
          <w:szCs w:val="14"/>
          <w:color w:val="auto"/>
        </w:rPr>
        <w:t>The following unaudited pro forma condensed combined balance sheet of New Nautilus as of March 31, 2021 and the unaudited pro forma condensed combined statements of operations of New Nautilus for the three months ended March 31, 2021 and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spacing w:after="0" w:line="145" w:lineRule="exact"/>
        <w:rPr>
          <w:sz w:val="20"/>
          <w:szCs w:val="20"/>
          <w:color w:val="auto"/>
        </w:rPr>
      </w:pPr>
    </w:p>
    <w:p>
      <w:pPr>
        <w:ind w:right="600" w:firstLine="260"/>
        <w:spacing w:after="0" w:line="416" w:lineRule="auto"/>
        <w:rPr>
          <w:sz w:val="20"/>
          <w:szCs w:val="20"/>
          <w:color w:val="auto"/>
        </w:rPr>
      </w:pPr>
      <w:r>
        <w:rPr>
          <w:rFonts w:ascii="Arial" w:cs="Arial" w:eastAsia="Arial" w:hAnsi="Arial"/>
          <w:sz w:val="12"/>
          <w:szCs w:val="12"/>
          <w:color w:val="auto"/>
        </w:rPr>
        <w:t>The unaudited pro forma condensed combined balance sheet as of March 31, 2021 combines the historical unaudited condensed balance sheet of ARYA and the historical unaudited condensed balance sheet of Nautilus as of March 31, 2021 on a pro forma basis as if the Business Combination and the PIPE Financing had been consummated on March 31, 2021.</w:t>
      </w:r>
    </w:p>
    <w:p>
      <w:pPr>
        <w:spacing w:after="0" w:line="84" w:lineRule="exact"/>
        <w:rPr>
          <w:sz w:val="20"/>
          <w:szCs w:val="20"/>
          <w:color w:val="auto"/>
        </w:rPr>
      </w:pPr>
    </w:p>
    <w:p>
      <w:pPr>
        <w:ind w:right="240" w:firstLine="260"/>
        <w:spacing w:after="0" w:line="296" w:lineRule="auto"/>
        <w:rPr>
          <w:sz w:val="20"/>
          <w:szCs w:val="20"/>
          <w:color w:val="auto"/>
        </w:rPr>
      </w:pPr>
      <w:r>
        <w:rPr>
          <w:rFonts w:ascii="Arial" w:cs="Arial" w:eastAsia="Arial" w:hAnsi="Arial"/>
          <w:sz w:val="14"/>
          <w:szCs w:val="14"/>
          <w:color w:val="auto"/>
        </w:rPr>
        <w:t>The unaudited pro forma condensed combined statement of operations for the three months ended March 31, 2021 combines the historical unaudited condensed statement of operations of ARYA for the three months ended March 31, 2021 and the historical unaudited condensed statement of operations of Nautilus for the three months ended March 31, 2021, giving effect to the transaction as if the Business Combination and the PIPE Financing had been consummated on January 1, 2020. The unaudited pro forma combined statement of operations for the year ended December 31, 2020 combines the historical audited statements of operations of ARYA for the period from March 27, 2020 (inception) through December 31, 2020 and the historical audited statement of operations of Nautilus for the year ended December 31, 2020, giving effect to the transaction as if the Business Combination and the PIPE Financing had been consummated on January 1, 2020.</w:t>
      </w:r>
    </w:p>
    <w:p>
      <w:pPr>
        <w:spacing w:after="0" w:line="150" w:lineRule="exact"/>
        <w:rPr>
          <w:sz w:val="20"/>
          <w:szCs w:val="20"/>
          <w:color w:val="auto"/>
        </w:rPr>
      </w:pPr>
    </w:p>
    <w:p>
      <w:pPr>
        <w:ind w:right="20" w:firstLine="260"/>
        <w:spacing w:after="0" w:line="322" w:lineRule="auto"/>
        <w:rPr>
          <w:sz w:val="20"/>
          <w:szCs w:val="20"/>
          <w:color w:val="auto"/>
        </w:rPr>
      </w:pPr>
      <w:r>
        <w:rPr>
          <w:rFonts w:ascii="Arial" w:cs="Arial" w:eastAsia="Arial" w:hAnsi="Arial"/>
          <w:sz w:val="14"/>
          <w:szCs w:val="14"/>
          <w:color w:val="auto"/>
        </w:rPr>
        <w:t>The unaudited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spacing w:after="0" w:line="131" w:lineRule="exact"/>
        <w:rPr>
          <w:sz w:val="20"/>
          <w:szCs w:val="20"/>
          <w:color w:val="auto"/>
        </w:rPr>
      </w:pPr>
    </w:p>
    <w:p>
      <w:pPr>
        <w:ind w:right="40" w:firstLine="260"/>
        <w:spacing w:after="0" w:line="325" w:lineRule="auto"/>
        <w:rPr>
          <w:sz w:val="20"/>
          <w:szCs w:val="20"/>
          <w:color w:val="auto"/>
        </w:rPr>
      </w:pPr>
      <w:r>
        <w:rPr>
          <w:rFonts w:ascii="Arial" w:cs="Arial" w:eastAsia="Arial" w:hAnsi="Arial"/>
          <w:sz w:val="13"/>
          <w:szCs w:val="13"/>
          <w:color w:val="auto"/>
        </w:rPr>
        <w:t>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35" w:lineRule="exact"/>
        <w:rPr>
          <w:sz w:val="20"/>
          <w:szCs w:val="20"/>
          <w:color w:val="auto"/>
        </w:rPr>
      </w:pPr>
    </w:p>
    <w:p>
      <w:pPr>
        <w:jc w:val="both"/>
        <w:ind w:right="240" w:firstLine="260"/>
        <w:spacing w:after="0" w:line="339" w:lineRule="auto"/>
        <w:rPr>
          <w:sz w:val="20"/>
          <w:szCs w:val="20"/>
          <w:color w:val="auto"/>
        </w:rPr>
      </w:pPr>
      <w:r>
        <w:rPr>
          <w:rFonts w:ascii="Arial" w:cs="Arial" w:eastAsia="Arial" w:hAnsi="Arial"/>
          <w:sz w:val="13"/>
          <w:szCs w:val="13"/>
          <w:color w:val="auto"/>
        </w:rPr>
        <w:t>On June 9, 2021, New Nautilus consummated the previously announced Business Combination pursuant to Business Combination Agreement dated February 7, 2021 between ARYA and Nautilus, under the terms of which, ARYA acquired Nautilus, upon domestication of ARYA, through which a wholly-owned subsidiary of ARYA merged with and into Nautilus, with Nautilus becoming a wholly-owned subsidiary of ARYA, referred to herein as New Nautilus, which became a publicly-listed entity. As a result of the Business Combination, New Nautilus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36"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color w:val="auto"/>
        </w:rPr>
        <w:t>directly or indirectly, all of the issued and outstanding equity interests of Nautilus and the Nautilus equity holders hold a portion of the New Nautilus Common Stock.</w:t>
      </w:r>
    </w:p>
    <w:p>
      <w:pPr>
        <w:spacing w:after="0" w:line="207" w:lineRule="exact"/>
        <w:rPr>
          <w:sz w:val="20"/>
          <w:szCs w:val="20"/>
          <w:color w:val="auto"/>
        </w:rPr>
      </w:pPr>
    </w:p>
    <w:p>
      <w:pPr>
        <w:ind w:firstLine="260"/>
        <w:spacing w:after="0" w:line="322" w:lineRule="auto"/>
        <w:rPr>
          <w:sz w:val="20"/>
          <w:szCs w:val="20"/>
          <w:color w:val="auto"/>
        </w:rPr>
      </w:pPr>
      <w:r>
        <w:rPr>
          <w:rFonts w:ascii="Arial" w:cs="Arial" w:eastAsia="Arial" w:hAnsi="Arial"/>
          <w:sz w:val="14"/>
          <w:szCs w:val="14"/>
          <w:color w:val="auto"/>
        </w:rPr>
        <w:t>The following unaudited pro forma condensed combined financial statements presented herein reflect the redemption of 465,363 shares of Class A Common Stock by ARYA’s shareholders in conjunction with the shareholder vote on the Business Combination contemplated by the Business Combination Agreement at a meeting held on June 8, 2021.</w:t>
      </w:r>
    </w:p>
    <w:p>
      <w:pPr>
        <w:spacing w:after="0" w:line="131" w:lineRule="exact"/>
        <w:rPr>
          <w:sz w:val="20"/>
          <w:szCs w:val="20"/>
          <w:color w:val="auto"/>
        </w:rPr>
      </w:pPr>
    </w:p>
    <w:p>
      <w:pPr>
        <w:ind w:right="80" w:firstLine="260"/>
        <w:spacing w:after="0" w:line="301" w:lineRule="auto"/>
        <w:rPr>
          <w:sz w:val="20"/>
          <w:szCs w:val="20"/>
          <w:color w:val="auto"/>
        </w:rPr>
      </w:pPr>
      <w:r>
        <w:rPr>
          <w:rFonts w:ascii="Arial" w:cs="Arial" w:eastAsia="Arial" w:hAnsi="Arial"/>
          <w:sz w:val="14"/>
          <w:szCs w:val="14"/>
          <w:color w:val="auto"/>
        </w:rPr>
        <w:t>The unaudited pro forma combined financial information is based on and should be read in conjunction with the historical audited financial statements as of and for the period ending December 31, 2020 and, also, historical unaudited condensed financial statements as of and for the period ending March 31, 2021 of each of ARYA and Nautilus and the respective notes thereto, as well as the disclosures contained in the sections titled “</w:t>
      </w:r>
      <w:r>
        <w:rPr>
          <w:rFonts w:ascii="Arial" w:cs="Arial" w:eastAsia="Arial" w:hAnsi="Arial"/>
          <w:sz w:val="14"/>
          <w:szCs w:val="14"/>
          <w:i w:val="1"/>
          <w:iCs w:val="1"/>
          <w:color w:val="auto"/>
        </w:rPr>
        <w:t>ARYA’s Management’s Discussion and Analysis of Financial Condition and Results of Operations</w:t>
      </w:r>
      <w:r>
        <w:rPr>
          <w:rFonts w:ascii="Arial" w:cs="Arial" w:eastAsia="Arial" w:hAnsi="Arial"/>
          <w:sz w:val="14"/>
          <w:szCs w:val="14"/>
          <w:color w:val="auto"/>
        </w:rPr>
        <w:t>” and “</w:t>
      </w:r>
      <w:r>
        <w:rPr>
          <w:rFonts w:ascii="Arial" w:cs="Arial" w:eastAsia="Arial" w:hAnsi="Arial"/>
          <w:sz w:val="14"/>
          <w:szCs w:val="14"/>
          <w:i w:val="1"/>
          <w:iCs w:val="1"/>
          <w:color w:val="auto"/>
        </w:rPr>
        <w:t>Nautilus’ 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 of Financial Condition and Results of Operations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00" w:top="117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4"/>
          <w:szCs w:val="14"/>
          <w:b w:val="1"/>
          <w:bCs w:val="1"/>
          <w:color w:val="auto"/>
        </w:rPr>
        <w:t>UNAUDITED PRO FORMA CONDENSED COMBINED BALANCE SHEET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MARCH 31, 2021</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ind w:left="740"/>
              <w:spacing w:after="0"/>
              <w:rPr>
                <w:sz w:val="20"/>
                <w:szCs w:val="20"/>
                <w:color w:val="auto"/>
              </w:rPr>
            </w:pPr>
            <w:r>
              <w:rPr>
                <w:rFonts w:ascii="Arial" w:cs="Arial" w:eastAsia="Arial" w:hAnsi="Arial"/>
                <w:sz w:val="12"/>
                <w:szCs w:val="12"/>
                <w:b w:val="1"/>
                <w:bCs w:val="1"/>
                <w:color w:val="auto"/>
              </w:rPr>
              <w:t>Historical</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center"/>
              <w:ind w:right="109"/>
              <w:spacing w:after="0"/>
              <w:rPr>
                <w:sz w:val="20"/>
                <w:szCs w:val="20"/>
                <w:color w:val="auto"/>
              </w:rPr>
            </w:pPr>
            <w:r>
              <w:rPr>
                <w:rFonts w:ascii="Arial" w:cs="Arial" w:eastAsia="Arial" w:hAnsi="Arial"/>
                <w:sz w:val="12"/>
                <w:szCs w:val="12"/>
                <w:b w:val="1"/>
                <w:bCs w:val="1"/>
                <w:color w:val="auto"/>
                <w:w w:val="85"/>
              </w:rPr>
              <w:t>Transaction</w:t>
            </w: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5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ARYA</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09"/>
              <w:spacing w:after="0" w:line="130" w:lineRule="exact"/>
              <w:rPr>
                <w:sz w:val="20"/>
                <w:szCs w:val="20"/>
                <w:color w:val="auto"/>
              </w:rPr>
            </w:pPr>
            <w:r>
              <w:rPr>
                <w:rFonts w:ascii="Arial" w:cs="Arial" w:eastAsia="Arial" w:hAnsi="Arial"/>
                <w:sz w:val="12"/>
                <w:szCs w:val="12"/>
                <w:b w:val="1"/>
                <w:bCs w:val="1"/>
                <w:color w:val="auto"/>
                <w:w w:val="87"/>
              </w:rPr>
              <w:t>Accounting</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(Historical)</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Nautilus (Historical)</w:t>
            </w:r>
          </w:p>
        </w:tc>
        <w:tc>
          <w:tcPr>
            <w:tcW w:w="180" w:type="dxa"/>
            <w:vAlign w:val="bottom"/>
          </w:tcPr>
          <w:p>
            <w:pPr>
              <w:spacing w:after="0"/>
              <w:rPr>
                <w:sz w:val="12"/>
                <w:szCs w:val="12"/>
                <w:color w:val="auto"/>
              </w:rPr>
            </w:pPr>
          </w:p>
        </w:tc>
        <w:tc>
          <w:tcPr>
            <w:tcW w:w="960" w:type="dxa"/>
            <w:vAlign w:val="bottom"/>
          </w:tcPr>
          <w:p>
            <w:pPr>
              <w:jc w:val="center"/>
              <w:ind w:right="109"/>
              <w:spacing w:after="0"/>
              <w:rPr>
                <w:sz w:val="20"/>
                <w:szCs w:val="20"/>
                <w:color w:val="auto"/>
              </w:rPr>
            </w:pPr>
            <w:r>
              <w:rPr>
                <w:rFonts w:ascii="Arial" w:cs="Arial" w:eastAsia="Arial" w:hAnsi="Arial"/>
                <w:sz w:val="12"/>
                <w:szCs w:val="12"/>
                <w:b w:val="1"/>
                <w:bCs w:val="1"/>
                <w:color w:val="auto"/>
                <w:w w:val="85"/>
              </w:rPr>
              <w:t>Adjustments</w:t>
            </w:r>
          </w:p>
        </w:tc>
        <w:tc>
          <w:tcPr>
            <w:tcW w:w="6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Notes</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88"/>
              </w:rPr>
              <w:t>Pro Forma Combined</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51,803</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149,564</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A</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378,985</w:t>
            </w: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(5,233)</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B</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(6,931)</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C</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(6,246)</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E</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(4,654)</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16,034</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16,034</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254</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69,130</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326,500</w:t>
            </w: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396,566</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Investments held in Trust account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149,564</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(149,564)</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4,429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4,429</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 term assets</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4,129</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(3,202)</w:t>
            </w:r>
          </w:p>
        </w:tc>
        <w:tc>
          <w:tcPr>
            <w:tcW w:w="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C</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7"/>
        </w:trPr>
        <w:tc>
          <w:tcPr>
            <w:tcW w:w="53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150,500</w:t>
            </w:r>
          </w:p>
        </w:tc>
        <w:tc>
          <w:tcPr>
            <w:tcW w:w="6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79,402</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173,734</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403,636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LIABILITIES, REDEEMABLE CONVERTIBLE PREFERRED STOCK, AND</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STOCKHOLDERS' EQUITY (DEFICIT)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C</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D</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Due to related party</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portion of operating lease liability</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184"/>
        </w:trPr>
        <w:tc>
          <w:tcPr>
            <w:tcW w:w="534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1,799</w:t>
            </w:r>
          </w:p>
        </w:tc>
        <w:tc>
          <w:tcPr>
            <w:tcW w:w="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4,920</w:t>
            </w: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(2,672)</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2,859</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2,859</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Deferred underwriting commissions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5,233</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(5,233)</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B</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7,032</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7,779</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(7,905)</w:t>
            </w:r>
          </w:p>
        </w:tc>
        <w:tc>
          <w:tcPr>
            <w:tcW w:w="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6,906</w:t>
            </w:r>
          </w:p>
        </w:tc>
        <w:tc>
          <w:tcPr>
            <w:tcW w:w="0" w:type="dxa"/>
            <w:vAlign w:val="bottom"/>
          </w:tcPr>
          <w:p>
            <w:pPr>
              <w:spacing w:after="0"/>
              <w:rPr>
                <w:sz w:val="1"/>
                <w:szCs w:val="1"/>
                <w:color w:val="auto"/>
              </w:rPr>
            </w:pPr>
          </w:p>
        </w:tc>
      </w:tr>
      <w:tr>
        <w:trPr>
          <w:trHeight w:val="173"/>
        </w:trPr>
        <w:tc>
          <w:tcPr>
            <w:tcW w:w="53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Series Seed redeemable convertible preferred stock</w:t>
            </w: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5,494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(5,494)</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H</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27,067</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(27,067)</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H</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Series B redeemable convertible preferred stock</w:t>
            </w: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75,857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(75,857)</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H</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redeemable convertible preferred stock</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108,418</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(108,418)</w:t>
            </w:r>
          </w:p>
        </w:tc>
        <w:tc>
          <w:tcPr>
            <w:tcW w:w="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4"/>
        </w:trPr>
        <w:tc>
          <w:tcPr>
            <w:tcW w:w="5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36"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4"/>
          <w:szCs w:val="14"/>
          <w:b w:val="1"/>
          <w:bCs w:val="1"/>
          <w:color w:val="auto"/>
        </w:rPr>
        <w:t>UNAUDITED PRO FORMA CONDENSED COMBINED BALANCE SHEET – (CONTINUED)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MARCH 31, 2021</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ind w:left="740"/>
              <w:spacing w:after="0"/>
              <w:rPr>
                <w:sz w:val="20"/>
                <w:szCs w:val="20"/>
                <w:color w:val="auto"/>
              </w:rPr>
            </w:pPr>
            <w:r>
              <w:rPr>
                <w:rFonts w:ascii="Arial" w:cs="Arial" w:eastAsia="Arial" w:hAnsi="Arial"/>
                <w:sz w:val="12"/>
                <w:szCs w:val="12"/>
                <w:b w:val="1"/>
                <w:bCs w:val="1"/>
                <w:color w:val="auto"/>
              </w:rPr>
              <w:t>Historical</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center"/>
              <w:ind w:right="109"/>
              <w:spacing w:after="0"/>
              <w:rPr>
                <w:sz w:val="20"/>
                <w:szCs w:val="20"/>
                <w:color w:val="auto"/>
              </w:rPr>
            </w:pPr>
            <w:r>
              <w:rPr>
                <w:rFonts w:ascii="Arial" w:cs="Arial" w:eastAsia="Arial" w:hAnsi="Arial"/>
                <w:sz w:val="12"/>
                <w:szCs w:val="12"/>
                <w:b w:val="1"/>
                <w:bCs w:val="1"/>
                <w:color w:val="auto"/>
                <w:w w:val="85"/>
              </w:rPr>
              <w:t>Transaction</w:t>
            </w: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5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ARYA</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09"/>
              <w:spacing w:after="0" w:line="130" w:lineRule="exact"/>
              <w:rPr>
                <w:sz w:val="20"/>
                <w:szCs w:val="20"/>
                <w:color w:val="auto"/>
              </w:rPr>
            </w:pPr>
            <w:r>
              <w:rPr>
                <w:rFonts w:ascii="Arial" w:cs="Arial" w:eastAsia="Arial" w:hAnsi="Arial"/>
                <w:sz w:val="12"/>
                <w:szCs w:val="12"/>
                <w:b w:val="1"/>
                <w:bCs w:val="1"/>
                <w:color w:val="auto"/>
                <w:w w:val="87"/>
              </w:rPr>
              <w:t>Accounting</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(Historical)</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Nautilus (Historical)</w:t>
            </w:r>
          </w:p>
        </w:tc>
        <w:tc>
          <w:tcPr>
            <w:tcW w:w="180" w:type="dxa"/>
            <w:vAlign w:val="bottom"/>
          </w:tcPr>
          <w:p>
            <w:pPr>
              <w:spacing w:after="0"/>
              <w:rPr>
                <w:sz w:val="12"/>
                <w:szCs w:val="12"/>
                <w:color w:val="auto"/>
              </w:rPr>
            </w:pPr>
          </w:p>
        </w:tc>
        <w:tc>
          <w:tcPr>
            <w:tcW w:w="960" w:type="dxa"/>
            <w:vAlign w:val="bottom"/>
          </w:tcPr>
          <w:p>
            <w:pPr>
              <w:jc w:val="center"/>
              <w:ind w:right="109"/>
              <w:spacing w:after="0"/>
              <w:rPr>
                <w:sz w:val="20"/>
                <w:szCs w:val="20"/>
                <w:color w:val="auto"/>
              </w:rPr>
            </w:pPr>
            <w:r>
              <w:rPr>
                <w:rFonts w:ascii="Arial" w:cs="Arial" w:eastAsia="Arial" w:hAnsi="Arial"/>
                <w:sz w:val="12"/>
                <w:szCs w:val="12"/>
                <w:b w:val="1"/>
                <w:bCs w:val="1"/>
                <w:color w:val="auto"/>
                <w:w w:val="85"/>
              </w:rPr>
              <w:t>Adjustments</w:t>
            </w:r>
          </w:p>
        </w:tc>
        <w:tc>
          <w:tcPr>
            <w:tcW w:w="6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Notes</w:t>
            </w:r>
          </w:p>
        </w:tc>
        <w:tc>
          <w:tcPr>
            <w:tcW w:w="1140" w:type="dxa"/>
            <w:vAlign w:val="bottom"/>
            <w:gridSpan w:val="2"/>
          </w:tcPr>
          <w:p>
            <w:pPr>
              <w:jc w:val="right"/>
              <w:spacing w:after="0"/>
              <w:rPr>
                <w:sz w:val="20"/>
                <w:szCs w:val="20"/>
                <w:color w:val="auto"/>
              </w:rPr>
            </w:pPr>
            <w:r>
              <w:rPr>
                <w:rFonts w:ascii="Arial" w:cs="Arial" w:eastAsia="Arial" w:hAnsi="Arial"/>
                <w:sz w:val="12"/>
                <w:szCs w:val="12"/>
                <w:b w:val="1"/>
                <w:bCs w:val="1"/>
                <w:color w:val="auto"/>
                <w:w w:val="90"/>
              </w:rPr>
              <w:t>Pro Forma Combined</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Class A common stock, subject to possible redemption</w:t>
            </w:r>
          </w:p>
        </w:tc>
        <w:tc>
          <w:tcPr>
            <w:tcW w:w="960" w:type="dxa"/>
            <w:vAlign w:val="bottom"/>
          </w:tcPr>
          <w:p>
            <w:pPr>
              <w:jc w:val="right"/>
              <w:spacing w:after="0"/>
              <w:rPr>
                <w:sz w:val="20"/>
                <w:szCs w:val="20"/>
                <w:color w:val="auto"/>
              </w:rPr>
            </w:pPr>
            <w:r>
              <w:rPr>
                <w:rFonts w:ascii="Arial" w:cs="Arial" w:eastAsia="Arial" w:hAnsi="Arial"/>
                <w:sz w:val="14"/>
                <w:szCs w:val="14"/>
                <w:color w:val="auto"/>
              </w:rPr>
              <w:t>138,468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(4,654)</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(133,814)</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1"/>
              </w:rPr>
              <w:t>G</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Stockholders' equity (deficit):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F</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G</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H</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K</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Class A Common Stock</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Class B Common Stock</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I</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Nautilus Common Stock</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6"/>
              </w:rPr>
              <w:t>J</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K</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Additional paid-in capital</w:t>
            </w:r>
          </w:p>
        </w:tc>
        <w:tc>
          <w:tcPr>
            <w:tcW w:w="960" w:type="dxa"/>
            <w:vAlign w:val="bottom"/>
          </w:tcPr>
          <w:p>
            <w:pPr>
              <w:jc w:val="right"/>
              <w:spacing w:after="0"/>
              <w:rPr>
                <w:sz w:val="20"/>
                <w:szCs w:val="20"/>
                <w:color w:val="auto"/>
              </w:rPr>
            </w:pPr>
            <w:r>
              <w:rPr>
                <w:rFonts w:ascii="Arial" w:cs="Arial" w:eastAsia="Arial" w:hAnsi="Arial"/>
                <w:sz w:val="14"/>
                <w:szCs w:val="14"/>
                <w:color w:val="auto"/>
              </w:rPr>
              <w:t>7,292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(9,000)</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435,450</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(4,707)</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D</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199,998</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133,813</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1"/>
              </w:rPr>
              <w:t>G</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108,413</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H</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I</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6"/>
              </w:rPr>
              <w:t>J</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8"/>
              </w:rPr>
              <w:t>K</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(2,292)</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Retained Earnings (Accumulated Deficit)</w:t>
            </w:r>
          </w:p>
        </w:tc>
        <w:tc>
          <w:tcPr>
            <w:tcW w:w="960" w:type="dxa"/>
            <w:vAlign w:val="bottom"/>
          </w:tcPr>
          <w:p>
            <w:pPr>
              <w:jc w:val="right"/>
              <w:spacing w:after="0"/>
              <w:rPr>
                <w:sz w:val="20"/>
                <w:szCs w:val="20"/>
                <w:color w:val="auto"/>
              </w:rPr>
            </w:pPr>
            <w:r>
              <w:rPr>
                <w:rFonts w:ascii="Arial" w:cs="Arial" w:eastAsia="Arial" w:hAnsi="Arial"/>
                <w:sz w:val="14"/>
                <w:szCs w:val="14"/>
                <w:color w:val="auto"/>
              </w:rPr>
              <w:t>(2,292)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(38,734)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2,292</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(38,734)</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(36,795)</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428,525</w:t>
            </w:r>
          </w:p>
        </w:tc>
        <w:tc>
          <w:tcPr>
            <w:tcW w:w="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396,730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20" w:type="dxa"/>
            <w:vAlign w:val="bottom"/>
            <w:gridSpan w:val="2"/>
          </w:tcPr>
          <w:p>
            <w:pPr>
              <w:ind w:left="20"/>
              <w:spacing w:after="0"/>
              <w:rPr>
                <w:sz w:val="20"/>
                <w:szCs w:val="20"/>
                <w:color w:val="auto"/>
              </w:rPr>
            </w:pPr>
            <w:r>
              <w:rPr>
                <w:rFonts w:ascii="Arial" w:cs="Arial" w:eastAsia="Arial" w:hAnsi="Arial"/>
                <w:sz w:val="14"/>
                <w:szCs w:val="14"/>
                <w:color w:val="auto"/>
                <w:w w:val="97"/>
              </w:rPr>
              <w:t>Total liabilities, redeemable convertible preferred stock and stockholders' equity (deficit)   $</w:t>
            </w:r>
          </w:p>
        </w:tc>
        <w:tc>
          <w:tcPr>
            <w:tcW w:w="960" w:type="dxa"/>
            <w:vAlign w:val="bottom"/>
          </w:tcPr>
          <w:p>
            <w:pPr>
              <w:jc w:val="right"/>
              <w:spacing w:after="0"/>
              <w:rPr>
                <w:sz w:val="20"/>
                <w:szCs w:val="20"/>
                <w:color w:val="auto"/>
              </w:rPr>
            </w:pPr>
            <w:r>
              <w:rPr>
                <w:rFonts w:ascii="Arial" w:cs="Arial" w:eastAsia="Arial" w:hAnsi="Arial"/>
                <w:sz w:val="14"/>
                <w:szCs w:val="14"/>
                <w:color w:val="auto"/>
              </w:rPr>
              <w:t>150,500</w:t>
            </w:r>
          </w:p>
        </w:tc>
        <w:tc>
          <w:tcPr>
            <w:tcW w:w="60" w:type="dxa"/>
            <w:vAlign w:val="bottom"/>
          </w:tcPr>
          <w:p>
            <w:pPr>
              <w:spacing w:after="0"/>
              <w:rPr>
                <w:sz w:val="17"/>
                <w:szCs w:val="17"/>
                <w:color w:val="auto"/>
              </w:rPr>
            </w:pPr>
          </w:p>
        </w:tc>
        <w:tc>
          <w:tcPr>
            <w:tcW w:w="420" w:type="dxa"/>
            <w:vAlign w:val="bottom"/>
          </w:tcPr>
          <w:p>
            <w:pPr>
              <w:jc w:val="right"/>
              <w:ind w:right="275"/>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79,402</w:t>
            </w:r>
          </w:p>
        </w:tc>
        <w:tc>
          <w:tcPr>
            <w:tcW w:w="6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173,734</w:t>
            </w: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403,636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35" w:right="319" w:bottom="1440" w:gutter="0" w:footer="0" w:header="0"/>
        </w:sectPr>
      </w:pPr>
    </w:p>
    <w:bookmarkStart w:id="126" w:name="page127"/>
    <w:bookmarkEnd w:id="126"/>
    <w:p>
      <w:pPr>
        <w:ind w:left="4880"/>
        <w:spacing w:after="0"/>
        <w:rPr>
          <w:sz w:val="20"/>
          <w:szCs w:val="20"/>
          <w:color w:val="auto"/>
        </w:rPr>
      </w:pPr>
      <w:r>
        <w:rPr>
          <w:rFonts w:ascii="Arial" w:cs="Arial" w:eastAsia="Arial" w:hAnsi="Arial"/>
          <w:sz w:val="14"/>
          <w:szCs w:val="14"/>
          <w:b w:val="1"/>
          <w:bCs w:val="1"/>
          <w:color w:val="auto"/>
        </w:rPr>
        <w:t>UNAUDITED PRO FORMA</w:t>
      </w:r>
    </w:p>
    <w:p>
      <w:pPr>
        <w:spacing w:after="0" w:line="26"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COMBINED STATEMENT OF OPERATIONS</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FOR THE YEAR ENDED DECEMBER 31, 2020</w:t>
      </w:r>
    </w:p>
    <w:p>
      <w:pPr>
        <w:spacing w:after="0" w:line="133"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(in thousands, except share and per share amounts)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40" w:type="dxa"/>
            <w:vAlign w:val="bottom"/>
          </w:tcPr>
          <w:p>
            <w:pPr>
              <w:spacing w:after="0"/>
              <w:rPr>
                <w:sz w:val="12"/>
                <w:szCs w:val="12"/>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88"/>
              </w:rPr>
              <w:t>For the period from</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March 27, 2020</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6"/>
              </w:rPr>
              <w:t>(inception) to</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7"/>
              </w:rPr>
              <w:t>Year Ended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December 31, 2020</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December 31, 2020</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center"/>
              <w:ind w:right="113"/>
              <w:spacing w:after="0"/>
              <w:rPr>
                <w:sz w:val="20"/>
                <w:szCs w:val="20"/>
                <w:color w:val="auto"/>
              </w:rPr>
            </w:pPr>
            <w:r>
              <w:rPr>
                <w:rFonts w:ascii="Arial" w:cs="Arial" w:eastAsia="Arial" w:hAnsi="Arial"/>
                <w:sz w:val="12"/>
                <w:szCs w:val="12"/>
                <w:b w:val="1"/>
                <w:bCs w:val="1"/>
                <w:color w:val="auto"/>
                <w:w w:val="85"/>
              </w:rPr>
              <w:t>Transaction</w:t>
            </w: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5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13"/>
              <w:spacing w:after="0" w:line="130" w:lineRule="exact"/>
              <w:rPr>
                <w:sz w:val="20"/>
                <w:szCs w:val="20"/>
                <w:color w:val="auto"/>
              </w:rPr>
            </w:pPr>
            <w:r>
              <w:rPr>
                <w:rFonts w:ascii="Arial" w:cs="Arial" w:eastAsia="Arial" w:hAnsi="Arial"/>
                <w:sz w:val="12"/>
                <w:szCs w:val="12"/>
                <w:b w:val="1"/>
                <w:bCs w:val="1"/>
                <w:color w:val="auto"/>
                <w:w w:val="87"/>
              </w:rPr>
              <w:t>Accounting</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ARYA (Historical)</w:t>
            </w:r>
          </w:p>
        </w:tc>
        <w:tc>
          <w:tcPr>
            <w:tcW w:w="12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89"/>
              </w:rPr>
              <w:t>Nautilus (Historical)</w:t>
            </w:r>
          </w:p>
        </w:tc>
        <w:tc>
          <w:tcPr>
            <w:tcW w:w="180" w:type="dxa"/>
            <w:vAlign w:val="bottom"/>
          </w:tcPr>
          <w:p>
            <w:pPr>
              <w:spacing w:after="0"/>
              <w:rPr>
                <w:sz w:val="12"/>
                <w:szCs w:val="12"/>
                <w:color w:val="auto"/>
              </w:rPr>
            </w:pPr>
          </w:p>
        </w:tc>
        <w:tc>
          <w:tcPr>
            <w:tcW w:w="960" w:type="dxa"/>
            <w:vAlign w:val="bottom"/>
          </w:tcPr>
          <w:p>
            <w:pPr>
              <w:jc w:val="center"/>
              <w:ind w:right="113"/>
              <w:spacing w:after="0"/>
              <w:rPr>
                <w:sz w:val="20"/>
                <w:szCs w:val="20"/>
                <w:color w:val="auto"/>
              </w:rPr>
            </w:pPr>
            <w:r>
              <w:rPr>
                <w:rFonts w:ascii="Arial" w:cs="Arial" w:eastAsia="Arial" w:hAnsi="Arial"/>
                <w:sz w:val="12"/>
                <w:szCs w:val="12"/>
                <w:b w:val="1"/>
                <w:bCs w:val="1"/>
                <w:color w:val="auto"/>
                <w:w w:val="85"/>
              </w:rPr>
              <w:t>Adjustments</w:t>
            </w:r>
          </w:p>
        </w:tc>
        <w:tc>
          <w:tcPr>
            <w:tcW w:w="6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Notes</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88"/>
              </w:rPr>
              <w:t>Pro Forma Combined</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12,432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left="633"/>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12,432</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3,312</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0" w:type="dxa"/>
            <w:vAlign w:val="bottom"/>
          </w:tcPr>
          <w:p>
            <w:pPr>
              <w:spacing w:after="0"/>
              <w:rPr>
                <w:sz w:val="1"/>
                <w:szCs w:val="1"/>
                <w:color w:val="auto"/>
              </w:rPr>
            </w:pPr>
          </w:p>
        </w:tc>
      </w:tr>
      <w:tr>
        <w:trPr>
          <w:trHeight w:val="184"/>
        </w:trPr>
        <w:tc>
          <w:tcPr>
            <w:tcW w:w="53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15,744</w:t>
            </w: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left="633"/>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16,320</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(15,744)</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(16,320)</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left="613"/>
              <w:spacing w:after="0"/>
              <w:rPr>
                <w:sz w:val="20"/>
                <w:szCs w:val="20"/>
                <w:color w:val="auto"/>
              </w:rPr>
            </w:pPr>
            <w:r>
              <w:rPr>
                <w:rFonts w:ascii="Arial" w:cs="Arial" w:eastAsia="Arial" w:hAnsi="Arial"/>
                <w:sz w:val="14"/>
                <w:szCs w:val="14"/>
                <w:color w:val="auto"/>
                <w:w w:val="96"/>
              </w:rPr>
              <w:t>(53)</w:t>
            </w:r>
          </w:p>
        </w:tc>
        <w:tc>
          <w:tcPr>
            <w:tcW w:w="6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AA</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4"/>
                <w:szCs w:val="14"/>
                <w:color w:val="auto"/>
                <w:w w:val="96"/>
              </w:rPr>
              <w:t>(53)</w:t>
            </w:r>
          </w:p>
        </w:tc>
        <w:tc>
          <w:tcPr>
            <w:tcW w:w="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40" w:type="dxa"/>
            <w:vAlign w:val="bottom"/>
          </w:tcPr>
          <w:p>
            <w:pPr>
              <w:ind w:left="20"/>
              <w:spacing w:after="0" w:line="157" w:lineRule="exact"/>
              <w:rPr>
                <w:sz w:val="20"/>
                <w:szCs w:val="20"/>
                <w:color w:val="auto"/>
              </w:rPr>
            </w:pPr>
            <w:r>
              <w:rPr>
                <w:rFonts w:ascii="Arial" w:cs="Arial" w:eastAsia="Arial" w:hAnsi="Arial"/>
                <w:sz w:val="14"/>
                <w:szCs w:val="14"/>
                <w:color w:val="auto"/>
              </w:rPr>
              <w:t>Weighted average shares outstanding of Common Stock</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124,045,255</w:t>
            </w: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 Common Stock</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Weighted average shares outstanding of Class A Common Stock</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14,950,000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 Class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Weighted average shares outstanding of Class B Common Stock</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3,764,852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 Class B</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40" w:type="dxa"/>
            <w:vAlign w:val="bottom"/>
          </w:tcPr>
          <w:p>
            <w:pPr>
              <w:ind w:left="20"/>
              <w:spacing w:after="0"/>
              <w:rPr>
                <w:sz w:val="20"/>
                <w:szCs w:val="20"/>
                <w:color w:val="auto"/>
              </w:rPr>
            </w:pPr>
            <w:r>
              <w:rPr>
                <w:rFonts w:ascii="Arial" w:cs="Arial" w:eastAsia="Arial" w:hAnsi="Arial"/>
                <w:sz w:val="14"/>
                <w:szCs w:val="14"/>
                <w:color w:val="auto"/>
              </w:rPr>
              <w:t>Weighted average shares outstanding of Nautilus Common Stock</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8,017,976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 Nautilus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35" w:right="3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4"/>
          <w:szCs w:val="14"/>
          <w:b w:val="1"/>
          <w:bCs w:val="1"/>
          <w:color w:val="auto"/>
        </w:rPr>
        <w:t>UNAUDITED PRO FORMA</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COMBINED STATEMENT OF OPERATIONS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MARCH 31,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and per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gridSpan w:val="5"/>
          </w:tcPr>
          <w:p>
            <w:pPr>
              <w:ind w:left="400"/>
              <w:spacing w:after="0"/>
              <w:rPr>
                <w:sz w:val="20"/>
                <w:szCs w:val="20"/>
                <w:color w:val="auto"/>
              </w:rPr>
            </w:pPr>
            <w:r>
              <w:rPr>
                <w:rFonts w:ascii="Arial" w:cs="Arial" w:eastAsia="Arial" w:hAnsi="Arial"/>
                <w:sz w:val="12"/>
                <w:szCs w:val="12"/>
                <w:b w:val="1"/>
                <w:bCs w:val="1"/>
                <w:color w:val="auto"/>
              </w:rPr>
              <w:t>Three Months Ended March 31, 2021</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25"/>
        </w:trPr>
        <w:tc>
          <w:tcPr>
            <w:tcW w:w="3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2"/>
          </w:tcPr>
          <w:p>
            <w:pPr>
              <w:jc w:val="center"/>
              <w:ind w:right="400"/>
              <w:spacing w:after="0" w:line="125" w:lineRule="exact"/>
              <w:rPr>
                <w:sz w:val="20"/>
                <w:szCs w:val="20"/>
                <w:color w:val="auto"/>
              </w:rPr>
            </w:pPr>
            <w:r>
              <w:rPr>
                <w:rFonts w:ascii="Arial" w:cs="Arial" w:eastAsia="Arial" w:hAnsi="Arial"/>
                <w:sz w:val="12"/>
                <w:szCs w:val="12"/>
                <w:b w:val="1"/>
                <w:bCs w:val="1"/>
                <w:color w:val="auto"/>
                <w:w w:val="93"/>
              </w:rPr>
              <w:t>ARYA</w:t>
            </w: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51"/>
              <w:spacing w:after="0" w:line="125" w:lineRule="exact"/>
              <w:rPr>
                <w:sz w:val="20"/>
                <w:szCs w:val="20"/>
                <w:color w:val="auto"/>
              </w:rPr>
            </w:pPr>
            <w:r>
              <w:rPr>
                <w:rFonts w:ascii="Arial" w:cs="Arial" w:eastAsia="Arial" w:hAnsi="Arial"/>
                <w:sz w:val="12"/>
                <w:szCs w:val="12"/>
                <w:b w:val="1"/>
                <w:bCs w:val="1"/>
                <w:color w:val="auto"/>
                <w:w w:val="85"/>
              </w:rPr>
              <w:t>Transaction Accounting</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49"/>
        </w:trPr>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(Historical)</w:t>
            </w:r>
          </w:p>
        </w:tc>
        <w:tc>
          <w:tcPr>
            <w:tcW w:w="180" w:type="dxa"/>
            <w:vAlign w:val="bottom"/>
          </w:tcPr>
          <w:p>
            <w:pPr>
              <w:spacing w:after="0"/>
              <w:rPr>
                <w:sz w:val="12"/>
                <w:szCs w:val="12"/>
                <w:color w:val="auto"/>
              </w:rPr>
            </w:pPr>
          </w:p>
        </w:tc>
        <w:tc>
          <w:tcPr>
            <w:tcW w:w="1480" w:type="dxa"/>
            <w:vAlign w:val="bottom"/>
            <w:gridSpan w:val="2"/>
          </w:tcPr>
          <w:p>
            <w:pPr>
              <w:ind w:left="100"/>
              <w:spacing w:after="0"/>
              <w:rPr>
                <w:sz w:val="20"/>
                <w:szCs w:val="20"/>
                <w:color w:val="auto"/>
              </w:rPr>
            </w:pPr>
            <w:r>
              <w:rPr>
                <w:rFonts w:ascii="Arial" w:cs="Arial" w:eastAsia="Arial" w:hAnsi="Arial"/>
                <w:sz w:val="12"/>
                <w:szCs w:val="12"/>
                <w:b w:val="1"/>
                <w:bCs w:val="1"/>
                <w:color w:val="auto"/>
              </w:rPr>
              <w:t>Nautilus (Historical)</w:t>
            </w:r>
          </w:p>
        </w:tc>
        <w:tc>
          <w:tcPr>
            <w:tcW w:w="140" w:type="dxa"/>
            <w:vAlign w:val="bottom"/>
          </w:tcPr>
          <w:p>
            <w:pPr>
              <w:spacing w:after="0"/>
              <w:rPr>
                <w:sz w:val="12"/>
                <w:szCs w:val="12"/>
                <w:color w:val="auto"/>
              </w:rPr>
            </w:pPr>
          </w:p>
        </w:tc>
        <w:tc>
          <w:tcPr>
            <w:tcW w:w="1420" w:type="dxa"/>
            <w:vAlign w:val="bottom"/>
          </w:tcPr>
          <w:p>
            <w:pPr>
              <w:jc w:val="center"/>
              <w:ind w:right="71"/>
              <w:spacing w:after="0"/>
              <w:rPr>
                <w:sz w:val="20"/>
                <w:szCs w:val="20"/>
                <w:color w:val="auto"/>
              </w:rPr>
            </w:pPr>
            <w:r>
              <w:rPr>
                <w:rFonts w:ascii="Arial" w:cs="Arial" w:eastAsia="Arial" w:hAnsi="Arial"/>
                <w:sz w:val="12"/>
                <w:szCs w:val="12"/>
                <w:b w:val="1"/>
                <w:bCs w:val="1"/>
                <w:color w:val="auto"/>
                <w:w w:val="87"/>
              </w:rPr>
              <w:t>Adjustments</w:t>
            </w:r>
          </w:p>
        </w:tc>
        <w:tc>
          <w:tcPr>
            <w:tcW w:w="100" w:type="dxa"/>
            <w:vAlign w:val="bottom"/>
          </w:tcPr>
          <w:p>
            <w:pPr>
              <w:spacing w:after="0"/>
              <w:rPr>
                <w:sz w:val="12"/>
                <w:szCs w:val="12"/>
                <w:color w:val="auto"/>
              </w:rPr>
            </w:pPr>
          </w:p>
        </w:tc>
        <w:tc>
          <w:tcPr>
            <w:tcW w:w="1460" w:type="dxa"/>
            <w:vAlign w:val="bottom"/>
            <w:gridSpan w:val="3"/>
          </w:tcPr>
          <w:p>
            <w:pPr>
              <w:jc w:val="right"/>
              <w:ind w:right="720"/>
              <w:spacing w:after="0"/>
              <w:rPr>
                <w:sz w:val="20"/>
                <w:szCs w:val="20"/>
                <w:color w:val="auto"/>
              </w:rPr>
            </w:pPr>
            <w:r>
              <w:rPr>
                <w:rFonts w:ascii="Arial" w:cs="Arial" w:eastAsia="Arial" w:hAnsi="Arial"/>
                <w:sz w:val="12"/>
                <w:szCs w:val="12"/>
                <w:b w:val="1"/>
                <w:bCs w:val="1"/>
                <w:color w:val="auto"/>
              </w:rPr>
              <w:t>Notes</w:t>
            </w:r>
          </w:p>
        </w:tc>
        <w:tc>
          <w:tcPr>
            <w:tcW w:w="1400" w:type="dxa"/>
            <w:vAlign w:val="bottom"/>
          </w:tcPr>
          <w:p>
            <w:pPr>
              <w:jc w:val="right"/>
              <w:ind w:right="149"/>
              <w:spacing w:after="0"/>
              <w:rPr>
                <w:sz w:val="20"/>
                <w:szCs w:val="20"/>
                <w:color w:val="auto"/>
              </w:rPr>
            </w:pPr>
            <w:r>
              <w:rPr>
                <w:rFonts w:ascii="Arial" w:cs="Arial" w:eastAsia="Arial" w:hAnsi="Arial"/>
                <w:sz w:val="12"/>
                <w:szCs w:val="12"/>
                <w:b w:val="1"/>
                <w:bCs w:val="1"/>
                <w:color w:val="auto"/>
                <w:w w:val="95"/>
              </w:rPr>
              <w:t>Pro Forma Combined</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r>
      <w:tr>
        <w:trPr>
          <w:trHeight w:val="193"/>
        </w:trPr>
        <w:tc>
          <w:tcPr>
            <w:tcW w:w="34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4,835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center"/>
              <w:ind w:left="1091"/>
              <w:spacing w:after="0"/>
              <w:rPr>
                <w:sz w:val="20"/>
                <w:szCs w:val="20"/>
                <w:color w:val="auto"/>
              </w:rPr>
            </w:pPr>
            <w:r>
              <w:rPr>
                <w:rFonts w:ascii="Arial" w:cs="Arial" w:eastAsia="Arial" w:hAnsi="Arial"/>
                <w:sz w:val="14"/>
                <w:szCs w:val="14"/>
                <w:color w:val="auto"/>
                <w:w w:val="99"/>
              </w:rPr>
              <w:t>—</w:t>
            </w:r>
          </w:p>
        </w:tc>
        <w:tc>
          <w:tcPr>
            <w:tcW w:w="15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4,835</w:t>
            </w:r>
          </w:p>
        </w:tc>
      </w:tr>
      <w:tr>
        <w:trPr>
          <w:trHeight w:val="23"/>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center"/>
              <w:ind w:left="1091"/>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5,362</w:t>
            </w: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left="1091"/>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10,197</w:t>
            </w:r>
          </w:p>
        </w:tc>
      </w:tr>
      <w:tr>
        <w:trPr>
          <w:trHeight w:val="23"/>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ind w:left="1091"/>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(10,197)</w:t>
            </w:r>
          </w:p>
        </w:tc>
      </w:tr>
      <w:tr>
        <w:trPr>
          <w:trHeight w:val="193"/>
        </w:trPr>
        <w:tc>
          <w:tcPr>
            <w:tcW w:w="34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left="1091"/>
              <w:spacing w:after="0"/>
              <w:rPr>
                <w:sz w:val="20"/>
                <w:szCs w:val="20"/>
                <w:color w:val="auto"/>
              </w:rPr>
            </w:pPr>
            <w:r>
              <w:rPr>
                <w:rFonts w:ascii="Arial" w:cs="Arial" w:eastAsia="Arial" w:hAnsi="Arial"/>
                <w:sz w:val="14"/>
                <w:szCs w:val="14"/>
                <w:color w:val="auto"/>
                <w:w w:val="88"/>
              </w:rPr>
              <w:t>(11)</w:t>
            </w:r>
          </w:p>
        </w:tc>
        <w:tc>
          <w:tcPr>
            <w:tcW w:w="100" w:type="dxa"/>
            <w:vAlign w:val="bottom"/>
          </w:tcPr>
          <w:p>
            <w:pPr>
              <w:spacing w:after="0"/>
              <w:rPr>
                <w:sz w:val="16"/>
                <w:szCs w:val="16"/>
                <w:color w:val="auto"/>
              </w:rPr>
            </w:pPr>
          </w:p>
        </w:tc>
        <w:tc>
          <w:tcPr>
            <w:tcW w:w="14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AA</w:t>
            </w: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center"/>
              <w:ind w:left="1091"/>
              <w:spacing w:after="0"/>
              <w:rPr>
                <w:sz w:val="20"/>
                <w:szCs w:val="20"/>
                <w:color w:val="auto"/>
              </w:rPr>
            </w:pPr>
            <w:r>
              <w:rPr>
                <w:rFonts w:ascii="Arial" w:cs="Arial" w:eastAsia="Arial" w:hAnsi="Arial"/>
                <w:sz w:val="14"/>
                <w:szCs w:val="14"/>
                <w:color w:val="auto"/>
                <w:w w:val="88"/>
              </w:rPr>
              <w:t>(11)</w:t>
            </w:r>
          </w:p>
        </w:tc>
        <w:tc>
          <w:tcPr>
            <w:tcW w:w="15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57"/>
        </w:trPr>
        <w:tc>
          <w:tcPr>
            <w:tcW w:w="3440" w:type="dxa"/>
            <w:vAlign w:val="bottom"/>
          </w:tcPr>
          <w:p>
            <w:pPr>
              <w:ind w:left="20"/>
              <w:spacing w:after="0" w:line="157" w:lineRule="exact"/>
              <w:rPr>
                <w:sz w:val="20"/>
                <w:szCs w:val="20"/>
                <w:color w:val="auto"/>
              </w:rPr>
            </w:pPr>
            <w:r>
              <w:rPr>
                <w:rFonts w:ascii="Arial" w:cs="Arial" w:eastAsia="Arial" w:hAnsi="Arial"/>
                <w:sz w:val="14"/>
                <w:szCs w:val="14"/>
                <w:color w:val="auto"/>
                <w:w w:val="96"/>
              </w:rPr>
              <w:t>Weighted average shares outstanding of Common Stock</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Arial" w:cs="Arial" w:eastAsia="Arial" w:hAnsi="Arial"/>
                <w:sz w:val="14"/>
                <w:szCs w:val="14"/>
                <w:color w:val="auto"/>
              </w:rPr>
              <w:t>124,045,255</w:t>
            </w:r>
          </w:p>
        </w:tc>
      </w:tr>
      <w:tr>
        <w:trPr>
          <w:trHeight w:val="23"/>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 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(0.08)</w:t>
            </w: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w w:val="93"/>
              </w:rPr>
              <w:t>Weighted average shares outstanding of Class A Common</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3"/>
        </w:trPr>
        <w:tc>
          <w:tcPr>
            <w:tcW w:w="3440" w:type="dxa"/>
            <w:vAlign w:val="bottom"/>
          </w:tcPr>
          <w:p>
            <w:pPr>
              <w:ind w:left="160"/>
              <w:spacing w:after="0"/>
              <w:rPr>
                <w:sz w:val="20"/>
                <w:szCs w:val="20"/>
                <w:color w:val="auto"/>
              </w:rPr>
            </w:pPr>
            <w:r>
              <w:rPr>
                <w:rFonts w:ascii="Arial" w:cs="Arial" w:eastAsia="Arial" w:hAnsi="Arial"/>
                <w:sz w:val="14"/>
                <w:szCs w:val="14"/>
                <w:color w:val="auto"/>
              </w:rPr>
              <w:t>Stock</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14,950,000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Class A</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w w:val="93"/>
              </w:rPr>
              <w:t>Weighted average shares outstanding of Class B Common</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3"/>
        </w:trPr>
        <w:tc>
          <w:tcPr>
            <w:tcW w:w="3440" w:type="dxa"/>
            <w:vAlign w:val="bottom"/>
          </w:tcPr>
          <w:p>
            <w:pPr>
              <w:ind w:left="160"/>
              <w:spacing w:after="0"/>
              <w:rPr>
                <w:sz w:val="20"/>
                <w:szCs w:val="20"/>
                <w:color w:val="auto"/>
              </w:rPr>
            </w:pPr>
            <w:r>
              <w:rPr>
                <w:rFonts w:ascii="Arial" w:cs="Arial" w:eastAsia="Arial" w:hAnsi="Arial"/>
                <w:sz w:val="14"/>
                <w:szCs w:val="14"/>
                <w:color w:val="auto"/>
              </w:rPr>
              <w:t>Stock</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4,236,500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Class B</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w w:val="92"/>
              </w:rPr>
              <w:t>Weighted average shares outstanding of Nautilus Common</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3"/>
        </w:trPr>
        <w:tc>
          <w:tcPr>
            <w:tcW w:w="3440" w:type="dxa"/>
            <w:vAlign w:val="bottom"/>
          </w:tcPr>
          <w:p>
            <w:pPr>
              <w:ind w:left="160"/>
              <w:spacing w:after="0"/>
              <w:rPr>
                <w:sz w:val="20"/>
                <w:szCs w:val="20"/>
                <w:color w:val="auto"/>
              </w:rPr>
            </w:pPr>
            <w:r>
              <w:rPr>
                <w:rFonts w:ascii="Arial" w:cs="Arial" w:eastAsia="Arial" w:hAnsi="Arial"/>
                <w:sz w:val="14"/>
                <w:szCs w:val="14"/>
                <w:color w:val="auto"/>
              </w:rPr>
              <w:t>Stock</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9,095,711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share - Nautilus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3"/>
        </w:trPr>
        <w:tc>
          <w:tcPr>
            <w:tcW w:w="3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35"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Note 1—Description of the Business Combination</w:t>
      </w:r>
    </w:p>
    <w:p>
      <w:pPr>
        <w:spacing w:after="0" w:line="146" w:lineRule="exact"/>
        <w:rPr>
          <w:sz w:val="20"/>
          <w:szCs w:val="20"/>
          <w:color w:val="auto"/>
        </w:rPr>
      </w:pPr>
    </w:p>
    <w:p>
      <w:pPr>
        <w:ind w:right="120" w:firstLine="260"/>
        <w:spacing w:after="0" w:line="295" w:lineRule="auto"/>
        <w:rPr>
          <w:sz w:val="20"/>
          <w:szCs w:val="20"/>
          <w:color w:val="auto"/>
        </w:rPr>
      </w:pPr>
      <w:r>
        <w:rPr>
          <w:rFonts w:ascii="Arial" w:cs="Arial" w:eastAsia="Arial" w:hAnsi="Arial"/>
          <w:sz w:val="13"/>
          <w:szCs w:val="13"/>
          <w:color w:val="auto"/>
        </w:rPr>
        <w:t>On June 9, 2021, New Nautilus consummated the previously announced Business Combination pursuant to Business Combination Agreement dated February 7, 2021 between ARYA and Nautilus, under the terms of which, ARYA acquired Nautilus, upon domestication of ARYA, through which a wholly-owned subsidiary of ARYA merged with and into Nautilus, with Nautilus becoming a wholly-owned subsidiary of ARYA, referred to herein as New Nautilus, which became a publicly-listed entity. As a result of the Business Combination, New Nautilus owns, directly or indirectly, all of the issued and outstanding equity interests of Nautilus and the Nautilus equity holders hold a portion of the New Nautilus Common Stock.</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a result of the Business Combination Agreement, Nautilus equity holders received an aggregate number of shares of New Nautilus Common Stock equal to (i) $900.0 million plus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$24.3 million, which reflects the aggregate exercise price of all stock options (whether vested or unvested) of Nautilus at the consummation of the Business Combination, divided by (ii) $10.00</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giving effect to the Exchange Ratio of approximately 3.6281 based on the terms of the Business Combination Agreement. At the Closing, (i) an aggregate of 18,721,137 shares of Class A and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Class B ordinary shares of ARYA were exchanged for an equivalent number of Common Stock pursuant to the Domestication, (ii) an aggregate of 85,324,118 shares of Common Stock were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issued in exchange for the shares of Nautilus outstanding as of immediately prior to the Effective Time and (iii) an aggregate of 20,000,000 shares of Common stock were issued to the PIPE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Investors in the PIPE Financing with total gross proceeds of $200 million. Moreover, at the Closing, all options to purchase shares of Nautilus were exchanged for comparable options to purchase</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based on an implied Nautilus equity value of $900 million. Immediately after giving effect to the transactions, there were 124,045,255 shares of Common Stock</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outstanding and 7,106,767 shares of Common Stock subject to outstanding options under the 2017 Plan.</w:t>
      </w:r>
    </w:p>
    <w:p>
      <w:pPr>
        <w:spacing w:after="0" w:line="133" w:lineRule="exact"/>
        <w:rPr>
          <w:sz w:val="20"/>
          <w:szCs w:val="20"/>
          <w:color w:val="auto"/>
        </w:rPr>
      </w:pPr>
    </w:p>
    <w:p>
      <w:pPr>
        <w:ind w:right="100" w:firstLine="260"/>
        <w:spacing w:after="0" w:line="274" w:lineRule="auto"/>
        <w:rPr>
          <w:sz w:val="20"/>
          <w:szCs w:val="20"/>
          <w:color w:val="auto"/>
        </w:rPr>
      </w:pPr>
      <w:r>
        <w:rPr>
          <w:rFonts w:ascii="Arial" w:cs="Arial" w:eastAsia="Arial" w:hAnsi="Arial"/>
          <w:sz w:val="14"/>
          <w:szCs w:val="14"/>
          <w:color w:val="auto"/>
        </w:rPr>
        <w:t>The following summarizes the number of New Nautilus Common Stock outstanding following the consummation of the Business Combination and the PIPE Financing, based on the estimated aggregate exercise price of all options (whether vested or unvested) of Nautilus at the consummation of the Business Combination excluding the potential dilutive effect of the exercise or vesting of warrants and stock options: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60" w:type="dxa"/>
            <w:vAlign w:val="bottom"/>
            <w:gridSpan w:val="2"/>
          </w:tcPr>
          <w:p>
            <w:pPr>
              <w:ind w:left="3640"/>
              <w:spacing w:after="0"/>
              <w:rPr>
                <w:sz w:val="20"/>
                <w:szCs w:val="20"/>
                <w:color w:val="auto"/>
              </w:rPr>
            </w:pPr>
            <w:r>
              <w:rPr>
                <w:rFonts w:ascii="Arial" w:cs="Arial" w:eastAsia="Arial" w:hAnsi="Arial"/>
                <w:sz w:val="12"/>
                <w:szCs w:val="12"/>
                <w:b w:val="1"/>
                <w:bCs w:val="1"/>
                <w:color w:val="auto"/>
              </w:rPr>
              <w:t>Shareholder</w:t>
            </w:r>
          </w:p>
        </w:tc>
        <w:tc>
          <w:tcPr>
            <w:tcW w:w="1640" w:type="dxa"/>
            <w:vAlign w:val="bottom"/>
            <w:gridSpan w:val="2"/>
          </w:tcPr>
          <w:p>
            <w:pPr>
              <w:ind w:left="620"/>
              <w:spacing w:after="0"/>
              <w:rPr>
                <w:sz w:val="20"/>
                <w:szCs w:val="20"/>
                <w:color w:val="auto"/>
              </w:rPr>
            </w:pPr>
            <w:r>
              <w:rPr>
                <w:rFonts w:ascii="Arial" w:cs="Arial" w:eastAsia="Arial" w:hAnsi="Arial"/>
                <w:sz w:val="12"/>
                <w:szCs w:val="12"/>
                <w:b w:val="1"/>
                <w:bCs w:val="1"/>
                <w:color w:val="auto"/>
              </w:rPr>
              <w:t>Shares</w:t>
            </w:r>
          </w:p>
        </w:tc>
        <w:tc>
          <w:tcPr>
            <w:tcW w:w="1680" w:type="dxa"/>
            <w:vAlign w:val="bottom"/>
          </w:tcPr>
          <w:p>
            <w:pPr>
              <w:jc w:val="right"/>
              <w:ind w:right="710"/>
              <w:spacing w:after="0"/>
              <w:rPr>
                <w:sz w:val="20"/>
                <w:szCs w:val="20"/>
                <w:color w:val="auto"/>
              </w:rPr>
            </w:pPr>
            <w:r>
              <w:rPr>
                <w:rFonts w:ascii="Arial" w:cs="Arial" w:eastAsia="Arial" w:hAnsi="Arial"/>
                <w:sz w:val="12"/>
                <w:szCs w:val="12"/>
                <w:b w:val="1"/>
                <w:bCs w:val="1"/>
                <w:color w:val="auto"/>
              </w:rPr>
              <w:t>%</w:t>
            </w:r>
          </w:p>
        </w:tc>
      </w:tr>
      <w:tr>
        <w:trPr>
          <w:trHeight w:val="20"/>
        </w:trPr>
        <w:tc>
          <w:tcPr>
            <w:tcW w:w="7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7"/>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Former ARYA Class A Shareholders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14,983,637</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12.1 %</w:t>
            </w:r>
          </w:p>
        </w:tc>
      </w:tr>
      <w:tr>
        <w:trPr>
          <w:trHeight w:val="193"/>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Former ARYA Class B Sponsor Shares</w:t>
            </w:r>
          </w:p>
        </w:tc>
        <w:tc>
          <w:tcPr>
            <w:tcW w:w="1560" w:type="dxa"/>
            <w:vAlign w:val="bottom"/>
          </w:tcPr>
          <w:p>
            <w:pPr>
              <w:jc w:val="right"/>
              <w:spacing w:after="0"/>
              <w:rPr>
                <w:sz w:val="20"/>
                <w:szCs w:val="20"/>
                <w:color w:val="auto"/>
              </w:rPr>
            </w:pPr>
            <w:r>
              <w:rPr>
                <w:rFonts w:ascii="Arial" w:cs="Arial" w:eastAsia="Arial" w:hAnsi="Arial"/>
                <w:sz w:val="14"/>
                <w:szCs w:val="14"/>
                <w:color w:val="auto"/>
              </w:rPr>
              <w:t>3,737,500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3"/>
        </w:trPr>
        <w:tc>
          <w:tcPr>
            <w:tcW w:w="7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Perceptive PIPE Investor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5,500,000</w:t>
            </w: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4.4 %</w:t>
            </w:r>
          </w:p>
        </w:tc>
      </w:tr>
      <w:tr>
        <w:trPr>
          <w:trHeight w:val="193"/>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Other PIPE Investors</w:t>
            </w:r>
          </w:p>
        </w:tc>
        <w:tc>
          <w:tcPr>
            <w:tcW w:w="1560" w:type="dxa"/>
            <w:vAlign w:val="bottom"/>
          </w:tcPr>
          <w:p>
            <w:pPr>
              <w:jc w:val="right"/>
              <w:spacing w:after="0"/>
              <w:rPr>
                <w:sz w:val="20"/>
                <w:szCs w:val="20"/>
                <w:color w:val="auto"/>
              </w:rPr>
            </w:pPr>
            <w:r>
              <w:rPr>
                <w:rFonts w:ascii="Arial" w:cs="Arial" w:eastAsia="Arial" w:hAnsi="Arial"/>
                <w:sz w:val="14"/>
                <w:szCs w:val="14"/>
                <w:color w:val="auto"/>
              </w:rPr>
              <w:t>14,500,000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11.7 %</w:t>
            </w:r>
          </w:p>
        </w:tc>
      </w:tr>
      <w:tr>
        <w:trPr>
          <w:trHeight w:val="23"/>
        </w:trPr>
        <w:tc>
          <w:tcPr>
            <w:tcW w:w="7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6"/>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Former Nautilus shareholders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85,324,118</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68.8 %</w:t>
            </w:r>
          </w:p>
        </w:tc>
      </w:tr>
      <w:tr>
        <w:trPr>
          <w:trHeight w:val="207"/>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124,045,255</w:t>
            </w:r>
          </w:p>
        </w:tc>
        <w:tc>
          <w:tcPr>
            <w:tcW w:w="8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7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2—Basis of Presentation</w:t>
      </w:r>
    </w:p>
    <w:p>
      <w:pPr>
        <w:spacing w:after="0" w:line="146" w:lineRule="exact"/>
        <w:rPr>
          <w:sz w:val="20"/>
          <w:szCs w:val="20"/>
          <w:color w:val="auto"/>
        </w:rPr>
      </w:pPr>
    </w:p>
    <w:p>
      <w:pPr>
        <w:ind w:right="180" w:firstLine="260"/>
        <w:spacing w:after="0" w:line="330" w:lineRule="auto"/>
        <w:rPr>
          <w:sz w:val="20"/>
          <w:szCs w:val="20"/>
          <w:color w:val="auto"/>
        </w:rPr>
      </w:pPr>
      <w:r>
        <w:rPr>
          <w:rFonts w:ascii="Arial" w:cs="Arial" w:eastAsia="Arial" w:hAnsi="Arial"/>
          <w:sz w:val="13"/>
          <w:szCs w:val="13"/>
          <w:color w:val="auto"/>
        </w:rPr>
        <w:t>The accompanying unaudited pro forma condensed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spacing w:after="0" w:line="65" w:lineRule="exact"/>
        <w:rPr>
          <w:sz w:val="20"/>
          <w:szCs w:val="20"/>
          <w:color w:val="auto"/>
        </w:rPr>
      </w:pPr>
    </w:p>
    <w:p>
      <w:pPr>
        <w:ind w:right="20" w:firstLine="260"/>
        <w:spacing w:after="0" w:line="291" w:lineRule="auto"/>
        <w:rPr>
          <w:sz w:val="20"/>
          <w:szCs w:val="20"/>
          <w:color w:val="auto"/>
        </w:rPr>
      </w:pPr>
      <w:r>
        <w:rPr>
          <w:rFonts w:ascii="Arial" w:cs="Arial" w:eastAsia="Arial" w:hAnsi="Arial"/>
          <w:sz w:val="13"/>
          <w:szCs w:val="13"/>
          <w:color w:val="auto"/>
        </w:rPr>
        <w:t>This Business Combination was accounted for as a reverse recapitalization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spacing w:after="0" w:line="89" w:lineRule="exact"/>
        <w:rPr>
          <w:sz w:val="20"/>
          <w:szCs w:val="20"/>
          <w:color w:val="auto"/>
        </w:rPr>
      </w:pPr>
    </w:p>
    <w:p>
      <w:pPr>
        <w:ind w:left="520" w:hanging="254"/>
        <w:spacing w:after="0"/>
        <w:tabs>
          <w:tab w:leader="none" w:pos="520"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The pre-combination equity holders of Nautilus will hold the majority of voting rights in New Nautilus;</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396" w:lineRule="exact"/>
        <w:rPr>
          <w:rFonts w:ascii="Arial" w:cs="Arial" w:eastAsia="Arial" w:hAnsi="Arial"/>
          <w:sz w:val="14"/>
          <w:szCs w:val="14"/>
          <w:b w:val="1"/>
          <w:bCs w:val="1"/>
          <w:color w:val="auto"/>
        </w:rPr>
      </w:pPr>
    </w:p>
    <w:p>
      <w:pPr>
        <w:ind w:left="5600"/>
        <w:spacing w:after="0"/>
        <w:rPr>
          <w:rFonts w:ascii="Arial" w:cs="Arial" w:eastAsia="Arial" w:hAnsi="Arial"/>
          <w:sz w:val="14"/>
          <w:szCs w:val="14"/>
          <w:b w:val="1"/>
          <w:bCs w:val="1"/>
          <w:color w:val="auto"/>
        </w:rPr>
      </w:pPr>
      <w:r>
        <w:rPr>
          <w:rFonts w:ascii="Arial" w:cs="Arial" w:eastAsia="Arial" w:hAnsi="Arial"/>
          <w:sz w:val="14"/>
          <w:szCs w:val="14"/>
          <w:color w:val="auto"/>
        </w:rPr>
        <w:t>7</w:t>
      </w:r>
    </w:p>
    <w:p>
      <w:pPr>
        <w:sectPr>
          <w:pgSz w:w="11900" w:h="16838" w:orient="portrait"/>
          <w:cols w:equalWidth="0" w:num="1">
            <w:col w:w="11280"/>
          </w:cols>
          <w:pgMar w:left="300" w:top="1163" w:right="319" w:bottom="1440" w:gutter="0" w:footer="0" w:header="0"/>
        </w:sectPr>
      </w:pPr>
    </w:p>
    <w:bookmarkStart w:id="129" w:name="page130"/>
    <w:bookmarkEnd w:id="129"/>
    <w:p>
      <w:pPr>
        <w:ind w:left="520" w:hanging="254"/>
        <w:spacing w:after="0"/>
        <w:tabs>
          <w:tab w:leader="none" w:pos="520" w:val="left"/>
        </w:tabs>
        <w:numPr>
          <w:ilvl w:val="0"/>
          <w:numId w:val="106"/>
        </w:numPr>
        <w:rPr>
          <w:rFonts w:ascii="Arial" w:cs="Arial" w:eastAsia="Arial" w:hAnsi="Arial"/>
          <w:sz w:val="14"/>
          <w:szCs w:val="14"/>
          <w:b w:val="1"/>
          <w:bCs w:val="1"/>
          <w:color w:val="auto"/>
        </w:rPr>
      </w:pPr>
      <w:r>
        <w:rPr>
          <w:rFonts w:ascii="Arial" w:cs="Arial" w:eastAsia="Arial" w:hAnsi="Arial"/>
          <w:sz w:val="14"/>
          <w:szCs w:val="14"/>
          <w:color w:val="auto"/>
        </w:rPr>
        <w:t>The pre-combination equity holders of Nautilus will have the right to appoint the majority of the directors on the New Nautilus Board;</w:t>
      </w:r>
    </w:p>
    <w:p>
      <w:pPr>
        <w:spacing w:after="0" w:line="141" w:lineRule="exact"/>
        <w:rPr>
          <w:rFonts w:ascii="Arial" w:cs="Arial" w:eastAsia="Arial" w:hAnsi="Arial"/>
          <w:sz w:val="14"/>
          <w:szCs w:val="14"/>
          <w:b w:val="1"/>
          <w:bCs w:val="1"/>
          <w:color w:val="auto"/>
        </w:rPr>
      </w:pPr>
    </w:p>
    <w:p>
      <w:pPr>
        <w:ind w:left="520" w:hanging="254"/>
        <w:spacing w:after="0"/>
        <w:tabs>
          <w:tab w:leader="none" w:pos="520" w:val="left"/>
        </w:tabs>
        <w:numPr>
          <w:ilvl w:val="0"/>
          <w:numId w:val="106"/>
        </w:numPr>
        <w:rPr>
          <w:rFonts w:ascii="Arial" w:cs="Arial" w:eastAsia="Arial" w:hAnsi="Arial"/>
          <w:sz w:val="14"/>
          <w:szCs w:val="14"/>
          <w:b w:val="1"/>
          <w:bCs w:val="1"/>
          <w:color w:val="auto"/>
        </w:rPr>
      </w:pPr>
      <w:r>
        <w:rPr>
          <w:rFonts w:ascii="Arial" w:cs="Arial" w:eastAsia="Arial" w:hAnsi="Arial"/>
          <w:sz w:val="14"/>
          <w:szCs w:val="14"/>
          <w:color w:val="auto"/>
        </w:rPr>
        <w:t>Senior management of Nautilus will comprise the senior management of New Nautilus; and</w:t>
      </w:r>
    </w:p>
    <w:p>
      <w:pPr>
        <w:spacing w:after="0" w:line="141" w:lineRule="exact"/>
        <w:rPr>
          <w:rFonts w:ascii="Arial" w:cs="Arial" w:eastAsia="Arial" w:hAnsi="Arial"/>
          <w:sz w:val="14"/>
          <w:szCs w:val="14"/>
          <w:b w:val="1"/>
          <w:bCs w:val="1"/>
          <w:color w:val="auto"/>
        </w:rPr>
      </w:pPr>
    </w:p>
    <w:p>
      <w:pPr>
        <w:ind w:left="520" w:hanging="254"/>
        <w:spacing w:after="0"/>
        <w:tabs>
          <w:tab w:leader="none" w:pos="520" w:val="left"/>
        </w:tabs>
        <w:numPr>
          <w:ilvl w:val="0"/>
          <w:numId w:val="106"/>
        </w:numPr>
        <w:rPr>
          <w:rFonts w:ascii="Arial" w:cs="Arial" w:eastAsia="Arial" w:hAnsi="Arial"/>
          <w:sz w:val="14"/>
          <w:szCs w:val="14"/>
          <w:b w:val="1"/>
          <w:bCs w:val="1"/>
          <w:color w:val="auto"/>
        </w:rPr>
      </w:pPr>
      <w:r>
        <w:rPr>
          <w:rFonts w:ascii="Arial" w:cs="Arial" w:eastAsia="Arial" w:hAnsi="Arial"/>
          <w:sz w:val="14"/>
          <w:szCs w:val="14"/>
          <w:color w:val="auto"/>
        </w:rPr>
        <w:t>Operations of Nautilus will comprise the ongoing operations of New Nautilus.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Under the reverse recapitalization model, the Business Combination will be treated as Nautilus issuing equity for the net assets of ARYA, with no goodwill or intangible assets recorded.</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If the actual facts are different than these assumptions, then the amounts and shares outstanding in the unaudited pro forma condensed combined financial information will be different.</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New Nautilus assumed outstanding and unexercised equity awards for employees and converted them into New Nautilus equity awards upon the consummation of the Business Combination.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Accordingly, no effect has been given to the unaudited pro forma condensed combined financial information for the new awards.</w:t>
      </w:r>
    </w:p>
    <w:p>
      <w:pPr>
        <w:spacing w:after="0" w:line="133" w:lineRule="exact"/>
        <w:rPr>
          <w:sz w:val="20"/>
          <w:szCs w:val="20"/>
          <w:color w:val="auto"/>
        </w:rPr>
      </w:pPr>
    </w:p>
    <w:p>
      <w:pPr>
        <w:ind w:right="120" w:firstLine="260"/>
        <w:spacing w:after="0" w:line="290" w:lineRule="auto"/>
        <w:rPr>
          <w:sz w:val="20"/>
          <w:szCs w:val="20"/>
          <w:color w:val="auto"/>
        </w:rPr>
      </w:pPr>
      <w:r>
        <w:rPr>
          <w:rFonts w:ascii="Arial" w:cs="Arial" w:eastAsia="Arial" w:hAnsi="Arial"/>
          <w:sz w:val="14"/>
          <w:szCs w:val="14"/>
          <w:color w:val="auto"/>
        </w:rPr>
        <w:t>The unaudited pro forma condensed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Pro Forma Adjustments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Adjustments to the Unaudited Pro Forma Condensed Combined Balance Sheet as of March 31, 2021</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adjustments included in the unaudited pro forma condensed combined balance sheet as of March 31, 2021 are as follows:</w:t>
      </w:r>
    </w:p>
    <w:p>
      <w:pPr>
        <w:spacing w:after="0" w:line="142" w:lineRule="exact"/>
        <w:rPr>
          <w:sz w:val="20"/>
          <w:szCs w:val="20"/>
          <w:color w:val="auto"/>
        </w:rPr>
      </w:pPr>
    </w:p>
    <w:p>
      <w:pPr>
        <w:ind w:right="380" w:firstLine="266"/>
        <w:spacing w:after="0" w:line="290" w:lineRule="auto"/>
        <w:tabs>
          <w:tab w:leader="none" w:pos="519"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Reflects the liquidation and reclassification of $149.6 million of investments held in the Trust Account to cash and cash equivalents that becomes available for general use by New Nautilus following the Closing.</w:t>
      </w:r>
    </w:p>
    <w:p>
      <w:pPr>
        <w:spacing w:after="0" w:line="87" w:lineRule="exact"/>
        <w:rPr>
          <w:rFonts w:ascii="Arial" w:cs="Arial" w:eastAsia="Arial" w:hAnsi="Arial"/>
          <w:sz w:val="14"/>
          <w:szCs w:val="14"/>
          <w:b w:val="1"/>
          <w:bCs w:val="1"/>
          <w:color w:val="auto"/>
        </w:rPr>
      </w:pPr>
    </w:p>
    <w:p>
      <w:pPr>
        <w:ind w:left="520" w:hanging="254"/>
        <w:spacing w:after="0"/>
        <w:tabs>
          <w:tab w:leader="none" w:pos="520"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Reflects the payment of $5.2 million of deferred underwriters’ fees incurred during ARYA’s IPO due upon the Closing.</w:t>
      </w:r>
    </w:p>
    <w:p>
      <w:pPr>
        <w:spacing w:after="0" w:line="141" w:lineRule="exact"/>
        <w:rPr>
          <w:rFonts w:ascii="Arial" w:cs="Arial" w:eastAsia="Arial" w:hAnsi="Arial"/>
          <w:sz w:val="14"/>
          <w:szCs w:val="14"/>
          <w:b w:val="1"/>
          <w:bCs w:val="1"/>
          <w:color w:val="auto"/>
        </w:rPr>
      </w:pPr>
    </w:p>
    <w:p>
      <w:pPr>
        <w:ind w:right="80" w:firstLine="266"/>
        <w:spacing w:after="0" w:line="290" w:lineRule="auto"/>
        <w:tabs>
          <w:tab w:leader="none" w:pos="555"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Represents preliminary estimated direct and incremental transaction costs of $9.0 million incurred by Nautilus prior to, or concurrent with, the Closing. As of March 31, 2021, Nautilus had deferred transaction costs incurred of $3.2 million, of which $1.1 million was unpaid.</w:t>
      </w:r>
    </w:p>
    <w:p>
      <w:pPr>
        <w:spacing w:after="0" w:line="87" w:lineRule="exact"/>
        <w:rPr>
          <w:rFonts w:ascii="Arial" w:cs="Arial" w:eastAsia="Arial" w:hAnsi="Arial"/>
          <w:sz w:val="14"/>
          <w:szCs w:val="14"/>
          <w:b w:val="1"/>
          <w:bCs w:val="1"/>
          <w:color w:val="auto"/>
        </w:rPr>
      </w:pPr>
    </w:p>
    <w:p>
      <w:pPr>
        <w:ind w:right="80" w:firstLine="266"/>
        <w:spacing w:after="0" w:line="274" w:lineRule="auto"/>
        <w:tabs>
          <w:tab w:leader="none" w:pos="519"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Represents preliminary estimated direct and incremental transaction costs of $6.2 million incurred by ARYA prior to, or concurrent with, the Closing that are to be cash settled upon Closing in accordance with the Business Combination Agreement, excluding the $5.2 million of deferred underwriting fees related to the ARYA initial public offering as described in adjustment note (B). As of March 31, 2021, ARYA had transaction costs incurred of $1.5 million, all of which was unpaid.</w:t>
      </w:r>
    </w:p>
    <w:p>
      <w:pPr>
        <w:spacing w:after="0" w:line="97" w:lineRule="exact"/>
        <w:rPr>
          <w:rFonts w:ascii="Arial" w:cs="Arial" w:eastAsia="Arial" w:hAnsi="Arial"/>
          <w:sz w:val="14"/>
          <w:szCs w:val="14"/>
          <w:b w:val="1"/>
          <w:bCs w:val="1"/>
          <w:color w:val="auto"/>
        </w:rPr>
      </w:pPr>
    </w:p>
    <w:p>
      <w:pPr>
        <w:ind w:right="140" w:firstLine="266"/>
        <w:spacing w:after="0" w:line="290" w:lineRule="auto"/>
        <w:tabs>
          <w:tab w:leader="none" w:pos="511"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Reflects the proceeds of $200.0 million from the issuance and sale of 20.0 million shares of New Nautilus Common Stock at $10.00 per share pursuant to the Subscription Agreements entered into with New PIPE Investors in connection with the PIPE Financing.</w:t>
      </w:r>
    </w:p>
    <w:p>
      <w:pPr>
        <w:spacing w:after="0" w:line="87" w:lineRule="exact"/>
        <w:rPr>
          <w:rFonts w:ascii="Arial" w:cs="Arial" w:eastAsia="Arial" w:hAnsi="Arial"/>
          <w:sz w:val="14"/>
          <w:szCs w:val="14"/>
          <w:b w:val="1"/>
          <w:bCs w:val="1"/>
          <w:color w:val="auto"/>
        </w:rPr>
      </w:pPr>
    </w:p>
    <w:p>
      <w:pPr>
        <w:ind w:right="360" w:firstLine="266"/>
        <w:spacing w:after="0" w:line="290" w:lineRule="auto"/>
        <w:tabs>
          <w:tab w:leader="none" w:pos="500"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Represents the cash disbursed to redeem 465,363 shares of Class A Common Stock in connection with the Business Combination allocated to common stock and additional paid-in capital, using a par value of $0.0001 per share at a redemption price of approximately $10.00 per share.</w:t>
      </w:r>
    </w:p>
    <w:p>
      <w:pPr>
        <w:spacing w:after="0" w:line="87" w:lineRule="exact"/>
        <w:rPr>
          <w:rFonts w:ascii="Arial" w:cs="Arial" w:eastAsia="Arial" w:hAnsi="Arial"/>
          <w:sz w:val="14"/>
          <w:szCs w:val="14"/>
          <w:b w:val="1"/>
          <w:bCs w:val="1"/>
          <w:color w:val="auto"/>
        </w:rPr>
      </w:pPr>
    </w:p>
    <w:p>
      <w:pPr>
        <w:ind w:left="520" w:hanging="254"/>
        <w:spacing w:after="0"/>
        <w:tabs>
          <w:tab w:leader="none" w:pos="520"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Reflects the reclassification of Class A Common Stock subject to possible redemption to permanent equity immediately prior to the Closing.</w:t>
      </w:r>
    </w:p>
    <w:p>
      <w:pPr>
        <w:spacing w:after="0" w:line="141" w:lineRule="exact"/>
        <w:rPr>
          <w:rFonts w:ascii="Arial" w:cs="Arial" w:eastAsia="Arial" w:hAnsi="Arial"/>
          <w:sz w:val="14"/>
          <w:szCs w:val="14"/>
          <w:b w:val="1"/>
          <w:bCs w:val="1"/>
          <w:color w:val="auto"/>
        </w:rPr>
      </w:pPr>
    </w:p>
    <w:p>
      <w:pPr>
        <w:ind w:left="520" w:hanging="254"/>
        <w:spacing w:after="0"/>
        <w:tabs>
          <w:tab w:leader="none" w:pos="520" w:val="left"/>
        </w:tabs>
        <w:numPr>
          <w:ilvl w:val="0"/>
          <w:numId w:val="107"/>
        </w:numPr>
        <w:rPr>
          <w:rFonts w:ascii="Arial" w:cs="Arial" w:eastAsia="Arial" w:hAnsi="Arial"/>
          <w:sz w:val="13"/>
          <w:szCs w:val="13"/>
          <w:b w:val="1"/>
          <w:bCs w:val="1"/>
          <w:color w:val="auto"/>
        </w:rPr>
      </w:pPr>
      <w:r>
        <w:rPr>
          <w:rFonts w:ascii="Arial" w:cs="Arial" w:eastAsia="Arial" w:hAnsi="Arial"/>
          <w:sz w:val="13"/>
          <w:szCs w:val="13"/>
          <w:color w:val="auto"/>
        </w:rPr>
        <w:t>Reflects the conversion of Nautilus redeemable convertible preferred stock into New Nautilus Common Stock pursuant to the conversion rate effective immediately prior to the Effective</w:t>
      </w:r>
    </w:p>
    <w:p>
      <w:pPr>
        <w:spacing w:after="0" w:line="33"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00" w:top="1167" w:right="359" w:bottom="1440" w:gutter="0" w:footer="0" w:header="0"/>
        </w:sectPr>
      </w:pPr>
    </w:p>
    <w:bookmarkStart w:id="130" w:name="page131"/>
    <w:bookmarkEnd w:id="130"/>
    <w:p>
      <w:pPr>
        <w:ind w:left="520" w:hanging="254"/>
        <w:spacing w:after="0"/>
        <w:tabs>
          <w:tab w:leader="none" w:pos="52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Reflects the conversion of 3,737,500 ARYA shares of Class B Common Stock into shares of New Nautilus Common Stock.</w:t>
      </w:r>
    </w:p>
    <w:p>
      <w:pPr>
        <w:spacing w:after="0" w:line="141" w:lineRule="exact"/>
        <w:rPr>
          <w:rFonts w:ascii="Arial" w:cs="Arial" w:eastAsia="Arial" w:hAnsi="Arial"/>
          <w:sz w:val="14"/>
          <w:szCs w:val="14"/>
          <w:b w:val="1"/>
          <w:bCs w:val="1"/>
          <w:color w:val="auto"/>
        </w:rPr>
      </w:pPr>
    </w:p>
    <w:p>
      <w:pPr>
        <w:ind w:left="520" w:hanging="254"/>
        <w:spacing w:after="0"/>
        <w:tabs>
          <w:tab w:leader="none" w:pos="52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Reflects net share settlement of Nautilus common stock warrants upon closing of the Business Combination.</w:t>
      </w:r>
    </w:p>
    <w:p>
      <w:pPr>
        <w:spacing w:after="0" w:line="141" w:lineRule="exact"/>
        <w:rPr>
          <w:rFonts w:ascii="Arial" w:cs="Arial" w:eastAsia="Arial" w:hAnsi="Arial"/>
          <w:sz w:val="14"/>
          <w:szCs w:val="14"/>
          <w:b w:val="1"/>
          <w:bCs w:val="1"/>
          <w:color w:val="auto"/>
        </w:rPr>
      </w:pPr>
    </w:p>
    <w:p>
      <w:pPr>
        <w:ind w:left="520" w:hanging="254"/>
        <w:spacing w:after="0"/>
        <w:tabs>
          <w:tab w:leader="none" w:pos="52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Represents the recapitalization of common shares between Nautilus Common Stock, New Nautilus Common Stock and additional paid-in capital.</w:t>
      </w:r>
    </w:p>
    <w:p>
      <w:pPr>
        <w:spacing w:after="0" w:line="141" w:lineRule="exact"/>
        <w:rPr>
          <w:rFonts w:ascii="Arial" w:cs="Arial" w:eastAsia="Arial" w:hAnsi="Arial"/>
          <w:sz w:val="14"/>
          <w:szCs w:val="14"/>
          <w:b w:val="1"/>
          <w:bCs w:val="1"/>
          <w:color w:val="auto"/>
        </w:rPr>
      </w:pPr>
    </w:p>
    <w:p>
      <w:pPr>
        <w:ind w:left="520" w:hanging="254"/>
        <w:spacing w:after="0"/>
        <w:tabs>
          <w:tab w:leader="none" w:pos="52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Reflects the elimination of ARYA’s historical accumulated deficit.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Adjustments to the Unaudited Pro Forma Condensed Combined Statements of Operations for the Three Months Ended March 31, 2021 and for the Year Ended December 31, 2020:</w:t>
      </w:r>
    </w:p>
    <w:p>
      <w:pPr>
        <w:spacing w:after="0" w:line="165" w:lineRule="exact"/>
        <w:rPr>
          <w:sz w:val="20"/>
          <w:szCs w:val="20"/>
          <w:color w:val="auto"/>
        </w:rPr>
      </w:pPr>
    </w:p>
    <w:p>
      <w:pPr>
        <w:ind w:firstLine="260"/>
        <w:spacing w:after="0" w:line="290" w:lineRule="auto"/>
        <w:rPr>
          <w:sz w:val="20"/>
          <w:szCs w:val="20"/>
          <w:color w:val="auto"/>
        </w:rPr>
      </w:pPr>
      <w:r>
        <w:rPr>
          <w:rFonts w:ascii="Arial" w:cs="Arial" w:eastAsia="Arial" w:hAnsi="Arial"/>
          <w:sz w:val="14"/>
          <w:szCs w:val="14"/>
          <w:color w:val="auto"/>
        </w:rPr>
        <w:t>The adjustments included in the unaudited pro forma condensed combined statements of operations for the three months ended March 31, 2021 and for the year ended December 31, 2020 are as follows: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AA</w:t>
      </w:r>
      <w:r>
        <w:rPr>
          <w:rFonts w:ascii="Arial" w:cs="Arial" w:eastAsia="Arial" w:hAnsi="Arial"/>
          <w:sz w:val="14"/>
          <w:szCs w:val="14"/>
          <w:color w:val="auto"/>
        </w:rPr>
        <w:t>. Represents the elimination of investment income related to the investments held in the ARYA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60"/>
          </w:cols>
          <w:pgMar w:left="300" w:top="1167"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color w:val="auto"/>
        </w:rPr>
        <w:t>Note 4 – Net Loss per Share</w:t>
      </w:r>
    </w:p>
    <w:p>
      <w:pPr>
        <w:spacing w:after="0" w:line="146" w:lineRule="exact"/>
        <w:rPr>
          <w:sz w:val="20"/>
          <w:szCs w:val="20"/>
          <w:color w:val="auto"/>
        </w:rPr>
      </w:pPr>
    </w:p>
    <w:p>
      <w:pPr>
        <w:ind w:right="160" w:firstLine="260"/>
        <w:spacing w:after="0" w:line="268" w:lineRule="auto"/>
        <w:rPr>
          <w:sz w:val="20"/>
          <w:szCs w:val="20"/>
          <w:color w:val="auto"/>
        </w:rPr>
      </w:pPr>
      <w:r>
        <w:rPr>
          <w:rFonts w:ascii="Arial" w:cs="Arial" w:eastAsia="Arial" w:hAnsi="Arial"/>
          <w:sz w:val="14"/>
          <w:szCs w:val="14"/>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9"/>
              <w:spacing w:after="0"/>
              <w:rPr>
                <w:sz w:val="20"/>
                <w:szCs w:val="20"/>
                <w:color w:val="auto"/>
              </w:rPr>
            </w:pPr>
            <w:r>
              <w:rPr>
                <w:rFonts w:ascii="Arial" w:cs="Arial" w:eastAsia="Arial" w:hAnsi="Arial"/>
                <w:sz w:val="12"/>
                <w:szCs w:val="12"/>
                <w:b w:val="1"/>
                <w:bCs w:val="1"/>
                <w:color w:val="auto"/>
                <w:w w:val="92"/>
              </w:rPr>
              <w:t>Three Months Ended March</w:t>
            </w:r>
          </w:p>
        </w:tc>
      </w:tr>
      <w:tr>
        <w:trPr>
          <w:trHeight w:val="149"/>
        </w:trPr>
        <w:tc>
          <w:tcPr>
            <w:tcW w:w="8060" w:type="dxa"/>
            <w:vAlign w:val="bottom"/>
          </w:tcPr>
          <w:p>
            <w:pPr>
              <w:ind w:left="20"/>
              <w:spacing w:after="0"/>
              <w:rPr>
                <w:sz w:val="20"/>
                <w:szCs w:val="20"/>
                <w:color w:val="auto"/>
              </w:rPr>
            </w:pPr>
            <w:r>
              <w:rPr>
                <w:rFonts w:ascii="Arial" w:cs="Arial" w:eastAsia="Arial" w:hAnsi="Arial"/>
                <w:sz w:val="12"/>
                <w:szCs w:val="12"/>
                <w:i w:val="1"/>
                <w:iCs w:val="1"/>
                <w:color w:val="auto"/>
              </w:rPr>
              <w:t>(in thousands except share and per share data)</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w w:val="91"/>
              </w:rPr>
              <w:t>Year Ended December 31, 2020</w:t>
            </w:r>
          </w:p>
        </w:tc>
        <w:tc>
          <w:tcPr>
            <w:tcW w:w="320" w:type="dxa"/>
            <w:vAlign w:val="bottom"/>
          </w:tcPr>
          <w:p>
            <w:pPr>
              <w:spacing w:after="0"/>
              <w:rPr>
                <w:sz w:val="12"/>
                <w:szCs w:val="12"/>
                <w:color w:val="auto"/>
              </w:rPr>
            </w:pPr>
          </w:p>
        </w:tc>
        <w:tc>
          <w:tcPr>
            <w:tcW w:w="1240" w:type="dxa"/>
            <w:vAlign w:val="bottom"/>
          </w:tcPr>
          <w:p>
            <w:pPr>
              <w:jc w:val="right"/>
              <w:ind w:right="509"/>
              <w:spacing w:after="0"/>
              <w:rPr>
                <w:sz w:val="20"/>
                <w:szCs w:val="20"/>
                <w:color w:val="auto"/>
              </w:rPr>
            </w:pPr>
            <w:r>
              <w:rPr>
                <w:rFonts w:ascii="Arial" w:cs="Arial" w:eastAsia="Arial" w:hAnsi="Arial"/>
                <w:sz w:val="12"/>
                <w:szCs w:val="12"/>
                <w:b w:val="1"/>
                <w:bCs w:val="1"/>
                <w:color w:val="auto"/>
              </w:rPr>
              <w:t>31, 2021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net loss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(16,195)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(10,189)</w:t>
            </w:r>
          </w:p>
        </w:tc>
      </w:tr>
      <w:tr>
        <w:trPr>
          <w:trHeight w:val="193"/>
        </w:trPr>
        <w:tc>
          <w:tcPr>
            <w:tcW w:w="8060" w:type="dxa"/>
            <w:vAlign w:val="bottom"/>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124,045,255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124,045,255</w:t>
            </w:r>
          </w:p>
        </w:tc>
      </w:tr>
      <w:tr>
        <w:trPr>
          <w:trHeight w:val="23"/>
        </w:trPr>
        <w:tc>
          <w:tcPr>
            <w:tcW w:w="8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net loss per share - Basic and Diluted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(0.08)</w:t>
            </w:r>
          </w:p>
        </w:tc>
      </w:tr>
      <w:tr>
        <w:trPr>
          <w:trHeight w:val="206"/>
        </w:trPr>
        <w:tc>
          <w:tcPr>
            <w:tcW w:w="8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 - basic and diluted</w:t>
            </w: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8060" w:type="dxa"/>
            <w:vAlign w:val="bottom"/>
          </w:tcPr>
          <w:p>
            <w:pPr>
              <w:ind w:left="20"/>
              <w:spacing w:after="0"/>
              <w:rPr>
                <w:sz w:val="20"/>
                <w:szCs w:val="20"/>
                <w:color w:val="auto"/>
              </w:rPr>
            </w:pPr>
            <w:r>
              <w:rPr>
                <w:rFonts w:ascii="Arial" w:cs="Arial" w:eastAsia="Arial" w:hAnsi="Arial"/>
                <w:sz w:val="14"/>
                <w:szCs w:val="14"/>
                <w:color w:val="auto"/>
              </w:rPr>
              <w:t>Former ARYA Class A shareholders</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14,983,637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14,983,637</w:t>
            </w:r>
          </w:p>
        </w:tc>
      </w:tr>
      <w:tr>
        <w:trPr>
          <w:trHeight w:val="23"/>
        </w:trPr>
        <w:tc>
          <w:tcPr>
            <w:tcW w:w="8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Former ARYA Class B Sponsor Shares</w:t>
            </w: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3,737,500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3,737,500</w:t>
            </w:r>
          </w:p>
        </w:tc>
      </w:tr>
      <w:tr>
        <w:trPr>
          <w:trHeight w:val="193"/>
        </w:trPr>
        <w:tc>
          <w:tcPr>
            <w:tcW w:w="8060" w:type="dxa"/>
            <w:vAlign w:val="bottom"/>
          </w:tcPr>
          <w:p>
            <w:pPr>
              <w:ind w:left="20"/>
              <w:spacing w:after="0"/>
              <w:rPr>
                <w:sz w:val="20"/>
                <w:szCs w:val="20"/>
                <w:color w:val="auto"/>
              </w:rPr>
            </w:pPr>
            <w:r>
              <w:rPr>
                <w:rFonts w:ascii="Arial" w:cs="Arial" w:eastAsia="Arial" w:hAnsi="Arial"/>
                <w:sz w:val="14"/>
                <w:szCs w:val="14"/>
                <w:color w:val="auto"/>
              </w:rPr>
              <w:t>Perceptive PIPE Investor</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5,500,000</w:t>
            </w:r>
          </w:p>
        </w:tc>
      </w:tr>
      <w:tr>
        <w:trPr>
          <w:trHeight w:val="23"/>
        </w:trPr>
        <w:tc>
          <w:tcPr>
            <w:tcW w:w="8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PIPE Investors</w:t>
            </w: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14,500,000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14,500,000</w:t>
            </w:r>
          </w:p>
        </w:tc>
      </w:tr>
      <w:tr>
        <w:trPr>
          <w:trHeight w:val="193"/>
        </w:trPr>
        <w:tc>
          <w:tcPr>
            <w:tcW w:w="8060" w:type="dxa"/>
            <w:vAlign w:val="bottom"/>
          </w:tcPr>
          <w:p>
            <w:pPr>
              <w:ind w:left="20"/>
              <w:spacing w:after="0"/>
              <w:rPr>
                <w:sz w:val="20"/>
                <w:szCs w:val="20"/>
                <w:color w:val="auto"/>
              </w:rPr>
            </w:pPr>
            <w:r>
              <w:rPr>
                <w:rFonts w:ascii="Arial" w:cs="Arial" w:eastAsia="Arial" w:hAnsi="Arial"/>
                <w:sz w:val="14"/>
                <w:szCs w:val="14"/>
                <w:color w:val="auto"/>
              </w:rPr>
              <w:t>Former Nautilus Shareholders</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85,324,118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85,324,118</w:t>
            </w:r>
          </w:p>
        </w:tc>
      </w:tr>
      <w:tr>
        <w:trPr>
          <w:trHeight w:val="23"/>
        </w:trPr>
        <w:tc>
          <w:tcPr>
            <w:tcW w:w="80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weighted average shares outstanding - basic and diluted</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124,045,255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124,045,255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163"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Nautilus Biotechnology Debuts as Publicly Traded Company, Seeks to Deliver on the Untapped Potential of the Human Proteome</w:t>
      </w:r>
    </w:p>
    <w:p>
      <w:pPr>
        <w:spacing w:after="0" w:line="155" w:lineRule="exact"/>
        <w:rPr>
          <w:sz w:val="20"/>
          <w:szCs w:val="20"/>
          <w:color w:val="auto"/>
        </w:rPr>
      </w:pPr>
    </w:p>
    <w:p>
      <w:pPr>
        <w:ind w:left="520" w:right="320" w:hanging="254"/>
        <w:spacing w:after="0" w:line="268" w:lineRule="auto"/>
        <w:tabs>
          <w:tab w:leader="none" w:pos="532"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Business combination transaction with Arya Sciences Acquisition Corp III, a special purpose acquisition company sponsored by Perceptive Advisors, closed on June 9, 2021</w:t>
      </w:r>
    </w:p>
    <w:p>
      <w:pPr>
        <w:ind w:left="540" w:hanging="274"/>
        <w:spacing w:after="0"/>
        <w:tabs>
          <w:tab w:leader="none" w:pos="540" w:val="left"/>
        </w:tabs>
        <w:numPr>
          <w:ilvl w:val="0"/>
          <w:numId w:val="109"/>
        </w:numPr>
        <w:rPr>
          <w:rFonts w:ascii="Arial" w:cs="Arial" w:eastAsia="Arial" w:hAnsi="Arial"/>
          <w:sz w:val="16"/>
          <w:szCs w:val="16"/>
          <w:i w:val="1"/>
          <w:iCs w:val="1"/>
          <w:color w:val="auto"/>
        </w:rPr>
      </w:pPr>
      <w:r>
        <w:rPr>
          <w:rFonts w:ascii="Arial" w:cs="Arial" w:eastAsia="Arial" w:hAnsi="Arial"/>
          <w:sz w:val="16"/>
          <w:szCs w:val="16"/>
          <w:i w:val="1"/>
          <w:iCs w:val="1"/>
          <w:color w:val="auto"/>
        </w:rPr>
        <w:t>Publicly traded company renamed Nautilus Biotechnology, Inc.</w:t>
      </w:r>
    </w:p>
    <w:p>
      <w:pPr>
        <w:spacing w:after="0" w:line="21" w:lineRule="exact"/>
        <w:rPr>
          <w:rFonts w:ascii="Arial" w:cs="Arial" w:eastAsia="Arial" w:hAnsi="Arial"/>
          <w:sz w:val="16"/>
          <w:szCs w:val="16"/>
          <w:i w:val="1"/>
          <w:iCs w:val="1"/>
          <w:color w:val="auto"/>
        </w:rPr>
      </w:pPr>
    </w:p>
    <w:p>
      <w:pPr>
        <w:ind w:left="540" w:hanging="274"/>
        <w:spacing w:after="0"/>
        <w:tabs>
          <w:tab w:leader="none" w:pos="540" w:val="left"/>
        </w:tabs>
        <w:numPr>
          <w:ilvl w:val="0"/>
          <w:numId w:val="109"/>
        </w:numPr>
        <w:rPr>
          <w:rFonts w:ascii="Arial" w:cs="Arial" w:eastAsia="Arial" w:hAnsi="Arial"/>
          <w:sz w:val="16"/>
          <w:szCs w:val="16"/>
          <w:i w:val="1"/>
          <w:iCs w:val="1"/>
          <w:color w:val="auto"/>
        </w:rPr>
      </w:pPr>
      <w:r>
        <w:rPr>
          <w:rFonts w:ascii="Arial" w:cs="Arial" w:eastAsia="Arial" w:hAnsi="Arial"/>
          <w:sz w:val="16"/>
          <w:szCs w:val="16"/>
          <w:i w:val="1"/>
          <w:iCs w:val="1"/>
          <w:color w:val="auto"/>
        </w:rPr>
        <w:t>Common stock commences trading under ticker symbol “NAUT” on the Nasdaq Global Select Market on June 10, 2021</w:t>
      </w:r>
    </w:p>
    <w:p>
      <w:pPr>
        <w:spacing w:after="0" w:line="21" w:lineRule="exact"/>
        <w:rPr>
          <w:rFonts w:ascii="Arial" w:cs="Arial" w:eastAsia="Arial" w:hAnsi="Arial"/>
          <w:sz w:val="16"/>
          <w:szCs w:val="16"/>
          <w:i w:val="1"/>
          <w:iCs w:val="1"/>
          <w:color w:val="auto"/>
        </w:rPr>
      </w:pPr>
    </w:p>
    <w:p>
      <w:pPr>
        <w:ind w:left="520" w:right="60" w:hanging="254"/>
        <w:spacing w:after="0" w:line="296" w:lineRule="auto"/>
        <w:tabs>
          <w:tab w:leader="none" w:pos="532" w:val="left"/>
        </w:tabs>
        <w:numPr>
          <w:ilvl w:val="0"/>
          <w:numId w:val="109"/>
        </w:numPr>
        <w:rPr>
          <w:rFonts w:ascii="Arial" w:cs="Arial" w:eastAsia="Arial" w:hAnsi="Arial"/>
          <w:sz w:val="16"/>
          <w:szCs w:val="16"/>
          <w:i w:val="1"/>
          <w:iCs w:val="1"/>
          <w:color w:val="auto"/>
        </w:rPr>
      </w:pPr>
      <w:r>
        <w:rPr>
          <w:rFonts w:ascii="Arial" w:cs="Arial" w:eastAsia="Arial" w:hAnsi="Arial"/>
          <w:sz w:val="16"/>
          <w:szCs w:val="16"/>
          <w:i w:val="1"/>
          <w:iCs w:val="1"/>
          <w:color w:val="auto"/>
        </w:rPr>
        <w:t>Gross proceeds from this transaction to Nautilus totaled approximately $345 million, combining approximately $145 million of funds held in Arya III’s trust account and a concurrent PIPE financing of $200 million</w:t>
      </w:r>
    </w:p>
    <w:p>
      <w:pPr>
        <w:spacing w:after="0" w:line="83"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b w:val="1"/>
          <w:bCs w:val="1"/>
          <w:color w:val="auto"/>
        </w:rPr>
        <w:t xml:space="preserve">SEATTLE, WA &amp; NEW YORK, NY, June 9, 2021 </w:t>
      </w:r>
      <w:r>
        <w:rPr>
          <w:rFonts w:ascii="Arial" w:cs="Arial" w:eastAsia="Arial" w:hAnsi="Arial"/>
          <w:sz w:val="16"/>
          <w:szCs w:val="16"/>
          <w:color w:val="auto"/>
        </w:rPr>
        <w:t>— Nautilus Biotechnology, Inc., a company pioneering a single-molecule protein analysis platform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quantifying the proteome, today announced the completion of its business combination with Arya Sciences Acquisition Corp III (Nasdaq: ARYA; or “Arya III”), a special purpose acquisition company (SPAC) sponsored by Perceptive Advisors. The combined company, Nautilus Biotechnology, Inc. (“Nautilus”), will commence trading shares of its common stock under the ticker symbol “NAUT” on the Nasdaq Global Select Market </w:t>
      </w:r>
      <w:r>
        <w:rPr>
          <w:rFonts w:ascii="Arial" w:cs="Arial" w:eastAsia="Arial" w:hAnsi="Arial"/>
          <w:sz w:val="16"/>
          <w:szCs w:val="16"/>
          <w:i w:val="1"/>
          <w:iCs w:val="1"/>
          <w:color w:val="auto"/>
        </w:rPr>
        <w:t>on June 10, 2021</w:t>
      </w:r>
      <w:r>
        <w:rPr>
          <w:rFonts w:ascii="Arial" w:cs="Arial" w:eastAsia="Arial" w:hAnsi="Arial"/>
          <w:sz w:val="16"/>
          <w:szCs w:val="16"/>
          <w:color w:val="auto"/>
        </w:rPr>
        <w:t>.</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The business combination was approved by Arya III’s shareholders on June 8, 2021. The transaction had been previously approved by Nautilus shareholders. Gross proceeds from this transaction totaled approximately $345 million, which included approximately $145 million of funds held in Arya III’s trust account and the concurrent common stock private investment in public equity (PIPE) financing of $200 million led by Perceptive Advisors, an affiliate of Arya III’s sponsor, as well as RA Capital Management, Ally Bridge Group, Bain Capital Life Sciences, Franklin Templeton Investments, OrbiMed, Alyeska Investment Group, L.P., Casdin Capital and existing Nautilus Biotechnology shareholders including Andreessen Horowitz, Madrona Venture Group, and Vulcan Capital. The Nautilus management team, led by its founders Chief Executive Officer Sujal Patel and Chief Scientist Parag Mallick, will continue to lead the combined company.</w:t>
      </w:r>
    </w:p>
    <w:p>
      <w:pPr>
        <w:spacing w:after="0" w:line="113"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“At Nautilus, we have reimagined how to comprehensively analyze and quantify the proteome. In doing so, we are seeking to create a new gold standard in the field of proteomics that will lead to positive impacts on human health”, said Sujal Patel, CEO of Nautilus. “We believe our technology will change the scale of what is possible in proteomics in an effort to enable significant advancements in drug development and help revolutionize the way biomedical research is conducted.”</w:t>
      </w:r>
    </w:p>
    <w:p>
      <w:pPr>
        <w:spacing w:after="0" w:line="124" w:lineRule="exact"/>
        <w:rPr>
          <w:sz w:val="20"/>
          <w:szCs w:val="20"/>
          <w:color w:val="auto"/>
        </w:rPr>
      </w:pPr>
    </w:p>
    <w:p>
      <w:pPr>
        <w:jc w:val="both"/>
        <w:ind w:right="480"/>
        <w:spacing w:after="0" w:line="271" w:lineRule="auto"/>
        <w:rPr>
          <w:sz w:val="20"/>
          <w:szCs w:val="20"/>
          <w:color w:val="auto"/>
        </w:rPr>
      </w:pPr>
      <w:r>
        <w:rPr>
          <w:rFonts w:ascii="Arial" w:cs="Arial" w:eastAsia="Arial" w:hAnsi="Arial"/>
          <w:sz w:val="16"/>
          <w:szCs w:val="16"/>
          <w:color w:val="auto"/>
        </w:rPr>
        <w:t>Nautilus is developing a protein analysis platform with the potential to identify more than 95% of the proteome. Integrated with breakthrough innovations in computer science, engineering, and biochemistry, the Nautilus Proteomic Analysis Platform is designed to leverage a nanofabricated, large-scale, single-molecule protein array, multi-cycle imaging, and machine learning analysis to measure the proteome with extreme sensitivity and scale.</w:t>
      </w:r>
    </w:p>
    <w:p>
      <w:pPr>
        <w:sectPr>
          <w:pgSz w:w="11900" w:h="16838" w:orient="portrait"/>
          <w:cols w:equalWidth="0" w:num="1">
            <w:col w:w="11280"/>
          </w:cols>
          <w:pgMar w:left="300" w:top="135" w:right="319" w:bottom="1440" w:gutter="0" w:footer="0" w:header="0"/>
        </w:sectPr>
      </w:pPr>
    </w:p>
    <w:bookmarkStart w:id="133" w:name="page134"/>
    <w:bookmarkEnd w:id="133"/>
    <w:p>
      <w:pPr>
        <w:ind w:right="240"/>
        <w:spacing w:after="0" w:line="270" w:lineRule="auto"/>
        <w:rPr>
          <w:sz w:val="20"/>
          <w:szCs w:val="20"/>
          <w:color w:val="auto"/>
        </w:rPr>
      </w:pPr>
      <w:r>
        <w:rPr>
          <w:rFonts w:ascii="Arial" w:cs="Arial" w:eastAsia="Arial" w:hAnsi="Arial"/>
          <w:sz w:val="16"/>
          <w:szCs w:val="16"/>
          <w:color w:val="auto"/>
        </w:rPr>
        <w:t>“By combining a team of experienced leaders from both technology and life sciences with an unprecedented and truly innovative approach to proteomics, we believe that Nautilus is poised to not only elevate, but radically reinvent our understanding of the proteome,” said Adam Stone, Chief Investment Officer of Perceptive Advisors and former CEO of Arya III. “We are proud to partner with Nautilus in hopes of driving the proteomics revolution toward better health and medical interventions.”</w:t>
      </w:r>
    </w:p>
    <w:p>
      <w:pPr>
        <w:spacing w:after="0" w:line="124"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“We’re committed to taking a bold scientific leap toward democratizing access to the proteome and transforming how human disease is fundamentally understood and treated,” said Parag Mallick, Chief Scientist of Nautilus. “By delivering the simplicity, speed, sensitivity and ubiquity that will truly unlock the potential of the proteome, we believe we can open a path to endless opportunities in scientific discovery, from discovering new therapies and diagnostics to revolutionizing basic science research.”</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Summary of Transaction</w:t>
      </w:r>
    </w:p>
    <w:p>
      <w:pPr>
        <w:spacing w:after="0" w:line="4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description of the business combination contained herein is only a high-level summary and is qualified in its entirety by reference to the underlying documents filed with the U.S. Securities and Exchange Commission (“SEC”). A more detailed description of the terms of the transaction has been provided in a registration statement on Form S-4 filed with the SEC BY Arya III, which the SEC has declared effective and which contains a definitive proxy/final prospectus relating to the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42"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Morgan Stanley acted as lead financial advisor to Nautilus Biotechnology. Cowen also acted as financial advisor to Nautilus Biotechnology. Jefferies LLC and Goldman Sachs &amp; Co. LLC acted as financial advisors to Arya III as well as private placement agents. Wilson Sonsini Goodrich &amp; Rosati, P.C. acted as legal counsel to Nautilus Biotechnology. Kirkland &amp; Ellis LLP acted as legal counsel to Arya III.</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Nautilus Biotechnology, Inc.</w:t>
      </w:r>
    </w:p>
    <w:p>
      <w:pPr>
        <w:spacing w:after="0" w:line="42"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nautilus.bio</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4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You can identify forward-looking statements by words such as “may,” “will,” “could,” “can,” “would,” “should,” “expect,” “intend,” “plan,” “anticipate,” “believe,” “estimate,” “predict,” “project,” “potential,” “poised,” “continue,” “ongoing” or the negative of these terms or other comparable terminology, but not all forward-looking statements will contain these words. Forward-looking statements in this press release include, but are not limited to, statements regarding the potential functionality and performance of Nautilus’ product platform, its potential impact on pharmaceutical development and drug discovery, and market opportunities available to Nautilus generally. These statements are based on numerous assumptions concerning the development</w:t>
      </w:r>
    </w:p>
    <w:p>
      <w:pPr>
        <w:sectPr>
          <w:pgSz w:w="11900" w:h="16838" w:orient="portrait"/>
          <w:cols w:equalWidth="0" w:num="1">
            <w:col w:w="11240"/>
          </w:cols>
          <w:pgMar w:left="300" w:top="1186" w:right="359" w:bottom="1440" w:gutter="0" w:footer="0" w:header="0"/>
        </w:sectPr>
      </w:pPr>
    </w:p>
    <w:bookmarkStart w:id="134" w:name="page135"/>
    <w:bookmarkEnd w:id="134"/>
    <w:p>
      <w:pPr>
        <w:spacing w:after="0" w:line="268" w:lineRule="auto"/>
        <w:rPr>
          <w:sz w:val="20"/>
          <w:szCs w:val="20"/>
          <w:color w:val="auto"/>
        </w:rPr>
      </w:pPr>
      <w:r>
        <w:rPr>
          <w:rFonts w:ascii="Arial" w:cs="Arial" w:eastAsia="Arial" w:hAnsi="Arial"/>
          <w:sz w:val="16"/>
          <w:szCs w:val="16"/>
          <w:color w:val="auto"/>
        </w:rPr>
        <w:t>of Nautilus’ products and target markets and involve substantial risks, uncertainties and other factors that may cause actual results, levels of activity, performance or achievement to be materially different from the information expressed or implied by these forward-looking statements. We cannot assure you that the forward-looking statements in this press release or the assumptions upon which they are based will prove to be accurate.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and commercialization initiatives or with respect to their associated timelines. For a more detailed description of additional risks and uncertainties facing Nautilus and its development efforts, investors should refer to the Registration Statement on Form S-4 and related filings filed by Arya III with the SEC. The forward-looking statements in this press release are as of the date of this press release. Except as otherwise required by applicable law, Nautilus and Arya III disclaim any duty to update any forward-looking statements. You should, therefore, not rely on these forward-looking statements as representing our views as of any date subsequent to the date of this press release.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Contact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Thermal for Nautilus Biotechnology</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Kaustuva Das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press@nautilus.bio</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Contact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investorrelations@nautilus.bio</w:t>
      </w:r>
    </w:p>
    <w:sectPr>
      <w:pgSz w:w="11900" w:h="16838" w:orient="portrait"/>
      <w:cols w:equalWidth="0" w:num="1">
        <w:col w:w="11240"/>
      </w:cols>
      <w:pgMar w:left="300" w:top="11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decimal"/>
      <w:start w:val="1"/>
    </w:lvl>
  </w:abstractNum>
  <w:abstractNum w:abstractNumId="14">
    <w:nsid w:val="61574095"/>
    <w:multiLevelType w:val="hybridMultilevel"/>
    <w:lvl w:ilvl="0">
      <w:lvlJc w:val="left"/>
      <w:lvlText w:val="(%1)"/>
      <w:numFmt w:val="decimal"/>
      <w:start w:val="13"/>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lowerLetter"/>
      <w:start w:val="2"/>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lowerLetter"/>
      <w:start w:val="1"/>
    </w:lvl>
  </w:abstractNum>
  <w:abstractNum w:abstractNumId="23">
    <w:nsid w:val="4AD084E9"/>
    <w:multiLevelType w:val="hybridMultilevel"/>
    <w:lvl w:ilvl="0">
      <w:lvlJc w:val="left"/>
      <w:lvlText w:val="(%1)"/>
      <w:numFmt w:val="lowerLetter"/>
      <w:start w:val="1"/>
    </w:lvl>
    <w:lvl w:ilvl="1">
      <w:lvlJc w:val="left"/>
      <w:lvlText w:val="(%2)"/>
      <w:numFmt w:val="lowerLetter"/>
      <w:start w:val="9"/>
    </w:lvl>
  </w:abstractNum>
  <w:abstractNum w:abstractNumId="24">
    <w:nsid w:val="1F48EAA1"/>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5">
    <w:nsid w:val="1381823A"/>
    <w:multiLevelType w:val="hybridMultilevel"/>
    <w:lvl w:ilvl="0">
      <w:lvlJc w:val="left"/>
      <w:lvlText w:val="%1"/>
      <w:numFmt w:val="decimal"/>
      <w:start w:val="1"/>
    </w:lvl>
    <w:lvl w:ilvl="1">
      <w:lvlJc w:val="left"/>
      <w:lvlText w:val="(%2)"/>
      <w:numFmt w:val="upperLetter"/>
      <w:start w:val="4"/>
    </w:lvl>
  </w:abstractNum>
  <w:abstractNum w:abstractNumId="26">
    <w:nsid w:val="5DB70AE5"/>
    <w:multiLevelType w:val="hybridMultilevel"/>
    <w:lvl w:ilvl="0">
      <w:lvlJc w:val="left"/>
      <w:lvlText w:val="(%1)"/>
      <w:numFmt w:val="decimal"/>
      <w:start w:val="2"/>
    </w:lvl>
    <w:lvl w:ilvl="1">
      <w:lvlJc w:val="left"/>
      <w:lvlText w:val="(%2)"/>
      <w:numFmt w:val="upperLetter"/>
      <w:start w:val="1"/>
    </w:lvl>
  </w:abstractNum>
  <w:abstractNum w:abstractNumId="27">
    <w:nsid w:val="100F8FCA"/>
    <w:multiLevelType w:val="hybridMultilevel"/>
    <w:lvl w:ilvl="0">
      <w:lvlJc w:val="left"/>
      <w:lvlText w:val="%1"/>
      <w:numFmt w:val="lowerRoman"/>
      <w:start w:val="1"/>
    </w:lvl>
    <w:lvl w:ilvl="1">
      <w:lvlJc w:val="left"/>
      <w:lvlText w:val="(%2)"/>
      <w:numFmt w:val="upperLetter"/>
      <w:start w:val="6"/>
    </w:lvl>
  </w:abstractNum>
  <w:abstractNum w:abstractNumId="28">
    <w:nsid w:val="6590700B"/>
    <w:multiLevelType w:val="hybridMultilevel"/>
    <w:lvl w:ilvl="0">
      <w:lvlJc w:val="left"/>
      <w:lvlText w:val="(%1)"/>
      <w:numFmt w:val="lowerRoman"/>
      <w:start w:val="4"/>
    </w:lvl>
    <w:lvl w:ilvl="1">
      <w:lvlJc w:val="left"/>
      <w:lvlText w:val="%2"/>
      <w:numFmt w:val="upperLetter"/>
      <w:start w:val="1"/>
    </w:lvl>
  </w:abstractNum>
  <w:abstractNum w:abstractNumId="29">
    <w:nsid w:val="15014AC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0">
    <w:nsid w:val="5F5E7FD0"/>
    <w:multiLevelType w:val="hybridMultilevel"/>
    <w:lvl w:ilvl="0">
      <w:lvlJc w:val="left"/>
      <w:lvlText w:val="(%1)"/>
      <w:numFmt w:val="lowerRoman"/>
      <w:start w:val="4"/>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lowerLetter"/>
      <w:start w:val="1"/>
    </w:lvl>
  </w:abstractNum>
  <w:abstractNum w:abstractNumId="33">
    <w:nsid w:val="6B94764"/>
    <w:multiLevelType w:val="hybridMultilevel"/>
    <w:lvl w:ilvl="0">
      <w:lvlJc w:val="left"/>
      <w:lvlText w:val="(%1)"/>
      <w:numFmt w:val="lowerLetter"/>
      <w:start w:val="1"/>
    </w:lvl>
  </w:abstractNum>
  <w:abstractNum w:abstractNumId="34">
    <w:nsid w:val="42C296BD"/>
    <w:multiLevelType w:val="hybridMultilevel"/>
    <w:lvl w:ilvl="0">
      <w:lvlJc w:val="left"/>
      <w:lvlText w:val="(%1)"/>
      <w:numFmt w:val="lowerLetter"/>
      <w:start w:val="1"/>
    </w:lvl>
  </w:abstractNum>
  <w:abstractNum w:abstractNumId="35">
    <w:nsid w:val="168E121F"/>
    <w:multiLevelType w:val="hybridMultilevel"/>
    <w:lvl w:ilvl="0">
      <w:lvlJc w:val="left"/>
      <w:lvlText w:val="(%1)"/>
      <w:numFmt w:val="lowerLetter"/>
      <w:start w:val="2"/>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3"/>
    </w:lvl>
    <w:lvl w:ilvl="1">
      <w:lvlJc w:val="left"/>
      <w:lvlText w:val="(%2)"/>
      <w:numFmt w:val="lowerRoman"/>
      <w:start w:val="1"/>
    </w:lvl>
  </w:abstractNum>
  <w:abstractNum w:abstractNumId="38">
    <w:nsid w:val="5DC79EA8"/>
    <w:multiLevelType w:val="hybridMultilevel"/>
    <w:lvl w:ilvl="0">
      <w:lvlJc w:val="left"/>
      <w:lvlText w:val="(%1)"/>
      <w:numFmt w:val="lowerLetter"/>
      <w:start w:val="1"/>
    </w:lvl>
  </w:abstractNum>
  <w:abstractNum w:abstractNumId="39">
    <w:nsid w:val="540A471C"/>
    <w:multiLevelType w:val="hybridMultilevel"/>
    <w:lvl w:ilvl="0">
      <w:lvlJc w:val="left"/>
      <w:lvlText w:val="%1."/>
      <w:numFmt w:val="decimal"/>
      <w:start w:val="1"/>
    </w:lvl>
    <w:lvl w:ilvl="1">
      <w:lvlJc w:val="left"/>
      <w:lvlText w:val="•"/>
      <w:numFmt w:val="bullet"/>
      <w:start w:val="1"/>
    </w:lvl>
  </w:abstractNum>
  <w:abstractNum w:abstractNumId="40">
    <w:nsid w:val="7BD3EE7B"/>
    <w:multiLevelType w:val="hybridMultilevel"/>
    <w:lvl w:ilvl="0">
      <w:lvlJc w:val="left"/>
      <w:lvlText w:val="%1."/>
      <w:numFmt w:val="decimal"/>
      <w:start w:val="2"/>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3"/>
    </w:lvl>
  </w:abstractNum>
  <w:abstractNum w:abstractNumId="43">
    <w:nsid w:val="BF72B14"/>
    <w:multiLevelType w:val="hybridMultilevel"/>
    <w:lvl w:ilvl="0">
      <w:lvlJc w:val="left"/>
      <w:lvlText w:val="(%1)"/>
      <w:numFmt w:val="lowerLetter"/>
      <w:start w:val="1"/>
    </w:lvl>
  </w:abstractNum>
  <w:abstractNum w:abstractNumId="44">
    <w:nsid w:val="11447B73"/>
    <w:multiLevelType w:val="hybridMultilevel"/>
    <w:lvl w:ilvl="0">
      <w:lvlJc w:val="left"/>
      <w:lvlText w:val="%1."/>
      <w:numFmt w:val="decimal"/>
      <w:start w:val="3"/>
    </w:lvl>
  </w:abstractNum>
  <w:abstractNum w:abstractNumId="45">
    <w:nsid w:val="42963E5A"/>
    <w:multiLevelType w:val="hybridMultilevel"/>
    <w:lvl w:ilvl="0">
      <w:lvlJc w:val="left"/>
      <w:lvlText w:val="%1."/>
      <w:numFmt w:val="decimal"/>
      <w:start w:val="4"/>
    </w:lvl>
  </w:abstractNum>
  <w:abstractNum w:abstractNumId="46">
    <w:nsid w:val="A0382C5"/>
    <w:multiLevelType w:val="hybridMultilevel"/>
    <w:lvl w:ilvl="0">
      <w:lvlJc w:val="left"/>
      <w:lvlText w:val="(%1)"/>
      <w:numFmt w:val="lowerLetter"/>
      <w:start w:val="1"/>
    </w:lvl>
  </w:abstractNum>
  <w:abstractNum w:abstractNumId="47">
    <w:nsid w:val="8F2B15E"/>
    <w:multiLevelType w:val="hybridMultilevel"/>
    <w:lvl w:ilvl="0">
      <w:lvlJc w:val="left"/>
      <w:lvlText w:val="(%1)"/>
      <w:numFmt w:val="lowerLetter"/>
      <w:start w:val="13"/>
    </w:lvl>
  </w:abstractNum>
  <w:abstractNum w:abstractNumId="48">
    <w:nsid w:val="1A32234B"/>
    <w:multiLevelType w:val="hybridMultilevel"/>
    <w:lvl w:ilvl="0">
      <w:lvlJc w:val="left"/>
      <w:lvlText w:val="%1."/>
      <w:numFmt w:val="decimal"/>
      <w:start w:val="5"/>
    </w:lvl>
  </w:abstractNum>
  <w:abstractNum w:abstractNumId="49">
    <w:nsid w:val="3B0FD379"/>
    <w:multiLevelType w:val="hybridMultilevel"/>
    <w:lvl w:ilvl="0">
      <w:lvlJc w:val="left"/>
      <w:lvlText w:val="%1"/>
      <w:numFmt w:val="decimal"/>
      <w:start w:val="1"/>
    </w:lvl>
    <w:lvl w:ilvl="1">
      <w:lvlJc w:val="left"/>
      <w:lvlText w:val="(%2)"/>
      <w:numFmt w:val="lowerLetter"/>
      <w:start w:val="1"/>
    </w:lvl>
  </w:abstractNum>
  <w:abstractNum w:abstractNumId="50">
    <w:nsid w:val="68EB2F63"/>
    <w:multiLevelType w:val="hybridMultilevel"/>
    <w:lvl w:ilvl="0">
      <w:lvlJc w:val="left"/>
      <w:lvlText w:val="%1."/>
      <w:numFmt w:val="decimal"/>
      <w:start w:val="7"/>
    </w:lvl>
    <w:lvl w:ilvl="1">
      <w:lvlJc w:val="left"/>
      <w:lvlText w:val="%2"/>
      <w:numFmt w:val="lowerLetter"/>
      <w:start w:val="1"/>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decimal"/>
      <w:start w:val="8"/>
    </w:lvl>
  </w:abstractNum>
  <w:abstractNum w:abstractNumId="53">
    <w:nsid w:val="6A5EE64"/>
    <w:multiLevelType w:val="hybridMultilevel"/>
    <w:lvl w:ilvl="0">
      <w:lvlJc w:val="left"/>
      <w:lvlText w:val="%1."/>
      <w:numFmt w:val="decimal"/>
      <w:start w:val="9"/>
    </w:lvl>
  </w:abstractNum>
  <w:abstractNum w:abstractNumId="54">
    <w:nsid w:val="14330624"/>
    <w:multiLevelType w:val="hybridMultilevel"/>
    <w:lvl w:ilvl="0">
      <w:lvlJc w:val="left"/>
      <w:lvlText w:val="%1."/>
      <w:numFmt w:val="decimal"/>
      <w:start w:val="10"/>
    </w:lvl>
  </w:abstractNum>
  <w:abstractNum w:abstractNumId="55">
    <w:nsid w:val="7FFFCA11"/>
    <w:multiLevelType w:val="hybridMultilevel"/>
    <w:lvl w:ilvl="0">
      <w:lvlJc w:val="left"/>
      <w:lvlText w:val="%1."/>
      <w:numFmt w:val="decimal"/>
      <w:start w:val="11"/>
    </w:lvl>
  </w:abstractNum>
  <w:abstractNum w:abstractNumId="56">
    <w:nsid w:val="1A27709E"/>
    <w:multiLevelType w:val="hybridMultilevel"/>
    <w:lvl w:ilvl="0">
      <w:lvlJc w:val="left"/>
      <w:lvlText w:val="(%1)"/>
      <w:numFmt w:val="lowerLetter"/>
      <w:start w:val="1"/>
    </w:lvl>
    <w:lvl w:ilvl="1">
      <w:lvlJc w:val="left"/>
      <w:lvlText w:val="%2."/>
      <w:numFmt w:val="decimal"/>
      <w:start w:val="12"/>
    </w:lvl>
  </w:abstractNum>
  <w:abstractNum w:abstractNumId="57">
    <w:nsid w:val="71EA1109"/>
    <w:multiLevelType w:val="hybridMultilevel"/>
    <w:lvl w:ilvl="0">
      <w:lvlJc w:val="left"/>
      <w:lvlText w:val="%1."/>
      <w:numFmt w:val="decimal"/>
      <w:start w:val="16"/>
    </w:lvl>
  </w:abstractNum>
  <w:abstractNum w:abstractNumId="58">
    <w:nsid w:val="100F59DC"/>
    <w:multiLevelType w:val="hybridMultilevel"/>
    <w:lvl w:ilvl="0">
      <w:lvlJc w:val="left"/>
      <w:lvlText w:val="%1."/>
      <w:numFmt w:val="decimal"/>
      <w:start w:val="17"/>
    </w:lvl>
  </w:abstractNum>
  <w:abstractNum w:abstractNumId="59">
    <w:nsid w:val="7FB7E0AA"/>
    <w:multiLevelType w:val="hybridMultilevel"/>
    <w:lvl w:ilvl="0">
      <w:lvlJc w:val="left"/>
      <w:lvlText w:val="%1"/>
      <w:numFmt w:val="lowerLetter"/>
      <w:start w:val="1"/>
    </w:lvl>
    <w:lvl w:ilvl="1">
      <w:lvlJc w:val="left"/>
      <w:lvlText w:val="%2."/>
      <w:numFmt w:val="decimal"/>
      <w:start w:val="18"/>
    </w:lvl>
  </w:abstractNum>
  <w:abstractNum w:abstractNumId="60">
    <w:nsid w:val="6EB5BD4"/>
    <w:multiLevelType w:val="hybridMultilevel"/>
    <w:lvl w:ilvl="0">
      <w:lvlJc w:val="left"/>
      <w:lvlText w:val="(%1)"/>
      <w:numFmt w:val="lowerLetter"/>
      <w:start w:val="3"/>
    </w:lvl>
    <w:lvl w:ilvl="1">
      <w:lvlJc w:val="left"/>
      <w:lvlText w:val="%2."/>
      <w:numFmt w:val="decimal"/>
      <w:start w:val="20"/>
    </w:lvl>
  </w:abstractNum>
  <w:abstractNum w:abstractNumId="61">
    <w:nsid w:val="6F6DD9AC"/>
    <w:multiLevelType w:val="hybridMultilevel"/>
    <w:lvl w:ilvl="0">
      <w:lvlJc w:val="left"/>
      <w:lvlText w:val="%1."/>
      <w:numFmt w:val="decimal"/>
      <w:start w:val="21"/>
    </w:lvl>
  </w:abstractNum>
  <w:abstractNum w:abstractNumId="62">
    <w:nsid w:val="94211F2"/>
    <w:multiLevelType w:val="hybridMultilevel"/>
    <w:lvl w:ilvl="0">
      <w:lvlJc w:val="left"/>
      <w:lvlText w:val="%1."/>
      <w:numFmt w:val="decimal"/>
      <w:start w:val="22"/>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3"/>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Letter"/>
      <w:start w:val="2"/>
    </w:lvl>
  </w:abstractNum>
  <w:abstractNum w:abstractNumId="68">
    <w:nsid w:val="3222E7CD"/>
    <w:multiLevelType w:val="hybridMultilevel"/>
    <w:lvl w:ilvl="0">
      <w:lvlJc w:val="left"/>
      <w:lvlText w:val="%1."/>
      <w:numFmt w:val="decimal"/>
      <w:start w:val="3"/>
    </w:lvl>
  </w:abstractNum>
  <w:abstractNum w:abstractNumId="69">
    <w:nsid w:val="74DE0EE3"/>
    <w:multiLevelType w:val="hybridMultilevel"/>
    <w:lvl w:ilvl="0">
      <w:lvlJc w:val="left"/>
      <w:lvlText w:val="%1."/>
      <w:numFmt w:val="decimal"/>
      <w:start w:val="4"/>
    </w:lvl>
    <w:lvl w:ilvl="1">
      <w:lvlJc w:val="left"/>
      <w:lvlText w:val="(%2)"/>
      <w:numFmt w:val="lowerLetter"/>
      <w:start w:val="1"/>
    </w:lvl>
  </w:abstractNum>
  <w:abstractNum w:abstractNumId="70">
    <w:nsid w:val="68EBC550"/>
    <w:multiLevelType w:val="hybridMultilevel"/>
    <w:lvl w:ilvl="0">
      <w:lvlJc w:val="left"/>
      <w:lvlText w:val="%1."/>
      <w:numFmt w:val="decimal"/>
      <w:start w:val="5"/>
    </w:lvl>
  </w:abstractNum>
  <w:abstractNum w:abstractNumId="71">
    <w:nsid w:val="2DF6D648"/>
    <w:multiLevelType w:val="hybridMultilevel"/>
    <w:lvl w:ilvl="0">
      <w:lvlJc w:val="left"/>
      <w:lvlText w:val="%1."/>
      <w:numFmt w:val="decimal"/>
      <w:start w:val="6"/>
    </w:lvl>
  </w:abstractNum>
  <w:abstractNum w:abstractNumId="72">
    <w:nsid w:val="46B7D447"/>
    <w:multiLevelType w:val="hybridMultilevel"/>
    <w:lvl w:ilvl="0">
      <w:lvlJc w:val="left"/>
      <w:lvlText w:val="%1."/>
      <w:numFmt w:val="decimal"/>
      <w:start w:val="8"/>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decimal"/>
      <w:start w:val="9"/>
    </w:lvl>
  </w:abstractNum>
  <w:abstractNum w:abstractNumId="76">
    <w:nsid w:val="CC1016F"/>
    <w:multiLevelType w:val="hybridMultilevel"/>
    <w:lvl w:ilvl="0">
      <w:lvlJc w:val="left"/>
      <w:lvlText w:val="%1."/>
      <w:numFmt w:val="decimal"/>
      <w:start w:val="10"/>
    </w:lvl>
  </w:abstractNum>
  <w:abstractNum w:abstractNumId="77">
    <w:nsid w:val="43F18422"/>
    <w:multiLevelType w:val="hybridMultilevel"/>
    <w:lvl w:ilvl="0">
      <w:lvlJc w:val="left"/>
      <w:lvlText w:val="%1."/>
      <w:numFmt w:val="decimal"/>
      <w:start w:val="11"/>
    </w:lvl>
  </w:abstractNum>
  <w:abstractNum w:abstractNumId="78">
    <w:nsid w:val="60EF0119"/>
    <w:multiLevelType w:val="hybridMultilevel"/>
    <w:lvl w:ilvl="0">
      <w:lvlJc w:val="left"/>
      <w:lvlText w:val="%1."/>
      <w:numFmt w:val="decimal"/>
      <w:start w:val="13"/>
    </w:lvl>
  </w:abstractNum>
  <w:abstractNum w:abstractNumId="79">
    <w:nsid w:val="26F324BA"/>
    <w:multiLevelType w:val="hybridMultilevel"/>
    <w:lvl w:ilvl="0">
      <w:lvlJc w:val="left"/>
      <w:lvlText w:val="%1."/>
      <w:numFmt w:val="decimal"/>
      <w:start w:val="17"/>
    </w:lvl>
  </w:abstractNum>
  <w:abstractNum w:abstractNumId="80">
    <w:nsid w:val="7F01579B"/>
    <w:multiLevelType w:val="hybridMultilevel"/>
    <w:lvl w:ilvl="0">
      <w:lvlJc w:val="left"/>
      <w:lvlText w:val="%1."/>
      <w:numFmt w:val="decimal"/>
      <w:start w:val="18"/>
    </w:lvl>
  </w:abstractNum>
  <w:abstractNum w:abstractNumId="81">
    <w:nsid w:val="49DA307D"/>
    <w:multiLevelType w:val="hybridMultilevel"/>
    <w:lvl w:ilvl="0">
      <w:lvlJc w:val="left"/>
      <w:lvlText w:val="(%1)"/>
      <w:numFmt w:val="lowerLetter"/>
      <w:start w:val="1"/>
    </w:lvl>
  </w:abstractNum>
  <w:abstractNum w:abstractNumId="82">
    <w:nsid w:val="7055A5F5"/>
    <w:multiLevelType w:val="hybridMultilevel"/>
    <w:lvl w:ilvl="0">
      <w:lvlJc w:val="left"/>
      <w:lvlText w:val="%1."/>
      <w:numFmt w:val="decimal"/>
      <w:start w:val="19"/>
    </w:lvl>
  </w:abstractNum>
  <w:abstractNum w:abstractNumId="83">
    <w:nsid w:val="5FB8370B"/>
    <w:multiLevelType w:val="hybridMultilevel"/>
    <w:lvl w:ilvl="0">
      <w:lvlJc w:val="left"/>
      <w:lvlText w:val="%1."/>
      <w:numFmt w:val="decimal"/>
      <w:start w:val="20"/>
    </w:lvl>
  </w:abstractNum>
  <w:abstractNum w:abstractNumId="84">
    <w:nsid w:val="50801EE1"/>
    <w:multiLevelType w:val="hybridMultilevel"/>
    <w:lvl w:ilvl="0">
      <w:lvlJc w:val="left"/>
      <w:lvlText w:val="%1."/>
      <w:numFmt w:val="decimal"/>
      <w:start w:val="25"/>
    </w:lvl>
  </w:abstractNum>
  <w:abstractNum w:abstractNumId="85">
    <w:nsid w:val="488AC1A"/>
    <w:multiLevelType w:val="hybridMultilevel"/>
    <w:lvl w:ilvl="0">
      <w:lvlJc w:val="left"/>
      <w:lvlText w:val="•"/>
      <w:numFmt w:val="bullet"/>
      <w:start w:val="1"/>
    </w:lvl>
    <w:lvl w:ilvl="1">
      <w:lvlJc w:val="left"/>
      <w:lvlText w:val="*"/>
      <w:numFmt w:val="bullet"/>
      <w:start w:val="1"/>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1."/>
      <w:numFmt w:val="decimal"/>
      <w:start w:val="3"/>
    </w:lvl>
  </w:abstractNum>
  <w:abstractNum w:abstractNumId="88">
    <w:nsid w:val="7672BD23"/>
    <w:multiLevelType w:val="hybridMultilevel"/>
    <w:lvl w:ilvl="0">
      <w:lvlJc w:val="left"/>
      <w:lvlText w:val="%1."/>
      <w:numFmt w:val="decimal"/>
      <w:start w:val="6"/>
    </w:lvl>
  </w:abstractNum>
  <w:abstractNum w:abstractNumId="89">
    <w:nsid w:val="6FC75AF8"/>
    <w:multiLevelType w:val="hybridMultilevel"/>
    <w:lvl w:ilvl="0">
      <w:lvlJc w:val="left"/>
      <w:lvlText w:val="%1."/>
      <w:numFmt w:val="decimal"/>
      <w:start w:val="7"/>
    </w:lvl>
  </w:abstractNum>
  <w:abstractNum w:abstractNumId="90">
    <w:nsid w:val="6A5F7029"/>
    <w:multiLevelType w:val="hybridMultilevel"/>
    <w:lvl w:ilvl="0">
      <w:lvlJc w:val="left"/>
      <w:lvlText w:val="%1."/>
      <w:numFmt w:val="decimal"/>
      <w:start w:val="8"/>
    </w:lvl>
    <w:lvl w:ilvl="1">
      <w:lvlJc w:val="left"/>
      <w:lvlText w:val="(%2)"/>
      <w:numFmt w:val="lowerLetter"/>
      <w:start w:val="1"/>
    </w:lvl>
  </w:abstractNum>
  <w:abstractNum w:abstractNumId="91">
    <w:nsid w:val="7D5E18F8"/>
    <w:multiLevelType w:val="hybridMultilevel"/>
    <w:lvl w:ilvl="0">
      <w:lvlJc w:val="left"/>
      <w:lvlText w:val="%1"/>
      <w:numFmt w:val="decimal"/>
      <w:start w:val="1"/>
    </w:lvl>
    <w:lvl w:ilvl="1">
      <w:lvlJc w:val="left"/>
      <w:lvlText w:val="(%2)"/>
      <w:numFmt w:val="lowerLetter"/>
      <w:start w:val="7"/>
    </w:lvl>
  </w:abstractNum>
  <w:abstractNum w:abstractNumId="92">
    <w:nsid w:val="5F3534A4"/>
    <w:multiLevelType w:val="hybridMultilevel"/>
    <w:lvl w:ilvl="0">
      <w:lvlJc w:val="left"/>
      <w:lvlText w:val="%1."/>
      <w:numFmt w:val="decimal"/>
      <w:start w:val="8"/>
    </w:lvl>
    <w:lvl w:ilvl="1">
      <w:lvlJc w:val="left"/>
      <w:lvlText w:val="%2"/>
      <w:numFmt w:val="lowerLetter"/>
      <w:start w:val="1"/>
    </w:lvl>
  </w:abstractNum>
  <w:abstractNum w:abstractNumId="93">
    <w:nsid w:val="73A1821B"/>
    <w:multiLevelType w:val="hybridMultilevel"/>
    <w:lvl w:ilvl="0">
      <w:lvlJc w:val="left"/>
      <w:lvlText w:val="%1."/>
      <w:numFmt w:val="decimal"/>
      <w:start w:val="10"/>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decimal"/>
      <w:start w:val="2"/>
    </w:lvl>
  </w:abstractNum>
  <w:abstractNum w:abstractNumId="96">
    <w:nsid w:val="3FA62ACA"/>
    <w:multiLevelType w:val="hybridMultilevel"/>
    <w:lvl w:ilvl="0">
      <w:lvlJc w:val="left"/>
      <w:lvlText w:val="%1."/>
      <w:numFmt w:val="decimal"/>
      <w:start w:val="3"/>
    </w:lvl>
  </w:abstractNum>
  <w:abstractNum w:abstractNumId="97">
    <w:nsid w:val="14FCE74E"/>
    <w:multiLevelType w:val="hybridMultilevel"/>
    <w:lvl w:ilvl="0">
      <w:lvlJc w:val="left"/>
      <w:lvlText w:val="%1."/>
      <w:numFmt w:val="decimal"/>
      <w:start w:val="4"/>
    </w:lvl>
  </w:abstractNum>
  <w:abstractNum w:abstractNumId="98">
    <w:nsid w:val="6A3DD3E8"/>
    <w:multiLevelType w:val="hybridMultilevel"/>
    <w:lvl w:ilvl="0">
      <w:lvlJc w:val="left"/>
      <w:lvlText w:val="%1."/>
      <w:numFmt w:val="decimal"/>
      <w:start w:val="6"/>
    </w:lvl>
  </w:abstractNum>
  <w:abstractNum w:abstractNumId="99">
    <w:nsid w:val="71C91298"/>
    <w:multiLevelType w:val="hybridMultilevel"/>
    <w:lvl w:ilvl="0">
      <w:lvlJc w:val="left"/>
      <w:lvlText w:val="%1."/>
      <w:numFmt w:val="decimal"/>
      <w:start w:val="7"/>
    </w:lvl>
  </w:abstractNum>
  <w:abstractNum w:abstractNumId="100">
    <w:nsid w:val="9DAF632"/>
    <w:multiLevelType w:val="hybridMultilevel"/>
    <w:lvl w:ilvl="0">
      <w:lvlJc w:val="left"/>
      <w:lvlText w:val="%1."/>
      <w:numFmt w:val="decimal"/>
      <w:start w:val="8"/>
    </w:lvl>
  </w:abstractNum>
  <w:abstractNum w:abstractNumId="101">
    <w:nsid w:val="53299938"/>
    <w:multiLevelType w:val="hybridMultilevel"/>
    <w:lvl w:ilvl="0">
      <w:lvlJc w:val="left"/>
      <w:lvlText w:val="%1."/>
      <w:numFmt w:val="decimal"/>
      <w:start w:val="9"/>
    </w:lvl>
  </w:abstractNum>
  <w:abstractNum w:abstractNumId="102">
    <w:nsid w:val="1FBFE8E0"/>
    <w:multiLevelType w:val="hybridMultilevel"/>
    <w:lvl w:ilvl="0">
      <w:lvlJc w:val="left"/>
      <w:lvlText w:val="%1."/>
      <w:numFmt w:val="decimal"/>
      <w:start w:val="10"/>
    </w:lvl>
  </w:abstractNum>
  <w:abstractNum w:abstractNumId="103">
    <w:nsid w:val="5092CA79"/>
    <w:multiLevelType w:val="hybridMultilevel"/>
    <w:lvl w:ilvl="0">
      <w:lvlJc w:val="left"/>
      <w:lvlText w:val="%1."/>
      <w:numFmt w:val="decimal"/>
      <w:start w:val="1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1."/>
      <w:numFmt w:val="upperLetter"/>
      <w:start w:val="1"/>
    </w:lvl>
  </w:abstractNum>
  <w:abstractNum w:abstractNumId="107">
    <w:nsid w:val="2A155DBC"/>
    <w:multiLevelType w:val="hybridMultilevel"/>
    <w:lvl w:ilvl="0">
      <w:lvlJc w:val="left"/>
      <w:lvlText w:val="%1."/>
      <w:numFmt w:val="upperLetter"/>
      <w:start w:val="9"/>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50" Type="http://schemas.openxmlformats.org/officeDocument/2006/relationships/image" Target="media/image2.png"/><Relationship Id="rId51" Type="http://schemas.openxmlformats.org/officeDocument/2006/relationships/image" Target="media/image3.png"/><Relationship Id="rId52" Type="http://schemas.openxmlformats.org/officeDocument/2006/relationships/image" Target="media/image4.jpeg"/><Relationship Id="rId53" Type="http://schemas.openxmlformats.org/officeDocument/2006/relationships/image" Target="media/image5.jpeg"/><Relationship Id="rId54" Type="http://schemas.openxmlformats.org/officeDocument/2006/relationships/image" Target="media/image6.png"/><Relationship Id="rId55" Type="http://schemas.openxmlformats.org/officeDocument/2006/relationships/image" Target="media/image7.png"/><Relationship Id="rId56"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59"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image" Target="media/image13.png"/><Relationship Id="rId62"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7.png"/><Relationship Id="rId76" Type="http://schemas.openxmlformats.org/officeDocument/2006/relationships/image" Target="media/image28.png"/><Relationship Id="rId77" Type="http://schemas.openxmlformats.org/officeDocument/2006/relationships/image" Target="media/image29.png"/><Relationship Id="rId78" Type="http://schemas.openxmlformats.org/officeDocument/2006/relationships/image" Target="media/image30.png"/><Relationship Id="rId79" Type="http://schemas.openxmlformats.org/officeDocument/2006/relationships/image" Target="media/image31.png"/><Relationship Id="rId80" Type="http://schemas.openxmlformats.org/officeDocument/2006/relationships/image" Target="media/image32.png"/><Relationship Id="rId81" Type="http://schemas.openxmlformats.org/officeDocument/2006/relationships/image" Target="media/image33.png"/><Relationship Id="rId82" Type="http://schemas.openxmlformats.org/officeDocument/2006/relationships/image" Target="media/image34.png"/><Relationship Id="rId83" Type="http://schemas.openxmlformats.org/officeDocument/2006/relationships/image" Target="media/image35.png"/><Relationship Id="rId84" Type="http://schemas.openxmlformats.org/officeDocument/2006/relationships/image" Target="media/image36.png"/><Relationship Id="rId85" Type="http://schemas.openxmlformats.org/officeDocument/2006/relationships/image" Target="media/image37.png"/><Relationship Id="rId86" Type="http://schemas.openxmlformats.org/officeDocument/2006/relationships/image" Target="media/image38.png"/><Relationship Id="rId87" Type="http://schemas.openxmlformats.org/officeDocument/2006/relationships/image" Target="media/image39.png"/><Relationship Id="rId88" Type="http://schemas.openxmlformats.org/officeDocument/2006/relationships/image" Target="media/image40.png"/><Relationship Id="rId8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png"/><Relationship Id="rId9" Type="http://schemas.openxmlformats.org/officeDocument/2006/relationships/hyperlink" Target="https://www.sec.gov/ix?doc=/Archives/edgar/data/0001808805/000162828021010069/arya-20210513.htm#if2baefd677284383b89cb6f605e45e0e_227" TargetMode="External"/><Relationship Id="rId10" Type="http://schemas.openxmlformats.org/officeDocument/2006/relationships/hyperlink" Target="https://www.sec.gov/ix?doc=/Archives/edgar/data/0001808805/000162828021010069/arya-20210513.htm#if2baefd677284383b89cb6f605e45e0e_237" TargetMode="External"/><Relationship Id="rId11" Type="http://schemas.openxmlformats.org/officeDocument/2006/relationships/hyperlink" Target="https://www.sec.gov/ix?doc=/Archives/edgar/data/0001808805/000162828021010069/arya-20210513.htm#if2baefd677284383b89cb6f605e45e0e_867" TargetMode="External"/><Relationship Id="rId12" Type="http://schemas.openxmlformats.org/officeDocument/2006/relationships/hyperlink" Target="https://www.sec.gov/ix?doc=/Archives/edgar/data/0001808805/000162828021010069/arya-20210513.htm#if2baefd677284383b89cb6f605e45e0e_186" TargetMode="External"/><Relationship Id="rId13" Type="http://schemas.openxmlformats.org/officeDocument/2006/relationships/hyperlink" Target="https://www.sec.gov/ix?doc=/Archives/edgar/data/0001808805/000162828021010069/arya-20210513.htm#if2baefd677284383b89cb6f605e45e0e_1" TargetMode="External"/><Relationship Id="rId14" Type="http://schemas.openxmlformats.org/officeDocument/2006/relationships/hyperlink" Target="https://www.sec.gov/ix?doc=/Archives/edgar/data/0001808805/000162828021010069/arya-20210513.htm#if2baefd677284383b89cb6f605e45e0e_288" TargetMode="External"/><Relationship Id="rId15" Type="http://schemas.openxmlformats.org/officeDocument/2006/relationships/hyperlink" Target="https://www.sec.gov/ix?doc=/Archives/edgar/data/0001808805/000162828021010069/arya-20210513.htm#if2baefd677284383b89cb6f605e45e0e_326" TargetMode="External"/><Relationship Id="rId16" Type="http://schemas.openxmlformats.org/officeDocument/2006/relationships/hyperlink" Target="https://www.sec.gov/ix?doc=/Archives/edgar/data/0001808805/000162828021010069/arya-20210513.htm#if2baefd677284383b89cb6f605e45e0e_331" TargetMode="External"/><Relationship Id="rId17" Type="http://schemas.openxmlformats.org/officeDocument/2006/relationships/hyperlink" Target="https://www.sec.gov/ix?doc=/Archives/edgar/data/0001808805/000162828021010069/arya-20210513.htm#if2baefd677284383b89cb6f605e45e0e_260" TargetMode="External"/><Relationship Id="rId18" Type="http://schemas.openxmlformats.org/officeDocument/2006/relationships/hyperlink" Target="https://www.sec.gov/ix?doc=/Archives/edgar/data/0001808805/000162828021010069/arya-20210513.htm#if2baefd677284383b89cb6f605e45e0e_207" TargetMode="External"/><Relationship Id="rId19" Type="http://schemas.openxmlformats.org/officeDocument/2006/relationships/hyperlink" Target="https://www.sec.gov/ix?doc=/Archives/edgar/data/0001808805/000162828021010069/arya-20210513.htm#if2baefd677284383b89cb6f605e45e0e_1050" TargetMode="External"/><Relationship Id="rId20" Type="http://schemas.openxmlformats.org/officeDocument/2006/relationships/hyperlink" Target="https://www.sec.gov/ix?doc=/Archives/edgar/data/0001808805/000162828021010069/arya-20210513.htm#if2baefd677284383b89cb6f605e45e0e_2023" TargetMode="External"/><Relationship Id="rId21" Type="http://schemas.openxmlformats.org/officeDocument/2006/relationships/hyperlink" Target="https://www.sec.gov/ix?doc=/Archives/edgar/data/0001808805/000162828021010069/arya-20210513.htm#if2baefd677284383b89cb6f605e45e0e_316" TargetMode="External"/><Relationship Id="rId22" Type="http://schemas.openxmlformats.org/officeDocument/2006/relationships/hyperlink" Target="https://www.sec.gov/ix?doc=/Archives/edgar/data/0001808805/000162828021010069/arya-20210513.htm#if2baefd677284383b89cb6f605e45e0e_306" TargetMode="External"/><Relationship Id="rId23" Type="http://schemas.openxmlformats.org/officeDocument/2006/relationships/hyperlink" Target="https://www.sec.gov/ix?doc=/Archives/edgar/data/0001808805/000162828021010069/arya-20210513.htm#if2baefd677284383b89cb6f605e45e0e_222" TargetMode="External"/><Relationship Id="rId24" Type="http://schemas.openxmlformats.org/officeDocument/2006/relationships/hyperlink" Target="https://www.sec.gov/ix?doc=/Archives/edgar/data/0001808805/000162828021010069/arya-20210513.htm#if2baefd677284383b89cb6f605e45e0e_1015" TargetMode="External"/><Relationship Id="rId25" Type="http://schemas.openxmlformats.org/officeDocument/2006/relationships/hyperlink" Target="https://www.sec.gov/ix?doc=/Archives/edgar/data/0001808805/000162828021010069/arya-20210513.htm#if2baefd677284383b89cb6f605e45e0e_217" TargetMode="External"/><Relationship Id="rId26" Type="http://schemas.openxmlformats.org/officeDocument/2006/relationships/hyperlink" Target="https://www.sec.gov/ix?doc=/Archives/edgar/data/0001808805/000162828021010069/arya-20210513.htm#if2baefd677284383b89cb6f605e45e0e_311" TargetMode="External"/><Relationship Id="rId27" Type="http://schemas.openxmlformats.org/officeDocument/2006/relationships/hyperlink" Target="https://www.sec.gov/ix?doc=/Archives/edgar/data/0001808805/000162828021010069/arya-20210513.htm#if2baefd677284383b89cb6f605e45e0e_464" TargetMode="External"/><Relationship Id="rId28" Type="http://schemas.openxmlformats.org/officeDocument/2006/relationships/hyperlink" Target="https://www.sec.gov/Archives/edgar/data/1808805/000114036121003650/brhc10019858_ex2-1.htm" TargetMode="External"/><Relationship Id="rId29" Type="http://schemas.openxmlformats.org/officeDocument/2006/relationships/hyperlink" Target="https://www.sec.gov/Archives/edgar/data/1808805/000114036121003650/brhc10019858_ex10-3.htm" TargetMode="External"/><Relationship Id="rId30" Type="http://schemas.openxmlformats.org/officeDocument/2006/relationships/hyperlink" Target="https://www.sec.gov/Archives/edgar/data/0001808805/000114036121003650/brhc10019858_ex10-2.htm" TargetMode="External"/><Relationship Id="rId31" Type="http://schemas.openxmlformats.org/officeDocument/2006/relationships/hyperlink" Target="https://www.sec.gov/Archives/edgar/data/0001808805/000114036121003650/brhc10019858_ex2-1.htm" TargetMode="External"/><Relationship Id="rId32" Type="http://schemas.openxmlformats.org/officeDocument/2006/relationships/hyperlink" Target="https://www.sec.gov/Archives/edgar/data/1808805/000162828021005786/exhibit107-sx4.htm" TargetMode="External"/><Relationship Id="rId33" Type="http://schemas.openxmlformats.org/officeDocument/2006/relationships/hyperlink" Target="https://www.sec.gov/Archives/edgar/data/1808805/000162828021005786/exhibit108-sx4.htm" TargetMode="External"/><Relationship Id="rId34" Type="http://schemas.openxmlformats.org/officeDocument/2006/relationships/hyperlink" Target="https://www.sec.gov/Archives/edgar/data/1808805/000162828021005786/exhibit109-sx4.htm" TargetMode="External"/><Relationship Id="rId35" Type="http://schemas.openxmlformats.org/officeDocument/2006/relationships/hyperlink" Target="https://www.sec.gov/Archives/edgar/data/1808805/000162828021005786/exhibit1011-sx4.htm" TargetMode="External"/><Relationship Id="rId36" Type="http://schemas.openxmlformats.org/officeDocument/2006/relationships/hyperlink" Target="https://www.sec.gov/Archives/edgar/data/1808805/000162828021007512/exhibit1012-sx4a2.htm" TargetMode="External"/><Relationship Id="rId37" Type="http://schemas.openxmlformats.org/officeDocument/2006/relationships/hyperlink" Target="https://www.sec.gov/Archives/edgar/data/1808805/000162828021007512/exhibit1013-sx4a2.htm" TargetMode="External"/><Relationship Id="rId38" Type="http://schemas.openxmlformats.org/officeDocument/2006/relationships/hyperlink" Target="https://www.sec.gov/Archives/edgar/data/1808805/000162828021007512/exhibit1015-sx4a2.htm" TargetMode="External"/><Relationship Id="rId39" Type="http://schemas.openxmlformats.org/officeDocument/2006/relationships/hyperlink" Target="https://www.sec.gov/Archives/edgar/data/1808805/000162828021007512/exhibit1014-sx4a2.htm" TargetMode="External"/><Relationship Id="rId40" Type="http://schemas.openxmlformats.org/officeDocument/2006/relationships/hyperlink" Target="https://www.sec.gov/Archives/edgar/data/1808805/000162828021007512/exhibit1016-sx4a2.htm" TargetMode="External"/><Relationship Id="rId41" Type="http://schemas.openxmlformats.org/officeDocument/2006/relationships/hyperlink" Target="https://www.sec.gov/Archives/edgar/data/1808805/000162828021007512/exhibit1017-sx4a2.htm" TargetMode="External"/><Relationship Id="rId42" Type="http://schemas.openxmlformats.org/officeDocument/2006/relationships/hyperlink" Target="https://www.sec.gov/Archives/edgar/data/1808805/000162828021007512/exhibit1018-sx4a2.htm" TargetMode="External"/><Relationship Id="rId43" Type="http://schemas.openxmlformats.org/officeDocument/2006/relationships/hyperlink" Target="https://www.sec.gov/Archives/edgar/data/1808805/000162828021007512/exhibit1019-sx4a2.htm" TargetMode="External"/><Relationship Id="rId44" Type="http://schemas.openxmlformats.org/officeDocument/2006/relationships/hyperlink" Target="https://www.sec.gov/Archives/edgar/data/1808805/000162828021007512/exhibit1021-sx4a2.htm" TargetMode="External"/><Relationship Id="rId45" Type="http://schemas.openxmlformats.org/officeDocument/2006/relationships/hyperlink" Target="https://www.sec.gov/Archives/edgar/data/1808805/000162828021007512/exhibit1020-sx4a2.htm" TargetMode="External"/><Relationship Id="rId46" Type="http://schemas.openxmlformats.org/officeDocument/2006/relationships/hyperlink" Target="https://www.sec.gov/Archives/edgar/data/1808805/000162828021007512/exhibit1022-sx4a2.htm" TargetMode="External"/><Relationship Id="rId47" Type="http://schemas.openxmlformats.org/officeDocument/2006/relationships/hyperlink" Target="https://www.sec.gov/Archives/edgar/data/1808805/000162828021007512/exhibit1023-sx4a2.htm" TargetMode="External"/><Relationship Id="rId48" Type="http://schemas.openxmlformats.org/officeDocument/2006/relationships/hyperlink" Target="https://www.sec.gov/Archives/edgar/data/1808805/000162828021007512/exhibit1024-sx4a2.htm" TargetMode="External"/><Relationship Id="rId49" Type="http://schemas.openxmlformats.org/officeDocument/2006/relationships/hyperlink" Target="https://www.sec.gov/Archives/edgar/data/1808805/000162828021007512/exhibit1025-sx4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2021-06-10T05:08:44Z</dcterms:created>
  <dcterms:modified xsi:type="dcterms:W3CDTF">2021-06-10T05:08:44Z</dcterms:modified>
</cp:coreProperties>
</file>