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1023620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22"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158"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58"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January 27, 2025</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NAUTILUS BIOTECHNOLOGY, INC.</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181"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7"/>
          <w:szCs w:val="17"/>
          <w:b w:val="1"/>
          <w:bCs w:val="1"/>
          <w:color w:val="auto"/>
        </w:rPr>
        <w:t>001-39434</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98-1541723</w:t>
      </w:r>
    </w:p>
    <w:p>
      <w:pPr>
        <w:spacing w:after="0" w:line="31" w:lineRule="exact"/>
        <w:rPr>
          <w:sz w:val="24"/>
          <w:szCs w:val="24"/>
          <w:color w:val="auto"/>
        </w:rPr>
      </w:pPr>
    </w:p>
    <w:p>
      <w:pPr>
        <w:sectPr>
          <w:pgSz w:w="11900" w:h="16838" w:orient="portrait"/>
          <w:cols w:equalWidth="0" w:num="3">
            <w:col w:w="4500" w:space="720"/>
            <w:col w:w="3020" w:space="720"/>
            <w:col w:w="2280"/>
          </w:cols>
          <w:pgMar w:left="320" w:top="1440" w:right="339" w:bottom="1440" w:gutter="0" w:footer="0" w:header="0"/>
          <w:type w:val="continuous"/>
        </w:sectPr>
      </w:pPr>
    </w:p>
    <w:p>
      <w:pPr>
        <w:jc w:val="center"/>
        <w:ind w:right="320"/>
        <w:spacing w:after="0"/>
        <w:rPr>
          <w:sz w:val="20"/>
          <w:szCs w:val="20"/>
          <w:color w:val="auto"/>
        </w:rPr>
      </w:pPr>
      <w:r>
        <w:rPr>
          <w:rFonts w:ascii="Times New Roman" w:cs="Times New Roman" w:eastAsia="Times New Roman" w:hAnsi="Times New Roman"/>
          <w:sz w:val="16"/>
          <w:szCs w:val="16"/>
          <w:color w:val="auto"/>
        </w:rPr>
        <w:t>(State or other jurisdiction</w:t>
      </w:r>
    </w:p>
    <w:p>
      <w:pPr>
        <w:spacing w:after="0" w:line="13"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6"/>
          <w:szCs w:val="16"/>
          <w:color w:val="auto"/>
        </w:rPr>
        <w:t>(I.R.S. Employer</w:t>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Identification No.)</w:t>
      </w:r>
    </w:p>
    <w:p>
      <w:pPr>
        <w:spacing w:after="0" w:line="200" w:lineRule="exact"/>
        <w:rPr>
          <w:sz w:val="24"/>
          <w:szCs w:val="24"/>
          <w:color w:val="auto"/>
        </w:rPr>
      </w:pPr>
    </w:p>
    <w:p>
      <w:pPr>
        <w:sectPr>
          <w:pgSz w:w="11900" w:h="16838" w:orient="portrait"/>
          <w:cols w:equalWidth="0" w:num="3">
            <w:col w:w="4000" w:space="720"/>
            <w:col w:w="3360" w:space="720"/>
            <w:col w:w="2440"/>
          </w:cols>
          <w:pgMar w:left="320" w:top="1440" w:right="339" w:bottom="1440" w:gutter="0" w:footer="0" w:header="0"/>
          <w:type w:val="continuous"/>
        </w:sectPr>
      </w:pPr>
    </w:p>
    <w:p>
      <w:pPr>
        <w:spacing w:after="0" w:line="113"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8"/>
          <w:szCs w:val="18"/>
          <w:b w:val="1"/>
          <w:bCs w:val="1"/>
          <w:color w:val="auto"/>
        </w:rPr>
        <w:t>2701 Eastlake Avenue East</w:t>
      </w:r>
    </w:p>
    <w:p>
      <w:pPr>
        <w:spacing w:after="0" w:line="31"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8"/>
          <w:szCs w:val="18"/>
          <w:b w:val="1"/>
          <w:bCs w:val="1"/>
          <w:color w:val="auto"/>
        </w:rPr>
        <w:t>Seattle, Washington</w:t>
      </w:r>
    </w:p>
    <w:p>
      <w:pPr>
        <w:spacing w:after="0" w:line="9"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09" w:lineRule="exact"/>
        <w:rPr>
          <w:sz w:val="24"/>
          <w:szCs w:val="24"/>
          <w:color w:val="auto"/>
        </w:rPr>
      </w:pPr>
    </w:p>
    <w:p>
      <w:pPr>
        <w:jc w:val="center"/>
        <w:ind w:right="2540"/>
        <w:spacing w:after="0"/>
        <w:rPr>
          <w:sz w:val="20"/>
          <w:szCs w:val="20"/>
          <w:color w:val="auto"/>
        </w:rPr>
      </w:pPr>
      <w:r>
        <w:rPr>
          <w:rFonts w:ascii="Times New Roman" w:cs="Times New Roman" w:eastAsia="Times New Roman" w:hAnsi="Times New Roman"/>
          <w:sz w:val="18"/>
          <w:szCs w:val="18"/>
          <w:b w:val="1"/>
          <w:bCs w:val="1"/>
          <w:color w:val="auto"/>
        </w:rPr>
        <w:t>98102</w:t>
      </w:r>
    </w:p>
    <w:p>
      <w:pPr>
        <w:spacing w:after="0" w:line="31" w:lineRule="exact"/>
        <w:rPr>
          <w:sz w:val="24"/>
          <w:szCs w:val="24"/>
          <w:color w:val="auto"/>
        </w:rPr>
      </w:pPr>
    </w:p>
    <w:p>
      <w:pPr>
        <w:jc w:val="center"/>
        <w:ind w:right="25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220" w:space="720"/>
            <w:col w:w="3300"/>
          </w:cols>
          <w:pgMar w:left="320" w:top="1440" w:right="339" w:bottom="1440" w:gutter="0" w:footer="0" w:header="0"/>
          <w:type w:val="continuous"/>
        </w:sectPr>
      </w:pP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(206) 333-2001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149" w:lineRule="exact"/>
        <w:rPr>
          <w:sz w:val="24"/>
          <w:szCs w:val="24"/>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35" w:lineRule="exact"/>
        <w:rPr>
          <w:sz w:val="24"/>
          <w:szCs w:val="24"/>
          <w:color w:val="auto"/>
        </w:rPr>
      </w:pPr>
    </w:p>
    <w:p>
      <w:pPr>
        <w:ind w:left="400" w:hanging="374"/>
        <w:spacing w:after="0"/>
        <w:tabs>
          <w:tab w:leader="none" w:pos="4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Wingdings" w:cs="Wingdings" w:eastAsia="Wingdings" w:hAnsi="Wingdings"/>
          <w:sz w:val="18"/>
          <w:szCs w:val="18"/>
          <w:b w:val="1"/>
          <w:bCs w:val="1"/>
          <w:color w:val="auto"/>
        </w:rPr>
      </w:pPr>
    </w:p>
    <w:p>
      <w:pPr>
        <w:ind w:left="400" w:hanging="374"/>
        <w:spacing w:after="0"/>
        <w:tabs>
          <w:tab w:leader="none" w:pos="4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Wingdings" w:cs="Wingdings" w:eastAsia="Wingdings" w:hAnsi="Wingdings"/>
          <w:sz w:val="18"/>
          <w:szCs w:val="18"/>
          <w:b w:val="1"/>
          <w:bCs w:val="1"/>
          <w:color w:val="auto"/>
        </w:rPr>
      </w:pPr>
    </w:p>
    <w:p>
      <w:pPr>
        <w:ind w:left="400" w:hanging="374"/>
        <w:spacing w:after="0"/>
        <w:tabs>
          <w:tab w:leader="none" w:pos="4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Wingdings" w:cs="Wingdings" w:eastAsia="Wingdings" w:hAnsi="Wingdings"/>
          <w:sz w:val="18"/>
          <w:szCs w:val="18"/>
          <w:b w:val="1"/>
          <w:bCs w:val="1"/>
          <w:color w:val="auto"/>
        </w:rPr>
      </w:pPr>
    </w:p>
    <w:p>
      <w:pPr>
        <w:ind w:left="400" w:hanging="374"/>
        <w:spacing w:after="0"/>
        <w:tabs>
          <w:tab w:leader="none" w:pos="4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00" w:type="dxa"/>
            <w:vAlign w:val="bottom"/>
          </w:tcPr>
          <w:p>
            <w:pPr>
              <w:spacing w:after="0"/>
              <w:rPr>
                <w:sz w:val="20"/>
                <w:szCs w:val="20"/>
                <w:color w:val="auto"/>
              </w:rPr>
            </w:pPr>
          </w:p>
        </w:tc>
      </w:tr>
      <w:tr>
        <w:trPr>
          <w:trHeight w:val="405"/>
        </w:trPr>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00" w:type="dxa"/>
            <w:vAlign w:val="bottom"/>
          </w:tcPr>
          <w:p>
            <w:pPr>
              <w:spacing w:after="0"/>
              <w:rPr>
                <w:sz w:val="24"/>
                <w:szCs w:val="24"/>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100" w:type="dxa"/>
            <w:vAlign w:val="bottom"/>
          </w:tcPr>
          <w:p>
            <w:pPr>
              <w:spacing w:after="0"/>
              <w:rPr>
                <w:sz w:val="24"/>
                <w:szCs w:val="24"/>
                <w:color w:val="auto"/>
              </w:rPr>
            </w:pPr>
          </w:p>
        </w:tc>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64"/>
        </w:trPr>
        <w:tc>
          <w:tcPr>
            <w:tcW w:w="4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NAUT</w:t>
            </w: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11"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p>
      <w:pPr>
        <w:spacing w:after="0" w:line="15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761365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Directors Not Standing for Re-Election</w:t>
      </w:r>
    </w:p>
    <w:p>
      <w:pPr>
        <w:spacing w:after="0" w:line="24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On January 27 and 28, 2025, each of Vijay Pande and Michael Altman, respectively, informed Nautilus Biotechnology, Inc. (the “Company”) that they will not stand for re-election to the Company’s board of directors at the Company’s 2025 annual meeting of stockholders. Mr. Altman and Mr. Pande have each reviewed this current report on Form 8-K and confirmed that their decision not to stand for re-election is not due to any disagreement with the Company related to its operations, policies, or practices.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31, 2025</w:t>
      </w:r>
    </w:p>
    <w:p>
      <w:pPr>
        <w:spacing w:after="0" w:line="262"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NAUTILUS BIOTECHNOLOGY, INC.</w:t>
      </w:r>
    </w:p>
    <w:p>
      <w:pPr>
        <w:spacing w:after="0" w:line="229" w:lineRule="exact"/>
        <w:rPr>
          <w:sz w:val="20"/>
          <w:szCs w:val="20"/>
          <w:color w:val="auto"/>
        </w:rPr>
      </w:pPr>
    </w:p>
    <w:tbl>
      <w:tblPr>
        <w:tblLayout w:type="fixed"/>
        <w:tblInd w:w="632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Sujal Patel</w:t>
            </w:r>
          </w:p>
        </w:tc>
      </w:tr>
      <w:tr>
        <w:trPr>
          <w:trHeight w:val="218"/>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Sujal Patel</w:t>
            </w:r>
          </w:p>
        </w:tc>
      </w:t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 w:lineRule="exact"/>
        <w:rPr>
          <w:sz w:val="20"/>
          <w:szCs w:val="20"/>
          <w:color w:val="auto"/>
        </w:rPr>
      </w:pP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2025-01-31T16:29:40Z</dcterms:created>
  <dcterms:modified xsi:type="dcterms:W3CDTF">2025-01-31T16:29:40Z</dcterms:modified>
</cp:coreProperties>
</file>