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720" w:hanging="244"/>
        <w:spacing w:after="0"/>
        <w:tabs>
          <w:tab w:leader="none" w:pos="7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4"/>
          <w:szCs w:val="24"/>
          <w:color w:val="auto"/>
        </w:rPr>
      </w:pPr>
    </w:p>
    <w:p>
      <w:pPr>
        <w:ind w:left="720" w:hanging="249"/>
        <w:spacing w:after="0"/>
        <w:tabs>
          <w:tab w:leader="none" w:pos="7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001-39434</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61" w:lineRule="exact"/>
        <w:rPr>
          <w:sz w:val="24"/>
          <w:szCs w:val="24"/>
          <w:color w:val="auto"/>
        </w:rPr>
      </w:pPr>
    </w:p>
    <w:tbl>
      <w:tblPr>
        <w:tblLayout w:type="fixed"/>
        <w:tblInd w:w="700" w:type="dxa"/>
        <w:tblCellMar>
          <w:top w:w="0" w:type="dxa"/>
          <w:left w:w="0" w:type="dxa"/>
          <w:bottom w:w="0" w:type="dxa"/>
          <w:right w:w="0" w:type="dxa"/>
        </w:tblCellMar>
      </w:tblPr>
      <w:tr>
        <w:trPr>
          <w:trHeight w:val="190"/>
        </w:trPr>
        <w:tc>
          <w:tcPr>
            <w:tcW w:w="370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98-1541723</w:t>
            </w:r>
          </w:p>
        </w:tc>
      </w:tr>
      <w:tr>
        <w:trPr>
          <w:trHeight w:val="163"/>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69"/>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2701 Eastlake Avenue East Seattle, Washington</w:t>
            </w:r>
          </w:p>
        </w:tc>
        <w:tc>
          <w:tcPr>
            <w:tcW w:w="5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98102</w:t>
            </w:r>
          </w:p>
        </w:tc>
      </w:tr>
      <w:tr>
        <w:trPr>
          <w:trHeight w:val="37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3700" w:type="dxa"/>
            <w:vAlign w:val="bottom"/>
          </w:tcPr>
          <w:p>
            <w:pPr>
              <w:spacing w:after="0"/>
              <w:rPr>
                <w:sz w:val="18"/>
                <w:szCs w:val="18"/>
                <w:color w:val="auto"/>
              </w:rPr>
            </w:pPr>
          </w:p>
        </w:tc>
        <w:tc>
          <w:tcPr>
            <w:tcW w:w="5220" w:type="dxa"/>
            <w:vAlign w:val="bottom"/>
          </w:tcPr>
          <w:p>
            <w:pPr>
              <w:jc w:val="right"/>
              <w:ind w:right="3488"/>
              <w:spacing w:after="0"/>
              <w:rPr>
                <w:sz w:val="20"/>
                <w:szCs w:val="20"/>
                <w:color w:val="auto"/>
              </w:rPr>
            </w:pPr>
            <w:r>
              <w:rPr>
                <w:rFonts w:ascii="Times New Roman" w:cs="Times New Roman" w:eastAsia="Times New Roman" w:hAnsi="Times New Roman"/>
                <w:sz w:val="14"/>
                <w:szCs w:val="14"/>
                <w:b w:val="1"/>
                <w:bCs w:val="1"/>
                <w:color w:val="auto"/>
              </w:rPr>
              <w:t>(206) 333-2001</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5" w:lineRule="exact"/>
        <w:rPr>
          <w:sz w:val="24"/>
          <w:szCs w:val="24"/>
          <w:color w:val="auto"/>
        </w:rPr>
      </w:pPr>
    </w:p>
    <w:tbl>
      <w:tblPr>
        <w:tblLayout w:type="fixed"/>
        <w:tblInd w:w="820" w:type="dxa"/>
        <w:tblCellMar>
          <w:top w:w="0" w:type="dxa"/>
          <w:left w:w="0" w:type="dxa"/>
          <w:bottom w:w="0" w:type="dxa"/>
          <w:right w:w="0" w:type="dxa"/>
        </w:tblCellMar>
      </w:tblPr>
      <w:tr>
        <w:trPr>
          <w:trHeight w:val="252"/>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90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86"/>
        </w:trPr>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6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NAUT</w:t>
            </w:r>
          </w:p>
        </w:tc>
        <w:tc>
          <w:tcPr>
            <w:tcW w:w="3900" w:type="dxa"/>
            <w:vAlign w:val="bottom"/>
          </w:tcPr>
          <w:p>
            <w:pPr>
              <w:jc w:val="center"/>
              <w:ind w:left="13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 w:lineRule="exact"/>
        <w:rPr>
          <w:sz w:val="24"/>
          <w:szCs w:val="24"/>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4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8" w:lineRule="exact"/>
        <w:rPr>
          <w:sz w:val="24"/>
          <w:szCs w:val="24"/>
          <w:color w:val="auto"/>
        </w:rPr>
      </w:pPr>
    </w:p>
    <w:p>
      <w:pPr>
        <w:ind w:right="140" w:firstLine="324"/>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01" w:lineRule="exact"/>
        <w:rPr>
          <w:sz w:val="24"/>
          <w:szCs w:val="24"/>
          <w:color w:val="auto"/>
        </w:rPr>
      </w:pPr>
    </w:p>
    <w:p>
      <w:pPr>
        <w:ind w:right="1360" w:firstLine="324"/>
        <w:spacing w:after="0" w:line="4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As of April 29, 2022, the registrant had 124,461,653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10"/>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10"/>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20" w:type="dxa"/>
            <w:vAlign w:val="bottom"/>
          </w:tcPr>
          <w:p>
            <w:pPr>
              <w:spacing w:after="0"/>
              <w:rPr>
                <w:sz w:val="24"/>
                <w:szCs w:val="24"/>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iii</w:t>
            </w:r>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8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080" w:type="dxa"/>
            <w:vAlign w:val="bottom"/>
            <w:gridSpan w:val="9"/>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70"/>
              </w:rPr>
              <w:t>iii</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 (unaudited)</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2022 and 2021 (unaudited)</w:t>
            </w:r>
          </w:p>
        </w:tc>
        <w:tc>
          <w:tcPr>
            <w:tcW w:w="820" w:type="dxa"/>
            <w:vAlign w:val="bottom"/>
            <w:gridSpan w:val="3"/>
          </w:tcPr>
          <w:p>
            <w:pPr>
              <w:spacing w:after="0"/>
              <w:rPr>
                <w:sz w:val="22"/>
                <w:szCs w:val="22"/>
                <w:color w:val="auto"/>
              </w:rPr>
            </w:pP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2022 and 2021 (unaudited)</w:t>
            </w:r>
          </w:p>
        </w:tc>
        <w:tc>
          <w:tcPr>
            <w:tcW w:w="100" w:type="dxa"/>
            <w:vAlign w:val="bottom"/>
          </w:tcPr>
          <w:p>
            <w:pPr>
              <w:spacing w:after="0"/>
              <w:rPr>
                <w:sz w:val="22"/>
                <w:szCs w:val="22"/>
                <w:color w:val="auto"/>
              </w:rPr>
            </w:pP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 (Deficit) for the</w:t>
            </w:r>
          </w:p>
        </w:tc>
        <w:tc>
          <w:tcPr>
            <w:tcW w:w="100" w:type="dxa"/>
            <w:vAlign w:val="bottom"/>
          </w:tcPr>
          <w:p>
            <w:pPr>
              <w:spacing w:after="0"/>
              <w:rPr>
                <w:sz w:val="22"/>
                <w:szCs w:val="22"/>
                <w:color w:val="auto"/>
              </w:rPr>
            </w:pPr>
          </w:p>
        </w:tc>
        <w:tc>
          <w:tcPr>
            <w:tcW w:w="460" w:type="dxa"/>
            <w:vAlign w:val="bottom"/>
            <w:gridSpan w:val="3"/>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88"/>
              </w:rPr>
              <w:t>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430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Three Months Ended March 31, 2022 and 2021 (unaudited)</w:t>
            </w:r>
          </w:p>
        </w:tc>
        <w:tc>
          <w:tcPr>
            <w:tcW w:w="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gridSpan w:val="2"/>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60" w:type="dxa"/>
            <w:vAlign w:val="bottom"/>
            <w:gridSpan w:val="2"/>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00" w:type="dxa"/>
            <w:vAlign w:val="bottom"/>
            <w:tcBorders>
              <w:left w:val="single" w:sz="8" w:color="0000FF"/>
            </w:tcBorders>
            <w:gridSpan w:val="2"/>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60" w:type="dxa"/>
            <w:vAlign w:val="bottom"/>
            <w:gridSpan w:val="2"/>
            <w:shd w:val="clear" w:color="auto" w:fill="0000FF"/>
          </w:tcPr>
          <w:p>
            <w:pPr>
              <w:spacing w:after="0"/>
              <w:rPr>
                <w:sz w:val="2"/>
                <w:szCs w:val="2"/>
                <w:color w:val="auto"/>
              </w:rPr>
            </w:pPr>
          </w:p>
        </w:tc>
        <w:tc>
          <w:tcPr>
            <w:tcW w:w="2020" w:type="dxa"/>
            <w:vAlign w:val="bottom"/>
            <w:gridSpan w:val="3"/>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82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Pr>
          <w:p>
            <w:pPr>
              <w:spacing w:after="0"/>
              <w:rPr>
                <w:sz w:val="23"/>
                <w:szCs w:val="23"/>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2021 (unaudited)</w:t>
            </w: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5</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5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20" w:type="dxa"/>
            <w:vAlign w:val="bottom"/>
            <w:gridSpan w:val="3"/>
          </w:tcPr>
          <w:p>
            <w:pPr>
              <w:spacing w:after="0"/>
              <w:rPr>
                <w:sz w:val="22"/>
                <w:szCs w:val="22"/>
                <w:color w:val="auto"/>
              </w:rPr>
            </w:pPr>
          </w:p>
        </w:tc>
        <w:tc>
          <w:tcPr>
            <w:tcW w:w="4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88"/>
              </w:rPr>
              <w:t>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gridSpan w:val="5"/>
          </w:tcPr>
          <w:p>
            <w:pPr>
              <w:spacing w:after="0"/>
              <w:rPr>
                <w:sz w:val="22"/>
                <w:szCs w:val="22"/>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18"/>
                <w:szCs w:val="18"/>
                <w:color w:val="auto"/>
              </w:rPr>
            </w:pPr>
          </w:p>
        </w:tc>
        <w:tc>
          <w:tcPr>
            <w:tcW w:w="2900" w:type="dxa"/>
            <w:vAlign w:val="bottom"/>
            <w:gridSpan w:val="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0" w:type="dxa"/>
            <w:vAlign w:val="bottom"/>
            <w:gridSpan w:val="7"/>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7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20" w:type="dxa"/>
            <w:vAlign w:val="bottom"/>
            <w:gridSpan w:val="15"/>
          </w:tcPr>
          <w:p>
            <w:pPr>
              <w:spacing w:after="0"/>
              <w:rPr>
                <w:sz w:val="24"/>
                <w:szCs w:val="2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20" w:type="dxa"/>
            <w:vAlign w:val="bottom"/>
            <w:gridSpan w:val="1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00" w:type="dxa"/>
            <w:vAlign w:val="bottom"/>
            <w:gridSpan w:val="7"/>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0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20" w:type="dxa"/>
            <w:vAlign w:val="bottom"/>
            <w:gridSpan w:val="10"/>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18"/>
                <w:szCs w:val="18"/>
                <w:color w:val="auto"/>
              </w:rPr>
            </w:pPr>
          </w:p>
        </w:tc>
        <w:tc>
          <w:tcPr>
            <w:tcW w:w="7580" w:type="dxa"/>
            <w:vAlign w:val="bottom"/>
            <w:gridSpan w:val="12"/>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2"/>
          </w:tcPr>
          <w:p>
            <w:pPr>
              <w:spacing w:after="0"/>
              <w:rPr>
                <w:sz w:val="18"/>
                <w:szCs w:val="18"/>
                <w:color w:val="auto"/>
              </w:rPr>
            </w:pPr>
          </w:p>
        </w:tc>
        <w:tc>
          <w:tcPr>
            <w:tcW w:w="8020" w:type="dxa"/>
            <w:vAlign w:val="bottom"/>
            <w:gridSpan w:val="15"/>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17"/>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29" w:lineRule="exact"/>
        <w:rPr>
          <w:sz w:val="20"/>
          <w:szCs w:val="20"/>
          <w:color w:val="auto"/>
        </w:rPr>
      </w:pPr>
    </w:p>
    <w:p>
      <w:pPr>
        <w:ind w:right="48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right="300" w:firstLine="332"/>
        <w:spacing w:after="0" w:line="266"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the foregoing;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As of March 31, 2022 and December 31,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0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349,222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398,450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200,000,000 authorized as of March 31, 2022 and December 31, 2021; 0</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as of March 31, 2022 and December 31, 2021</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as of March 31, 2022 and December 31,</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2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2021; 124,456,653 and 124,303,083 shares issued and outstanding as of March 31, 2022 and December 31,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2021,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444,388</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363,576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398,450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23"/>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7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124,418,580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32,999,880</w:t>
            </w: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0" w:right="65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securities available-for-sale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6" w:right="41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Redeemable Convertible Preferred Stock and Stockholders’ Equity (Deficit)</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auto"/>
              </w:rPr>
              <w:t>Three Months Ended March</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15"/>
            <w:vMerge w:val="restart"/>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Redeemable Convertible Preferred Stock</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500" w:type="dxa"/>
            <w:vAlign w:val="bottom"/>
            <w:tcBorders>
              <w:top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31, 2022</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180" w:type="dxa"/>
            <w:vAlign w:val="bottom"/>
            <w:gridSpan w:val="2"/>
          </w:tcPr>
          <w:p>
            <w:pPr>
              <w:spacing w:after="0"/>
              <w:rPr>
                <w:sz w:val="2"/>
                <w:szCs w:val="2"/>
                <w:color w:val="auto"/>
              </w:rPr>
            </w:pPr>
          </w:p>
        </w:tc>
        <w:tc>
          <w:tcPr>
            <w:tcW w:w="4160" w:type="dxa"/>
            <w:vAlign w:val="bottom"/>
            <w:tcBorders>
              <w:bottom w:val="single" w:sz="8" w:color="auto"/>
            </w:tcBorders>
            <w:gridSpan w:val="26"/>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280" w:type="dxa"/>
            <w:vAlign w:val="bottom"/>
            <w:gridSpan w:val="16"/>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2020" w:type="dxa"/>
            <w:vAlign w:val="bottom"/>
            <w:gridSpan w:val="10"/>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5"/>
            <w:vMerge w:val="restart"/>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5"/>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5"/>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5"/>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5"/>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4"/>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40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(in thousands, except share</w:t>
            </w:r>
          </w:p>
        </w:tc>
        <w:tc>
          <w:tcPr>
            <w:tcW w:w="60" w:type="dxa"/>
            <w:vAlign w:val="bottom"/>
          </w:tcPr>
          <w:p>
            <w:pPr>
              <w:spacing w:after="0"/>
              <w:rPr>
                <w:sz w:val="11"/>
                <w:szCs w:val="11"/>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1"/>
                <w:szCs w:val="11"/>
                <w:color w:val="auto"/>
              </w:rPr>
            </w:pPr>
          </w:p>
        </w:tc>
        <w:tc>
          <w:tcPr>
            <w:tcW w:w="6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6"/>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1"/>
                <w:szCs w:val="11"/>
                <w:color w:val="auto"/>
              </w:rPr>
            </w:pPr>
          </w:p>
        </w:tc>
        <w:tc>
          <w:tcPr>
            <w:tcW w:w="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gridSpan w:val="4"/>
          </w:tcPr>
          <w:p>
            <w:pPr>
              <w:jc w:val="right"/>
              <w:ind w:right="38"/>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80" w:type="dxa"/>
            <w:vAlign w:val="bottom"/>
            <w:gridSpan w:val="6"/>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amounts)</w:t>
            </w: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6"/>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620" w:type="dxa"/>
            <w:vAlign w:val="bottom"/>
            <w:gridSpan w:val="4"/>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4"/>
                <w:szCs w:val="14"/>
                <w:color w:val="auto"/>
              </w:rPr>
            </w:pPr>
          </w:p>
        </w:tc>
        <w:tc>
          <w:tcPr>
            <w:tcW w:w="66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Stockholders’Equity</w:t>
            </w:r>
          </w:p>
        </w:tc>
        <w:tc>
          <w:tcPr>
            <w:tcW w:w="0" w:type="dxa"/>
            <w:vAlign w:val="bottom"/>
          </w:tcPr>
          <w:p>
            <w:pPr>
              <w:spacing w:after="0"/>
              <w:rPr>
                <w:sz w:val="1"/>
                <w:szCs w:val="1"/>
                <w:color w:val="auto"/>
              </w:rPr>
            </w:pPr>
          </w:p>
        </w:tc>
      </w:tr>
      <w:tr>
        <w:trPr>
          <w:trHeight w:val="106"/>
        </w:trPr>
        <w:tc>
          <w:tcPr>
            <w:tcW w:w="16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Balances at December 31,</w:t>
            </w:r>
          </w:p>
        </w:tc>
        <w:tc>
          <w:tcPr>
            <w:tcW w:w="660" w:type="dxa"/>
            <w:vAlign w:val="bottom"/>
            <w:tcBorders>
              <w:top w:val="single" w:sz="8" w:color="auto"/>
            </w:tcBorders>
            <w:gridSpan w:val="2"/>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4"/>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gridSpan w:val="4"/>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4"/>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gridSpan w:val="3"/>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4"/>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right w:val="single" w:sz="8" w:color="CCEEFF"/>
            </w:tcBorders>
            <w:gridSpan w:val="2"/>
            <w:shd w:val="clear" w:color="auto" w:fill="CCEEFF"/>
          </w:tcPr>
          <w:p>
            <w:pPr>
              <w:spacing w:after="0"/>
              <w:rPr>
                <w:sz w:val="9"/>
                <w:szCs w:val="9"/>
                <w:color w:val="auto"/>
              </w:rPr>
            </w:pPr>
          </w:p>
        </w:tc>
        <w:tc>
          <w:tcPr>
            <w:tcW w:w="520" w:type="dxa"/>
            <w:vAlign w:val="bottom"/>
            <w:tcBorders>
              <w:top w:val="single" w:sz="8" w:color="auto"/>
            </w:tcBorders>
            <w:gridSpan w:val="2"/>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gridSpan w:val="3"/>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gridSpan w:val="5"/>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gridSpan w:val="3"/>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gridSpan w:val="5"/>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gridSpan w:val="4"/>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center"/>
              <w:ind w:left="297"/>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124,303,083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444,388</w:t>
            </w:r>
          </w:p>
        </w:tc>
        <w:tc>
          <w:tcPr>
            <w:tcW w:w="34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center"/>
              <w:ind w:left="258"/>
              <w:spacing w:after="0"/>
              <w:rPr>
                <w:sz w:val="20"/>
                <w:szCs w:val="20"/>
                <w:color w:val="auto"/>
              </w:rPr>
            </w:pPr>
            <w:r>
              <w:rPr>
                <w:rFonts w:ascii="Times New Roman" w:cs="Times New Roman" w:eastAsia="Times New Roman" w:hAnsi="Times New Roman"/>
                <w:sz w:val="13"/>
                <w:szCs w:val="13"/>
                <w:color w:val="auto"/>
                <w:w w:val="99"/>
              </w:rPr>
              <w:t>(184)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8"/>
              </w:rPr>
              <w:t>(80,640)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363,576</w:t>
            </w:r>
          </w:p>
        </w:tc>
        <w:tc>
          <w:tcPr>
            <w:tcW w:w="0" w:type="dxa"/>
            <w:vAlign w:val="bottom"/>
          </w:tcPr>
          <w:p>
            <w:pPr>
              <w:spacing w:after="0"/>
              <w:rPr>
                <w:sz w:val="1"/>
                <w:szCs w:val="1"/>
                <w:color w:val="auto"/>
              </w:rPr>
            </w:pPr>
          </w:p>
        </w:tc>
      </w:tr>
      <w:tr>
        <w:trPr>
          <w:trHeight w:val="122"/>
        </w:trPr>
        <w:tc>
          <w:tcPr>
            <w:tcW w:w="5900" w:type="dxa"/>
            <w:vAlign w:val="bottom"/>
            <w:tcBorders>
              <w:right w:val="single" w:sz="8" w:color="auto"/>
            </w:tcBorders>
            <w:gridSpan w:val="31"/>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5320" w:type="dxa"/>
            <w:vAlign w:val="bottom"/>
            <w:gridSpan w:val="30"/>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900" w:type="dxa"/>
            <w:vAlign w:val="bottom"/>
            <w:tcBorders>
              <w:right w:val="single" w:sz="8" w:color="auto"/>
            </w:tcBorders>
            <w:gridSpan w:val="31"/>
          </w:tcPr>
          <w:p>
            <w:pPr>
              <w:spacing w:after="0"/>
              <w:rPr>
                <w:sz w:val="20"/>
                <w:szCs w:val="20"/>
                <w:color w:val="auto"/>
              </w:rPr>
            </w:pPr>
            <w:r>
              <w:rPr>
                <w:rFonts w:ascii="Times New Roman" w:cs="Times New Roman" w:eastAsia="Times New Roman" w:hAnsi="Times New Roman"/>
                <w:sz w:val="13"/>
                <w:szCs w:val="13"/>
                <w:color w:val="auto"/>
              </w:rPr>
              <w:t>upon exercise of vested</w:t>
            </w:r>
          </w:p>
        </w:tc>
        <w:tc>
          <w:tcPr>
            <w:tcW w:w="4600" w:type="dxa"/>
            <w:vAlign w:val="bottom"/>
            <w:gridSpan w:val="29"/>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stock options</w:t>
            </w: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153,570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tcBorders>
              <w:right w:val="single" w:sz="8" w:color="auto"/>
            </w:tcBorders>
            <w:gridSpan w:val="31"/>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300" w:type="dxa"/>
            <w:vAlign w:val="bottom"/>
            <w:tcBorders>
              <w:right w:val="single" w:sz="8" w:color="CCEEFF"/>
            </w:tcBorders>
            <w:gridSpan w:val="3"/>
            <w:shd w:val="clear" w:color="auto" w:fill="CCEEFF"/>
          </w:tcPr>
          <w:p>
            <w:pPr>
              <w:spacing w:after="0"/>
              <w:rPr>
                <w:sz w:val="11"/>
                <w:szCs w:val="11"/>
                <w:color w:val="auto"/>
              </w:rPr>
            </w:pPr>
          </w:p>
        </w:tc>
        <w:tc>
          <w:tcPr>
            <w:tcW w:w="5020" w:type="dxa"/>
            <w:vAlign w:val="bottom"/>
            <w:gridSpan w:val="27"/>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center"/>
              <w:ind w:left="29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center"/>
              <w:ind w:left="258"/>
              <w:spacing w:after="0"/>
              <w:rPr>
                <w:sz w:val="20"/>
                <w:szCs w:val="20"/>
                <w:color w:val="auto"/>
              </w:rPr>
            </w:pPr>
            <w:r>
              <w:rPr>
                <w:rFonts w:ascii="Times New Roman" w:cs="Times New Roman" w:eastAsia="Times New Roman" w:hAnsi="Times New Roman"/>
                <w:sz w:val="13"/>
                <w:szCs w:val="13"/>
                <w:color w:val="auto"/>
                <w:w w:val="99"/>
              </w:rPr>
              <w:t>(370)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0" w:type="dxa"/>
            <w:vAlign w:val="bottom"/>
          </w:tcPr>
          <w:p>
            <w:pPr>
              <w:spacing w:after="0"/>
              <w:rPr>
                <w:sz w:val="1"/>
                <w:szCs w:val="1"/>
                <w:color w:val="auto"/>
              </w:rPr>
            </w:pPr>
          </w:p>
        </w:tc>
      </w:tr>
      <w:tr>
        <w:trPr>
          <w:trHeight w:val="209"/>
        </w:trPr>
        <w:tc>
          <w:tcPr>
            <w:tcW w:w="1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gridSpan w:val="2"/>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5"/>
            <w:shd w:val="clear" w:color="auto" w:fill="CCEEFF"/>
          </w:tcPr>
          <w:p>
            <w:pPr>
              <w:jc w:val="right"/>
              <w:ind w:right="737"/>
              <w:spacing w:after="0"/>
              <w:rPr>
                <w:sz w:val="20"/>
                <w:szCs w:val="20"/>
                <w:color w:val="auto"/>
              </w:rPr>
            </w:pPr>
            <w:r>
              <w:rPr>
                <w:rFonts w:ascii="Times New Roman" w:cs="Times New Roman" w:eastAsia="Times New Roman" w:hAnsi="Times New Roman"/>
                <w:sz w:val="13"/>
                <w:szCs w:val="13"/>
                <w:color w:val="auto"/>
              </w:rPr>
              <w:t>(15,763)</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gridSpan w:val="4"/>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(15,763)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4"/>
                <w:szCs w:val="14"/>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124,456,653</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94"/>
              </w:rPr>
              <w:t>446,654</w:t>
            </w:r>
          </w:p>
        </w:tc>
        <w:tc>
          <w:tcPr>
            <w:tcW w:w="34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tcPr>
          <w:p>
            <w:pPr>
              <w:jc w:val="center"/>
              <w:ind w:left="258"/>
              <w:spacing w:after="0"/>
              <w:rPr>
                <w:sz w:val="20"/>
                <w:szCs w:val="20"/>
                <w:color w:val="auto"/>
              </w:rPr>
            </w:pPr>
            <w:r>
              <w:rPr>
                <w:rFonts w:ascii="Times New Roman" w:cs="Times New Roman" w:eastAsia="Times New Roman" w:hAnsi="Times New Roman"/>
                <w:sz w:val="13"/>
                <w:szCs w:val="13"/>
                <w:color w:val="auto"/>
                <w:w w:val="99"/>
              </w:rPr>
              <w:t>(554)</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w w:val="98"/>
              </w:rPr>
              <w:t>(96,403)</w:t>
            </w:r>
          </w:p>
        </w:tc>
        <w:tc>
          <w:tcPr>
            <w:tcW w:w="8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349,709</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Three Months Ended March</w:t>
            </w:r>
          </w:p>
        </w:tc>
        <w:tc>
          <w:tcPr>
            <w:tcW w:w="660" w:type="dxa"/>
            <w:vAlign w:val="bottom"/>
            <w:tcBorders>
              <w:bottom w:val="single" w:sz="8" w:color="auto"/>
            </w:tcBorders>
            <w:gridSpan w:val="2"/>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gridSpan w:val="4"/>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gridSpan w:val="4"/>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gridSpan w:val="4"/>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gridSpan w:val="3"/>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gridSpan w:val="4"/>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auto"/>
            </w:tcBorders>
            <w:gridSpan w:val="4"/>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gridSpan w:val="3"/>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auto"/>
            </w:tcBorders>
            <w:gridSpan w:val="5"/>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auto"/>
            </w:tcBorders>
            <w:gridSpan w:val="3"/>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auto"/>
            </w:tcBorders>
            <w:gridSpan w:val="5"/>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auto"/>
            </w:tcBorders>
            <w:gridSpan w:val="4"/>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1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Redeemable Convertible Preferred Stock</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15"/>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Borders>
              <w:top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31, 2021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15"/>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40" w:type="dxa"/>
            <w:vAlign w:val="bottom"/>
            <w:gridSpan w:val="3"/>
          </w:tcPr>
          <w:p>
            <w:pPr>
              <w:spacing w:after="0"/>
              <w:rPr>
                <w:sz w:val="2"/>
                <w:szCs w:val="2"/>
                <w:color w:val="auto"/>
              </w:rPr>
            </w:pPr>
          </w:p>
        </w:tc>
        <w:tc>
          <w:tcPr>
            <w:tcW w:w="4400" w:type="dxa"/>
            <w:vAlign w:val="bottom"/>
            <w:tcBorders>
              <w:bottom w:val="single" w:sz="8" w:color="auto"/>
            </w:tcBorders>
            <w:gridSpan w:val="28"/>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280" w:type="dxa"/>
            <w:vAlign w:val="bottom"/>
            <w:gridSpan w:val="15"/>
          </w:tcPr>
          <w:p>
            <w:pPr>
              <w:spacing w:after="0"/>
              <w:rPr>
                <w:sz w:val="2"/>
                <w:szCs w:val="2"/>
                <w:color w:val="auto"/>
              </w:rPr>
            </w:pP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0" w:type="dxa"/>
            <w:vAlign w:val="bottom"/>
            <w:gridSpan w:val="9"/>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7"/>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Series Seed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7"/>
              </w:rPr>
              <w:t>Series B</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6"/>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w:t>
            </w: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5"/>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720" w:type="dxa"/>
            <w:vAlign w:val="bottom"/>
            <w:gridSpan w:val="2"/>
            <w:vMerge w:val="restart"/>
          </w:tcPr>
          <w:p>
            <w:pPr>
              <w:jc w:val="center"/>
              <w:ind w:left="178"/>
              <w:spacing w:after="0" w:line="108" w:lineRule="exact"/>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5"/>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5"/>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94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amounts)</w:t>
            </w:r>
          </w:p>
        </w:tc>
        <w:tc>
          <w:tcPr>
            <w:tcW w:w="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5"/>
            <w:vMerge w:val="continue"/>
          </w:tcPr>
          <w:p>
            <w:pPr>
              <w:spacing w:after="0"/>
              <w:rPr>
                <w:sz w:val="16"/>
                <w:szCs w:val="16"/>
                <w:color w:val="auto"/>
              </w:rPr>
            </w:pPr>
          </w:p>
        </w:tc>
        <w:tc>
          <w:tcPr>
            <w:tcW w:w="5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6"/>
                <w:szCs w:val="16"/>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2"/>
        </w:trPr>
        <w:tc>
          <w:tcPr>
            <w:tcW w:w="17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Balances at December 31,</w:t>
            </w:r>
          </w:p>
        </w:tc>
        <w:tc>
          <w:tcPr>
            <w:tcW w:w="740" w:type="dxa"/>
            <w:vAlign w:val="bottom"/>
            <w:tcBorders>
              <w:top w:val="single" w:sz="8" w:color="auto"/>
            </w:tcBorders>
            <w:gridSpan w:val="3"/>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gridSpan w:val="3"/>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right w:val="single" w:sz="8" w:color="CCEEFF"/>
            </w:tcBorders>
            <w:gridSpan w:val="3"/>
            <w:shd w:val="clear" w:color="auto" w:fill="CCEEFF"/>
          </w:tcPr>
          <w:p>
            <w:pPr>
              <w:spacing w:after="0"/>
              <w:rPr>
                <w:sz w:val="8"/>
                <w:szCs w:val="8"/>
                <w:color w:val="auto"/>
              </w:rPr>
            </w:pPr>
          </w:p>
        </w:tc>
        <w:tc>
          <w:tcPr>
            <w:tcW w:w="200" w:type="dxa"/>
            <w:vAlign w:val="bottom"/>
            <w:tcBorders>
              <w:top w:val="single" w:sz="8" w:color="auto"/>
            </w:tcBorders>
            <w:gridSpan w:val="2"/>
            <w:shd w:val="clear" w:color="auto" w:fill="CCEEFF"/>
          </w:tcPr>
          <w:p>
            <w:pPr>
              <w:spacing w:after="0"/>
              <w:rPr>
                <w:sz w:val="8"/>
                <w:szCs w:val="8"/>
                <w:color w:val="auto"/>
              </w:rPr>
            </w:pPr>
          </w:p>
        </w:tc>
        <w:tc>
          <w:tcPr>
            <w:tcW w:w="100" w:type="dxa"/>
            <w:vAlign w:val="bottom"/>
            <w:tcBorders>
              <w:top w:val="single" w:sz="8" w:color="CCEEFF"/>
              <w:right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gridSpan w:val="3"/>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96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gridSpan w:val="4"/>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13,174,805</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900" w:type="dxa"/>
            <w:vAlign w:val="bottom"/>
            <w:gridSpan w:val="6"/>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5"/>
              </w:rPr>
              <w:t>16,836,436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27,067</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22,164,724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75,857</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33,069,513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(29,721)</w:t>
            </w:r>
          </w:p>
        </w:tc>
        <w:tc>
          <w:tcPr>
            <w:tcW w:w="0" w:type="dxa"/>
            <w:vAlign w:val="bottom"/>
          </w:tcPr>
          <w:p>
            <w:pPr>
              <w:spacing w:after="0"/>
              <w:rPr>
                <w:sz w:val="1"/>
                <w:szCs w:val="1"/>
                <w:color w:val="auto"/>
              </w:rPr>
            </w:pPr>
          </w:p>
        </w:tc>
      </w:tr>
      <w:tr>
        <w:trPr>
          <w:trHeight w:val="122"/>
        </w:trPr>
        <w:tc>
          <w:tcPr>
            <w:tcW w:w="6200" w:type="dxa"/>
            <w:vAlign w:val="bottom"/>
            <w:tcBorders>
              <w:right w:val="single" w:sz="8" w:color="auto"/>
            </w:tcBorders>
            <w:gridSpan w:val="34"/>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5020" w:type="dxa"/>
            <w:vAlign w:val="bottom"/>
            <w:gridSpan w:val="27"/>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88"/>
              </w:rPr>
              <w:t>1,336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(8,409)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at March 31, 2021</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13,174,805</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900" w:type="dxa"/>
            <w:vAlign w:val="bottom"/>
            <w:gridSpan w:val="6"/>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5"/>
              </w:rPr>
              <w:t>16,836,436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27,067</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22,164,724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75,857</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33,069,513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1,936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(36,795)</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gridSpan w:val="5"/>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right="200" w:hanging="332"/>
        <w:spacing w:after="0" w:line="302" w:lineRule="auto"/>
        <w:tabs>
          <w:tab w:leader="none" w:pos="32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 March 31,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on securities,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offering costs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on non-cash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 in accounts payable and accrued expenses and other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Modification to reduce right-of-use assets and lease liability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9, 2021 (the “Closing Date”), Nautilus Biotechnology, Inc. a Delaware corporation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3 “Reverse Recapitalization” for further details of the Business Combination.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The accompanying financial statements are consolidated as of March 31, 2022 and December 31, 2021 and for the three months ended March 31, 2022 and include the accounts of Nautilus Biotechnology, Inc. (i.e. former ARYA) and its wholly-owned subsidiary, Legacy Nautilus, following the Reverse Recapitalization as further discussed in Note 3 “Reverse Recapitalization.” All other accompanying financial statements for the three months ended March 31, 2021 include only the accounts of Legacy Nautilus.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March 31, 2022 and the results of operations and cash flows for the three months ended March 31, 2022 and 2021. The results of operations for the three months ended March 31, 2022 are not necessarily indicative of the results that may be expected for the year ending December 31, 2022. These financial statements and accompanying notes should be read in conjunction with the consolidated financial statements and notes thereto in our Annual Report on Form 10-K for the fiscal year ended December 31, 2021 on file with the SEC. The Company’s reporting currency is the U.S. dollar.</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2022, the Company had an accumulated deficit of $96.4 million.</w:t>
      </w:r>
    </w:p>
    <w:p>
      <w:pPr>
        <w:spacing w:after="0" w:line="126"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the issuance of redeemable convertible preferred stock and common stock. The Company had cash, cash equivalents, and short-term investments of $324.1 million as of March 31, 2022. In June 2021, the Company received gross proceeds of approximately $345.5 million from PIPE Investors and the Business Combination offset by approximately $18.2 million of transaction costs and underwriters’ fees relating to the closing of the Business Combination.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Coronavirus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2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3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11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Credit risk represents the accounting loss that would be recognized as of the reporting date if counterparties failed completely to perform as contracted.</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38"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as of the date of acquisition to be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0" w:firstLine="324"/>
        <w:spacing w:after="0" w:line="289" w:lineRule="auto"/>
        <w:rPr>
          <w:sz w:val="20"/>
          <w:szCs w:val="20"/>
          <w:color w:val="auto"/>
        </w:rPr>
      </w:pPr>
      <w:r>
        <w:rPr>
          <w:rFonts w:ascii="Times New Roman" w:cs="Times New Roman" w:eastAsia="Times New Roman" w:hAnsi="Times New Roman"/>
          <w:sz w:val="17"/>
          <w:szCs w:val="17"/>
          <w:color w:val="auto"/>
        </w:rPr>
        <w:t>The Company classifies its investments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Other-than-temporary Impairment</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stockholders’ equity that, under U.S. GAAP are excluded from net loss. For the three months ended March 31, 2022 and 2021, unrealized losses on debt securities were included as components of comprehensive loss.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adopted this guidance effective January 1, 2022 using the prospective method, which did not have a material impact on the Company’s condensed consolidated financial statements.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7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amends existing guidance on the impairment of financial assets and adds an impairment model that is based on expected losses rather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31"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enhances and simplifies various aspects of the income tax accounting guidance, including requirements such as the elimination of exceptions related to the approach for intraperiod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Recapitalization</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June 9, 2021, Mako Merger Sub merged with Legacy Nautilus, with Legacy Nautilus surviving as the surviving company and as a wholly-owned subsidiary of ARYA.</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13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3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w:t>
      </w:r>
    </w:p>
    <w:p>
      <w:pPr>
        <w:ind w:right="220"/>
        <w:spacing w:after="0" w:line="260" w:lineRule="auto"/>
        <w:rPr>
          <w:sz w:val="20"/>
          <w:szCs w:val="20"/>
          <w:color w:val="auto"/>
        </w:rPr>
      </w:pPr>
      <w:r>
        <w:rPr>
          <w:rFonts w:ascii="Times New Roman" w:cs="Times New Roman" w:eastAsia="Times New Roman" w:hAnsi="Times New Roman"/>
          <w:sz w:val="18"/>
          <w:szCs w:val="18"/>
          <w:color w:val="auto"/>
        </w:rPr>
        <w:t>$200.0 million of cash in connection with the PIPE Financing. The Company incurred $8.1 million of transaction costs, consisting of banking, legal, and other professional fees which were recorded as a reduction to additional paid-in capital.</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760" w:type="dxa"/>
            <w:vAlign w:val="bottom"/>
          </w:tcPr>
          <w:p>
            <w:pPr>
              <w:spacing w:after="0"/>
              <w:rPr>
                <w:sz w:val="16"/>
                <w:szCs w:val="16"/>
                <w:color w:val="auto"/>
              </w:rPr>
            </w:pPr>
          </w:p>
        </w:tc>
        <w:tc>
          <w:tcPr>
            <w:tcW w:w="17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3"/>
        </w:trPr>
        <w:tc>
          <w:tcPr>
            <w:tcW w:w="87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ARYA outstanding prior to the Business Combination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19,186,500</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redemption of ARYA shares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(465,363)</w:t>
            </w: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ARYA</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18,721,137</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in PIPE Financing</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38,721,137</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Nautilus shares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85,324,118</w:t>
            </w: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the Business Combination</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carried at fair value and measured on a recurring basis within the three levels of fair value as of March 31, 2022 and December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60" w:type="dxa"/>
            <w:vAlign w:val="bottom"/>
          </w:tcPr>
          <w:p>
            <w:pPr>
              <w:spacing w:after="0"/>
              <w:rPr>
                <w:sz w:val="11"/>
                <w:szCs w:val="11"/>
                <w:color w:val="auto"/>
              </w:rPr>
            </w:pPr>
          </w:p>
        </w:tc>
        <w:tc>
          <w:tcPr>
            <w:tcW w:w="1160" w:type="dxa"/>
            <w:vAlign w:val="bottom"/>
            <w:gridSpan w:val="4"/>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6"/>
        </w:trPr>
        <w:tc>
          <w:tcPr>
            <w:tcW w:w="2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60" w:type="dxa"/>
            <w:vAlign w:val="bottom"/>
          </w:tcPr>
          <w:p>
            <w:pPr>
              <w:spacing w:after="0"/>
              <w:rPr>
                <w:sz w:val="17"/>
                <w:szCs w:val="17"/>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37,776</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311,749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60" w:type="dxa"/>
            <w:vAlign w:val="bottom"/>
          </w:tcPr>
          <w:p>
            <w:pPr>
              <w:spacing w:after="0"/>
              <w:rPr>
                <w:sz w:val="11"/>
                <w:szCs w:val="11"/>
                <w:color w:val="auto"/>
              </w:rPr>
            </w:pPr>
          </w:p>
        </w:tc>
        <w:tc>
          <w:tcPr>
            <w:tcW w:w="1160" w:type="dxa"/>
            <w:vAlign w:val="bottom"/>
            <w:gridSpan w:val="4"/>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60" w:type="dxa"/>
            <w:vAlign w:val="bottom"/>
          </w:tcPr>
          <w:p>
            <w:pPr>
              <w:spacing w:after="0"/>
              <w:rPr>
                <w:sz w:val="17"/>
                <w:szCs w:val="17"/>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325,203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Contractual maturities of short-term investments as of March 31, 2022 and December 31, 2021 are due in one year or less. Contractual maturities of long-term investments as of March 31, 2022 and December 31, 2021 are due after 1 year through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4360" w:firstLine="8"/>
        <w:spacing w:after="0" w:line="440" w:lineRule="auto"/>
        <w:tabs>
          <w:tab w:leader="none" w:pos="6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of $0.3 million and $0.2 million for the three months ended March 31, 2022 and 2021, respectively, which was primarily allocated to research and development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Long Term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 term assets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facilities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 term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March 31, 2022 the Company had no issued and outstanding Preferred Stock shares.</w:t>
      </w:r>
    </w:p>
    <w:p>
      <w:pPr>
        <w:spacing w:after="0" w:line="12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660" w:firstLine="324"/>
        <w:spacing w:after="0" w:line="266" w:lineRule="auto"/>
        <w:rPr>
          <w:sz w:val="20"/>
          <w:szCs w:val="20"/>
          <w:color w:val="auto"/>
        </w:rPr>
      </w:pPr>
      <w:r>
        <w:rPr>
          <w:rFonts w:ascii="Times New Roman" w:cs="Times New Roman" w:eastAsia="Times New Roman" w:hAnsi="Times New Roman"/>
          <w:sz w:val="18"/>
          <w:szCs w:val="18"/>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2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w:t>
      </w:r>
    </w:p>
    <w:p>
      <w:pPr>
        <w:spacing w:after="0" w:line="10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In June 2021, pursuant to the Business Combination, the Company amended its certificate of incorporation to increase the number of authorized common stock shares to 1,000,000,000 shares. There were 124,456,653 shares issued and outstanding as of March 31,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9,971,247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8,550,076</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19,121,876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14,481,463</w:t>
            </w: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2,487,930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1,244,900</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31,581,053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24,276,439</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2022 and 2021, no income tax expense or benefit was recognized, primarily due to a full valuation allowance recorded against its deferred tax asset.</w:t>
      </w:r>
    </w:p>
    <w:p>
      <w:pPr>
        <w:spacing w:after="0" w:line="12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 and Stock-based Compensation</w:t>
      </w:r>
    </w:p>
    <w:p>
      <w:pPr>
        <w:spacing w:after="0" w:line="175"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On June 8, 2021, the stockholders of the Company approved the 2021 Equity Incentive Plan (“2021 Plan”) and the 2021 Employee Stock Purchase Plan (“2021 ESPP”). As of March 31, 2022, 19,121,876 and 2,487,930 shares were available for grant under the 2021 Plan and 2021 ESPP, respectively.</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Under the 2021 ESPP, the Company can grant stock options to employees to purchase shares of Common Stock at a purchase price which equal to 85% of the fair market value of common stock on the enrollment date or on the exercise date, whichever is lower.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2022, the number of shares available under the ESPP increased by 1,243,030 shares pursuant to this feature.</w:t>
      </w:r>
    </w:p>
    <w:p>
      <w:pPr>
        <w:spacing w:after="0" w:line="13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first offering period is from October 1, 2021 through May 31, 2022. For subsequent offering periods, the Company will be offering a six month purchase period. As of March 31, 2022, no shares of common stock were purchased under the 2021 ESPP.</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On January 1, 2022, the number of shares available under the 2021 Plan increased by 6,215,154 shares pursuant to this feature.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compensation cost of the option awards, the fair value for each option award has been estimated using the Black Scholes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in these calculations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4160" w:type="dxa"/>
            <w:vAlign w:val="bottom"/>
            <w:gridSpan w:val="3"/>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0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5.8 - 6.1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5.5 - 6.6</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 - 110.0%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 - 94.2%</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- 2.42%</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 - 0.73%</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 $4.24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 $10.00</w:t>
            </w:r>
          </w:p>
        </w:tc>
      </w:tr>
    </w:tbl>
    <w:p>
      <w:pPr>
        <w:spacing w:after="0" w:line="19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97" w:lineRule="exact"/>
        <w:rPr>
          <w:sz w:val="20"/>
          <w:szCs w:val="20"/>
          <w:color w:val="auto"/>
        </w:rPr>
      </w:pPr>
    </w:p>
    <w:p>
      <w:pPr>
        <w:ind w:right="60" w:firstLine="324"/>
        <w:spacing w:after="0" w:line="228" w:lineRule="exact"/>
        <w:rPr>
          <w:sz w:val="20"/>
          <w:szCs w:val="20"/>
          <w:color w:val="auto"/>
        </w:rPr>
      </w:pPr>
      <w:r>
        <w:rPr>
          <w:rFonts w:ascii="Times New Roman" w:cs="Times New Roman" w:eastAsia="Times New Roman" w:hAnsi="Times New Roman"/>
          <w:sz w:val="18"/>
          <w:szCs w:val="18"/>
          <w:color w:val="auto"/>
        </w:rPr>
        <w:t>Expected volatility: Historically, the Company has been a private company and lacked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dividend yield: The expected dividend rate is zero as the Company has no history or expectation of declaring dividends on its common stock.</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0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Fair value of common stock: Prior to the Business Combination,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34"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awards granted in late January 2021 had an exercise price equal to the grant date fair value of the Company’s common stock. The Company’s board of directors made a determination of the fair market value of the Company’s common stock which contemplated the implied equity value of the Company per the Business Combination Agreement that was executed on February 7, 2021.</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award activity during the three months ended March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8,550,076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1,948,998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(374,257)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9,971,247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as of March 31, 2022</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9,971,247</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2,759,100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2022, there was $29.1 million of total unrecognized compensation expense expected to be recognized over a weighted average-period of 3.10 years. Aggregate intrinsic value represents the difference between the fair market value of the common stock and the exercise price of outstanding, in-the-money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following sets forth the total stock-based compensation expense for the Company’s stock options included in the Company’s condensed consolidated statement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March 31, 2022 as the Company had not yet received the related goods or services. As of March 31, 2022, the Company had open purchase commitments for goods and services of $2.6 million, which are expected to be received through the next 12 months.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obligated under certain non-cancellable operating leases for office space and laboratory space. This space includes operating leases in Seattle, Washington, and San Carlos, California.</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Seattle Leases</w:t>
      </w:r>
    </w:p>
    <w:p>
      <w:pPr>
        <w:spacing w:after="0" w:line="17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San Carlos Leases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In September 2021, the Company further amended the facility lease contract in San Carlos, California to shorten the remaining term of the lease to expire in October 2021 and was also accounted for as a modification.</w:t>
      </w:r>
    </w:p>
    <w:p>
      <w:pPr>
        <w:spacing w:after="0" w:line="1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December 2020, the Company also entered into a temporary office space lease agreement in San Carlos, California which commenced in February 2021 and expired in October 2021 with total minimum lease payments of $1.2 million. The temporary office space lease agreement was recognized as a short-term lease due to the election of the short-term lease measurement and recognition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6" w:right="39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2021, the Company entered into another lease in San Carlos, California for nine years expected to commence in October 2022 and expiring in October 2031. The Company can terminate this lease after five years from October 1, 2022 without bearing any significant termination penalties and therefore the Company concluded that the lease term is five years with total minimum lease payments of $7.2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costs, which were included in operating expenses in condensed consolidated statements of operations,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operating lease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operating lease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cash paid for amounts included in the measurement of operating lease liabilities included in cash flows used in operating activities was $0.6 million and $0.3 million, respectively.</w:t>
      </w:r>
    </w:p>
    <w:p>
      <w:pPr>
        <w:spacing w:after="0" w:line="10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 weighted-average remaining lease term and weighted-average discount rate for operating leases is 9.2 years and 8.9%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future principal contractual obligations for operating lease commitments as of March 31, 2022:</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 Obligations</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ending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amended the existing cash-collateralized letter of credit and increased the amount to $0.8 million. The cash amount is recorded as restricted cash under Other long-term assets on the Company’s condensed consolidated balance sheets.</w:t>
      </w:r>
    </w:p>
    <w:p>
      <w:pPr>
        <w:spacing w:after="0" w:line="122"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net loss per share attributable to common stockholders for the three months ended March 31,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124,418,580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33,069,513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Weighted-average unvested restricted shares and shares subject to repurchase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(69,633)</w:t>
            </w:r>
          </w:p>
        </w:tc>
        <w:tc>
          <w:tcPr>
            <w:tcW w:w="0" w:type="dxa"/>
            <w:vAlign w:val="bottom"/>
          </w:tcPr>
          <w:p>
            <w:pPr>
              <w:spacing w:after="0"/>
              <w:rPr>
                <w:sz w:val="1"/>
                <w:szCs w:val="1"/>
                <w:color w:val="auto"/>
              </w:rPr>
            </w:pPr>
          </w:p>
        </w:tc>
      </w:tr>
      <w:tr>
        <w:trPr>
          <w:trHeight w:val="155"/>
        </w:trPr>
        <w:tc>
          <w:tcPr>
            <w:tcW w:w="8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attributable to common stockholders, basic and</w:t>
            </w:r>
          </w:p>
        </w:tc>
        <w:tc>
          <w:tcPr>
            <w:tcW w:w="3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124,418,580</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32,999,880</w:t>
            </w:r>
          </w:p>
        </w:tc>
        <w:tc>
          <w:tcPr>
            <w:tcW w:w="0" w:type="dxa"/>
            <w:vAlign w:val="bottom"/>
          </w:tcPr>
          <w:p>
            <w:pPr>
              <w:spacing w:after="0"/>
              <w:rPr>
                <w:sz w:val="1"/>
                <w:szCs w:val="1"/>
                <w:color w:val="auto"/>
              </w:rPr>
            </w:pPr>
          </w:p>
        </w:tc>
      </w:tr>
      <w:tr>
        <w:trPr>
          <w:trHeight w:val="216"/>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2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2"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2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9,971,247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7,193,881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 (on an as-converted basis)</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52,175,965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63,491</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common share equivalents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10,027,717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59,433,337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6" w:right="41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2021 and the related notes included in the Company’s Annual Report on Form 10-K filed with the SEC on February 24, 2022.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4"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2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and are seeking to enter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early access program partners with broad-scale analysis and profiling of 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w:t>
      </w:r>
    </w:p>
    <w:p>
      <w:pPr>
        <w:spacing w:after="0" w:line="1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March 31, 2022, we had cash, cash equivalents and short-term investments of $324.1 million. Based on this, we believe that our existing cash, cash equivalents, and short-term investments will enable us to fund our planned operating expenses and capital expenditures through at least the next 12 months.</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incurred significant losses since the commencement of our operations. Our net loss was $15.8 million during the three months ended March 31, 2022, and we expect to continue to incur significant losses for the foreseeable future as we continue our research and development activities and planned commercialization of our proteomics platform. As of March 31, 2022, we had an accumulated deficit of $96.4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7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continued with staggered lab employee work shifts to minimize risk of exposure to COVID-19, which disrupted and delayed our ability to conduct development activities. While we were broadly able to resume normal operations in August 2021, if any resurgence or worsening of the COVID-19 pandemic causes us to reinstitute these measures we may experience additional disruption and/or delays in our ability to conduct development activities.</w:t>
      </w:r>
    </w:p>
    <w:p>
      <w:pPr>
        <w:spacing w:after="0" w:line="1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fully or intermittently as able from March 2020 until August 2021.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this point, the extent to which the COVID-19 pandemic may affect our future business, operations and development timelines and plans, including the resulting impact on our expenditures and capital needs, remains uncertain.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Recapitalization Transaction</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9"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1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the open of trading on June 10, 2021, the Common Stock of the Company, formerly those of ARYA, began trading on the Nasdaq Global Select Market (“Nasdaq”) under the symbol “NAUT.”</w:t>
      </w:r>
    </w:p>
    <w:p>
      <w:pPr>
        <w:spacing w:after="0" w:line="108"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12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over the next several years as we hire additional personnel to support the continued research and development of our products and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on our cash, cash equivalents and investments and other miscellaneous nonrecurring expenses such as loss on disposal of property and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to the Three Months Ended March 31, 2021</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20142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33655</wp:posOffset>
            </wp:positionV>
            <wp:extent cx="19545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40"/>
        <w:spacing w:after="0"/>
        <w:tabs>
          <w:tab w:leader="none" w:pos="17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700" w:space="720"/>
            <w:col w:w="28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23"/>
        </w:trPr>
        <w:tc>
          <w:tcPr>
            <w:tcW w:w="4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3138 %</w:t>
            </w:r>
          </w:p>
        </w:tc>
      </w:tr>
      <w:tr>
        <w:trPr>
          <w:trHeight w:val="223"/>
        </w:trPr>
        <w:tc>
          <w:tcPr>
            <w:tcW w:w="4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$9.7 million for the three months ended March 31, 2022, compared to $4.8 million for the three months ended March 31, 2021, an increase of $4.8 million, or 100%. The increase was primarily due to a $2.1 million increase in salaries, related benefits, and stock-based compensation due to an increase in headcount to support on-going development of our products, a $1.1 million increase in laboratory supplies and equipment expense, a $0.9 million increase in costs for development services and a $0.7 million increase in facilities costs.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ind w:right="380" w:firstLine="324"/>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were $6.4 million for the three months ended March 31, 2022, compared to $3.6 million for the three months ended March 31, 2021, an increase of $2.8 million, or 78%. The increase was primarily due to a $1.3 million increase in salaries, related benefits, and stock-based compensation due to an increase in headcount, a $0.8 million increase in insurance costs, and a $0.3 million increase in facilities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three months ended March 31, 2022 as compared to the three months ended March 31, 2021 changed primarily due to income from accretion and amortization on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Our net loss was $15.8 million for the three months ended March 31, 2022. As of March 31, 2022, we had an accumulated deficit of $96.4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March 31, 2022, we had cash, cash equivalents and short-term investments of $324.1 million.</w:t>
      </w:r>
    </w:p>
    <w:p>
      <w:pPr>
        <w:spacing w:after="0" w:line="13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5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proteomics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proteomics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7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38"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commercialization of our products, if ever, we will continue to require substantial additional capital to develop our proteomics platform and fund operations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6"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2022 and 2021</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(6,253)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23,518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(2,069)</w:t>
            </w: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15,196</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net cash used in operating activities was $12.3 million, primarily resulting from our operating loss of $15.8 million, offset by non-cash charges aggregating $2.9 million, which primarily included $2.1 million of stock-based compensation and $0.5 million amortization of operating lease right-of-use assets. Net cash used in operating activities was increased by net changes in assets and liabilities aggregating $0.5 million, primarily driven by $0.6 million decrease in prepaid expenses and other assets.</w:t>
      </w:r>
    </w:p>
    <w:p>
      <w:pPr>
        <w:spacing w:after="0" w:line="12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net cash used in operating activities was $6.3 million, primarily resulting from our operating loss of $8.4 million, offset by non-cash charges aggregating $2.1 million, which primarily included $1.3 million of stock-based compensation and $0.4 million amortization of operating lease right-of-use assets.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net cash provided by investing activities was $15.2 million, primarily resulting from $38.6 million in proceeds from maturities of securities, partially offset by $22.9 million in purchases of securities and $0.5 million in purchases of property and equipment.</w:t>
      </w:r>
    </w:p>
    <w:p>
      <w:pPr>
        <w:spacing w:after="0" w:line="10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2021, net cash provided by investing activities was $23.5 million, primarily resulting from $24.0 million in proceeds from maturities of securities, partially offset by $0.5 million in purchases of property and equipment.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2022, net cash provided by financing activities was $0.2 million of proceeds from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right="1180" w:firstLine="324"/>
        <w:spacing w:after="0" w:line="43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2021, net cash used in financing activities was $2.1 million from payments of offering costs. </w:t>
      </w:r>
      <w:r>
        <w:rPr>
          <w:rFonts w:ascii="Times New Roman" w:cs="Times New Roman" w:eastAsia="Times New Roman" w:hAnsi="Times New Roman"/>
          <w:sz w:val="18"/>
          <w:szCs w:val="18"/>
          <w:b w:val="1"/>
          <w:bCs w:val="1"/>
          <w:color w:val="auto"/>
        </w:rPr>
        <w:t>Contractual Obligations and Commitments</w:t>
      </w:r>
    </w:p>
    <w:p>
      <w:pPr>
        <w:spacing w:after="0" w:line="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contractual obligations and commitments, refer to Part I, Item 1, Note 10, “Commitments and Contingencies,” in our notes to condensed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2021 and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market risk exposure is primarily a result of fluctuations in interest rates and inflation. We do not hold or issue financial instruments for trading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had cash, cash equivalents, short-term and long-term investments of $349.0 million as of March 31, 2022.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March 31, 2022, the effect of a hypothetical 1.00% (100 basis point) change in interest rates would have changed the fair value of our marketable securities by $1.0 million. Such change would only be realized if we sold the marketable securities prior to maturity.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March 31, 2022.</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2022 that has materially affected, or is reasonably likely to materially affect, our internal control over financial reporting.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4" w:name="page35"/>
    <w:bookmarkEnd w:id="3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and uncertainties that make investing in our company risky include, among others: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4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07" w:lineRule="exact"/>
        <w:rPr>
          <w:rFonts w:ascii="Times New Roman" w:cs="Times New Roman" w:eastAsia="Times New Roman" w:hAnsi="Times New Roman"/>
          <w:sz w:val="18"/>
          <w:szCs w:val="18"/>
          <w:color w:val="auto"/>
        </w:rPr>
      </w:pPr>
    </w:p>
    <w:p>
      <w:pPr>
        <w:ind w:right="24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platform.</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8"/>
          <w:szCs w:val="18"/>
          <w:color w:val="auto"/>
        </w:rPr>
      </w:pPr>
    </w:p>
    <w:p>
      <w:pPr>
        <w:ind w:right="86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8"/>
          <w:szCs w:val="18"/>
          <w:color w:val="auto"/>
        </w:rPr>
      </w:pPr>
    </w:p>
    <w:p>
      <w:pPr>
        <w:ind w:right="26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development and commercialization plans.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right="480" w:firstLine="332"/>
        <w:spacing w:after="0" w:line="282" w:lineRule="auto"/>
        <w:tabs>
          <w:tab w:leader="none" w:pos="6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ind w:left="620" w:hanging="32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5" w:lineRule="exact"/>
        <w:rPr>
          <w:sz w:val="20"/>
          <w:szCs w:val="20"/>
          <w:color w:val="auto"/>
        </w:rPr>
      </w:pPr>
    </w:p>
    <w:p>
      <w:pPr>
        <w:ind w:left="-40" w:right="4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171" w:lineRule="exact"/>
        <w:rPr>
          <w:rFonts w:ascii="Times New Roman" w:cs="Times New Roman" w:eastAsia="Times New Roman" w:hAnsi="Times New Roman"/>
          <w:sz w:val="18"/>
          <w:szCs w:val="18"/>
          <w:color w:val="auto"/>
        </w:rPr>
      </w:pPr>
    </w:p>
    <w:p>
      <w:pPr>
        <w:ind w:left="-4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additional, U.S. federal and state laws and regulations, as well as the laws and regulations of other countries, relating to how we collect, store and processes personal information.</w:t>
      </w:r>
    </w:p>
    <w:p>
      <w:pPr>
        <w:spacing w:after="0" w:line="107" w:lineRule="exact"/>
        <w:rPr>
          <w:rFonts w:ascii="Times New Roman" w:cs="Times New Roman" w:eastAsia="Times New Roman" w:hAnsi="Times New Roman"/>
          <w:sz w:val="18"/>
          <w:szCs w:val="18"/>
          <w:color w:val="auto"/>
        </w:rPr>
      </w:pPr>
    </w:p>
    <w:p>
      <w:pPr>
        <w:ind w:left="-40" w:right="66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8"/>
          <w:szCs w:val="18"/>
          <w:color w:val="auto"/>
        </w:rPr>
      </w:pPr>
    </w:p>
    <w:p>
      <w:pPr>
        <w:ind w:left="-40" w:right="24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8"/>
          <w:szCs w:val="18"/>
          <w:color w:val="auto"/>
        </w:rPr>
      </w:pPr>
    </w:p>
    <w:p>
      <w:pPr>
        <w:ind w:left="-40" w:right="8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71" w:lineRule="exact"/>
        <w:rPr>
          <w:rFonts w:ascii="Times New Roman" w:cs="Times New Roman" w:eastAsia="Times New Roman" w:hAnsi="Times New Roman"/>
          <w:sz w:val="18"/>
          <w:szCs w:val="18"/>
          <w:color w:val="auto"/>
        </w:rPr>
      </w:pPr>
    </w:p>
    <w:p>
      <w:pPr>
        <w:ind w:left="-40" w:right="420" w:firstLine="332"/>
        <w:spacing w:after="0" w:line="282" w:lineRule="auto"/>
        <w:tabs>
          <w:tab w:leader="none" w:pos="6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financial results could be adversely impacted by the COVID-19 pandemic in the United States and the rest of the world.</w:t>
      </w:r>
    </w:p>
    <w:p>
      <w:pPr>
        <w:spacing w:after="0" w:line="171"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left="-40" w:right="40" w:firstLine="332"/>
        <w:spacing w:after="0" w:line="282" w:lineRule="auto"/>
        <w:tabs>
          <w:tab w:leader="none" w:pos="6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ind w:left="620" w:hanging="32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increased costs and management resources as a result of operating as a public company.</w:t>
      </w:r>
    </w:p>
    <w:p>
      <w:pPr>
        <w:spacing w:after="0" w:line="171" w:lineRule="exact"/>
        <w:rPr>
          <w:rFonts w:ascii="Times New Roman" w:cs="Times New Roman" w:eastAsia="Times New Roman" w:hAnsi="Times New Roman"/>
          <w:sz w:val="18"/>
          <w:szCs w:val="18"/>
          <w:color w:val="auto"/>
        </w:rPr>
      </w:pPr>
    </w:p>
    <w:p>
      <w:pPr>
        <w:ind w:left="-40" w:right="20" w:firstLine="332"/>
        <w:spacing w:after="0" w:line="282" w:lineRule="auto"/>
        <w:tabs>
          <w:tab w:leader="none" w:pos="6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107" w:lineRule="exact"/>
        <w:rPr>
          <w:rFonts w:ascii="Times New Roman" w:cs="Times New Roman" w:eastAsia="Times New Roman" w:hAnsi="Times New Roman"/>
          <w:sz w:val="18"/>
          <w:szCs w:val="18"/>
          <w:color w:val="auto"/>
        </w:rPr>
      </w:pPr>
    </w:p>
    <w:p>
      <w:pPr>
        <w:ind w:left="-40" w:right="160" w:firstLine="332"/>
        <w:spacing w:after="0" w:line="282" w:lineRule="auto"/>
        <w:tabs>
          <w:tab w:leader="none" w:pos="6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6" w:name="page37"/>
    <w:bookmarkEnd w:id="36"/>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$15.8 million and $8.4 million during the three months ended March 31, 2022 and 2021, respectively. As of March 31, 2022, we had an accumulated deficit of $96.4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34"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2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may rely on co-development partners to assist us in the development of certain component technologies in our platform. These partners may not be successful in delivering these component technologies on time, to our specifications, or at all,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2"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 We do not expect to realize any material revenue prior to the second half of 2023.</w:t>
      </w:r>
    </w:p>
    <w:p>
      <w:pPr>
        <w:spacing w:after="0" w:line="12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2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entering into collaborations, the success of such collaborations will depend heavily on the efforts and activities of our collaborators.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a specific project;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products or may elect not to continue or renew development or</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8" w:name="page39"/>
    <w:bookmarkEnd w:id="38"/>
    <w:p>
      <w:pPr>
        <w:spacing w:after="0" w:line="140" w:lineRule="exact"/>
        <w:rPr>
          <w:sz w:val="20"/>
          <w:szCs w:val="20"/>
          <w:color w:val="auto"/>
        </w:rPr>
      </w:pPr>
    </w:p>
    <w:p>
      <w:pPr>
        <w:ind w:right="24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right="60" w:firstLine="332"/>
        <w:spacing w:after="0" w:line="266"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color w:val="auto"/>
        </w:rPr>
      </w:pPr>
    </w:p>
    <w:p>
      <w:pPr>
        <w:ind w:right="58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8"/>
          <w:szCs w:val="18"/>
          <w:color w:val="auto"/>
        </w:rPr>
      </w:pPr>
    </w:p>
    <w:p>
      <w:pPr>
        <w:ind w:right="38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0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 if we are able to complete development of our Nautilus platform, we may not achieve or maintain significant commercial market acceptance.</w:t>
      </w:r>
    </w:p>
    <w:p>
      <w:pPr>
        <w:spacing w:after="0" w:line="175"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3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marketing and engagement initiatives to increase awareness of the capabilities of our Nautilus platform;</w:t>
      </w:r>
    </w:p>
    <w:p>
      <w:pPr>
        <w:spacing w:after="0" w:line="171" w:lineRule="exact"/>
        <w:rPr>
          <w:rFonts w:ascii="Times New Roman" w:cs="Times New Roman" w:eastAsia="Times New Roman" w:hAnsi="Times New Roman"/>
          <w:sz w:val="18"/>
          <w:szCs w:val="18"/>
          <w:color w:val="auto"/>
        </w:rPr>
      </w:pPr>
    </w:p>
    <w:p>
      <w:pPr>
        <w:ind w:right="220" w:firstLine="332"/>
        <w:spacing w:after="0" w:line="28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Nautilus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prospective customers to adopt new products and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Nautilus platform and whether it reliably provides significant advantages over alternative products and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Nautilus platform by biopharmaceutical companies, laboratories, academic institutions and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workflows, and solutions that meet customer requirements;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1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2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develop these functions successfully, we will face a number of additional risks, including:</w:t>
      </w:r>
    </w:p>
    <w:p>
      <w:pPr>
        <w:spacing w:after="0" w:line="171" w:lineRule="exact"/>
        <w:rPr>
          <w:sz w:val="20"/>
          <w:szCs w:val="20"/>
          <w:color w:val="auto"/>
        </w:rPr>
      </w:pPr>
    </w:p>
    <w:p>
      <w:pPr>
        <w:ind w:right="40" w:firstLine="332"/>
        <w:spacing w:after="0" w:line="266"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9"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2"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rely on single source suppliers for certain components and materials used in our Nautilus platform, including our click-reagent modified oligos, glass or silicon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3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29"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3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6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0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are engaged with a number of third party collaborators who assist us in co-development of certain aspects of the Nautilus platform, including, for example, certain affinity reagents and array chip substrates. Our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3" w:name="page44"/>
    <w:bookmarkEnd w:id="43"/>
    <w:p>
      <w:pPr>
        <w:spacing w:after="0" w:line="1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2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4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Ag-Bio companies engaged in research and commercial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Ag-Bio industries;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7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2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Nautilus platform;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successfully maintain appropriate collaborations and derive revenue from those collaborations;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our Nautilus platform on our anticipated timeline.</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08" w:lineRule="exact"/>
        <w:rPr>
          <w:sz w:val="20"/>
          <w:szCs w:val="20"/>
          <w:color w:val="auto"/>
        </w:rPr>
      </w:pPr>
    </w:p>
    <w:p>
      <w:pPr>
        <w:ind w:right="16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Nautilus platform,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Nautilus platform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07" w:lineRule="exact"/>
        <w:rPr>
          <w:rFonts w:ascii="Times New Roman" w:cs="Times New Roman" w:eastAsia="Times New Roman" w:hAnsi="Times New Roman"/>
          <w:sz w:val="18"/>
          <w:szCs w:val="18"/>
          <w:color w:val="auto"/>
        </w:rPr>
      </w:pPr>
    </w:p>
    <w:p>
      <w:pPr>
        <w:ind w:right="380" w:firstLine="332"/>
        <w:spacing w:after="0" w:line="282" w:lineRule="auto"/>
        <w:tabs>
          <w:tab w:leader="none" w:pos="6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2"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a life sciences technology company with a limited operating history. We have not completed development of our Nautilus platform or any other products and have not generated any revenue to 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development and commercialization plans.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0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Nautilus platform or any other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Nautilus platform, once commercialized;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future licensing arrangements with third parties, these patents and applications may not be prosecuted and enforced by such third parties in a manner consistent with the best interests of our business.</w:t>
      </w:r>
    </w:p>
    <w:p>
      <w:pPr>
        <w:spacing w:after="0" w:line="10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9"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jc w:val="both"/>
        <w:ind w:right="4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40"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3"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9"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Nautilus platform for an adequate amount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0" w:lineRule="exact"/>
        <w:rPr>
          <w:sz w:val="20"/>
          <w:szCs w:val="20"/>
          <w:color w:val="auto"/>
        </w:rPr>
      </w:pPr>
    </w:p>
    <w:p>
      <w:pPr>
        <w:jc w:val="both"/>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9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2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right="20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left="340" w:right="720"/>
        <w:spacing w:after="0" w:line="435"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materially adversely affect our business, financial condition, results of operations and prospects. </w:t>
      </w:r>
      <w:r>
        <w:rPr>
          <w:rFonts w:ascii="Times New Roman" w:cs="Times New Roman" w:eastAsia="Times New Roman" w:hAnsi="Times New Roman"/>
          <w:sz w:val="18"/>
          <w:szCs w:val="18"/>
          <w:b w:val="1"/>
          <w:bCs w:val="1"/>
          <w:color w:val="auto"/>
        </w:rPr>
        <w:t>Risks Related to Litigation</w:t>
      </w:r>
    </w:p>
    <w:p>
      <w:pPr>
        <w:spacing w:after="0" w:line="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32"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40"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71" w:lineRule="exact"/>
        <w:rPr>
          <w:rFonts w:ascii="Times New Roman" w:cs="Times New Roman" w:eastAsia="Times New Roman" w:hAnsi="Times New Roman"/>
          <w:sz w:val="18"/>
          <w:szCs w:val="18"/>
          <w:color w:val="auto"/>
        </w:rPr>
      </w:pPr>
    </w:p>
    <w:p>
      <w:pPr>
        <w:ind w:left="340" w:right="80" w:hanging="8"/>
        <w:spacing w:after="0" w:line="435" w:lineRule="auto"/>
        <w:tabs>
          <w:tab w:leader="none" w:pos="6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we could face substantial liabilities that exceed our resources.</w:t>
      </w:r>
    </w:p>
    <w:p>
      <w:pPr>
        <w:spacing w:after="0" w:line="1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1"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0"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August 2020 announcement, this 2020 policy statement is no longer posted on the HHS website.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of our product launches or our changes to our current marketing strategy could significantly increase our costs and delay our commercialization plans, which could harm our financial prospects.</w:t>
      </w:r>
    </w:p>
    <w:p>
      <w:pPr>
        <w:spacing w:after="0" w:line="104"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32"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05"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8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w:t>
      </w:r>
    </w:p>
    <w:p>
      <w:pPr>
        <w:spacing w:after="0" w:line="171" w:lineRule="exact"/>
        <w:rPr>
          <w:rFonts w:ascii="Times New Roman" w:cs="Times New Roman" w:eastAsia="Times New Roman" w:hAnsi="Times New Roman"/>
          <w:sz w:val="18"/>
          <w:szCs w:val="18"/>
          <w:color w:val="auto"/>
        </w:rPr>
      </w:pPr>
    </w:p>
    <w:p>
      <w:pPr>
        <w:ind w:right="420" w:firstLine="332"/>
        <w:spacing w:after="0" w:line="282"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3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34"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22"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9"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4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3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3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March 31, 2022, we had 119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38"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29"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have limited experience in acquiring other businesses or technologies. We may not be able to successfully integrate acquired personnel, operations and technologies, or effectively manage the combined business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3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22" w:lineRule="exact"/>
        <w:rPr>
          <w:sz w:val="20"/>
          <w:szCs w:val="20"/>
          <w:color w:val="auto"/>
        </w:rPr>
      </w:pPr>
    </w:p>
    <w:p>
      <w:pPr>
        <w:jc w:val="both"/>
        <w:ind w:right="140" w:firstLine="324"/>
        <w:spacing w:after="0" w:line="256" w:lineRule="auto"/>
        <w:rPr>
          <w:sz w:val="20"/>
          <w:szCs w:val="20"/>
          <w:color w:val="auto"/>
        </w:rPr>
      </w:pPr>
      <w:r>
        <w:rPr>
          <w:rFonts w:ascii="Times New Roman" w:cs="Times New Roman" w:eastAsia="Times New Roman" w:hAnsi="Times New Roman"/>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3"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supply chains of entities providing important services and products to our Nautilus platform;</w:t>
      </w:r>
    </w:p>
    <w:p>
      <w:pPr>
        <w:spacing w:after="0" w:line="171" w:lineRule="exact"/>
        <w:rPr>
          <w:rFonts w:ascii="Times New Roman" w:cs="Times New Roman" w:eastAsia="Times New Roman" w:hAnsi="Times New Roman"/>
          <w:sz w:val="18"/>
          <w:szCs w:val="18"/>
          <w:color w:val="auto"/>
        </w:rPr>
      </w:pPr>
    </w:p>
    <w:p>
      <w:pPr>
        <w:ind w:right="120" w:firstLine="332"/>
        <w:spacing w:after="0" w:line="266" w:lineRule="auto"/>
        <w:tabs>
          <w:tab w:leader="none" w:pos="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1" w:lineRule="exact"/>
        <w:rPr>
          <w:rFonts w:ascii="Times New Roman" w:cs="Times New Roman" w:eastAsia="Times New Roman" w:hAnsi="Times New Roman"/>
          <w:sz w:val="18"/>
          <w:szCs w:val="18"/>
          <w:color w:val="auto"/>
        </w:rPr>
      </w:pPr>
    </w:p>
    <w:p>
      <w:pPr>
        <w:ind w:right="80" w:firstLine="332"/>
        <w:spacing w:after="0" w:line="266" w:lineRule="auto"/>
        <w:tabs>
          <w:tab w:leader="none" w:pos="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2" w:lineRule="exact"/>
        <w:rPr>
          <w:sz w:val="20"/>
          <w:szCs w:val="20"/>
          <w:color w:val="auto"/>
        </w:rPr>
      </w:pPr>
    </w:p>
    <w:p>
      <w:pPr>
        <w:jc w:val="both"/>
        <w:ind w:right="60" w:firstLine="324"/>
        <w:spacing w:after="0" w:line="289" w:lineRule="auto"/>
        <w:rPr>
          <w:sz w:val="20"/>
          <w:szCs w:val="20"/>
          <w:color w:val="auto"/>
        </w:rPr>
      </w:pPr>
      <w:r>
        <w:rPr>
          <w:rFonts w:ascii="Times New Roman" w:cs="Times New Roman" w:eastAsia="Times New Roman" w:hAnsi="Times New Roman"/>
          <w:sz w:val="17"/>
          <w:szCs w:val="17"/>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18"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0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supply chain interruptions. Current or future supply chain interruptions that could be exacerbated by global political tensions, such as the situation in Ukraine, could negatively impact our ability to further develop our products or to manufacture and deliver our products or services, which could negatively impact our timelines and business results. For example, as discussed in the risk factor above entitled “</w:t>
      </w:r>
      <w:r>
        <w:rPr>
          <w:rFonts w:ascii="Times New Roman" w:cs="Times New Roman" w:eastAsia="Times New Roman" w:hAnsi="Times New Roman"/>
          <w:sz w:val="18"/>
          <w:szCs w:val="18"/>
          <w:b w:val="1"/>
          <w:bCs w:val="1"/>
          <w:i w:val="1"/>
          <w:iCs w:val="1"/>
          <w:color w:val="auto"/>
        </w:rPr>
        <w:t>The COVID-19 pandemic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efforts to reduce its spread have adversely impacted and are expected to continue to materially and adversely impact, our business and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similar delays could impact us if they recur or are exacerbated due to the situation in Ukraine.</w:t>
      </w:r>
    </w:p>
    <w:p>
      <w:pPr>
        <w:spacing w:after="0" w:line="13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Seattle, Washington, facility houses our corporate executive team and our software development operations, while our San Carlos, California facility houses our research and development team.</w:t>
      </w:r>
    </w:p>
    <w:p>
      <w:pPr>
        <w:spacing w:after="0" w:line="108" w:lineRule="exact"/>
        <w:rPr>
          <w:sz w:val="20"/>
          <w:szCs w:val="20"/>
          <w:color w:val="auto"/>
        </w:rPr>
      </w:pPr>
    </w:p>
    <w:p>
      <w:pPr>
        <w:ind w:right="100" w:firstLine="324"/>
        <w:spacing w:after="0" w:line="272" w:lineRule="auto"/>
        <w:rPr>
          <w:sz w:val="20"/>
          <w:szCs w:val="20"/>
          <w:color w:val="auto"/>
        </w:rPr>
      </w:pPr>
      <w:r>
        <w:rPr>
          <w:rFonts w:ascii="Times New Roman" w:cs="Times New Roman" w:eastAsia="Times New Roman" w:hAnsi="Times New Roman"/>
          <w:sz w:val="17"/>
          <w:szCs w:val="17"/>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1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property and the disruption of our business, this insurance may not be sufficient to cover all of our potential losses and may not continue to be available to us on acceptable terms, or at all.</w:t>
      </w:r>
    </w:p>
    <w:p>
      <w:pPr>
        <w:spacing w:after="0" w:line="104"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17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171" w:lineRule="exact"/>
        <w:rPr>
          <w:sz w:val="20"/>
          <w:szCs w:val="20"/>
          <w:color w:val="auto"/>
        </w:rPr>
      </w:pPr>
    </w:p>
    <w:p>
      <w:pPr>
        <w:ind w:right="6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right="30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right="40" w:firstLine="332"/>
        <w:spacing w:after="0" w:line="266" w:lineRule="auto"/>
        <w:tabs>
          <w:tab w:leader="none" w:pos="6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lock-up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08"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67"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our directors, executive officers, holders of more than 5% of our outstanding shares of Common Stock and their respective affiliates beneficially owned, collectively, approximately 68.2%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06"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Common Stock were initially restricted from immediate resale in connection with the closing of the Business Combination but the restrictions have expired and such shares may now be sold into the market. This could cause the market price of our Common Stock to drop significantly, even if our business is doing well.</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were restricted from selling or transferring any shares of our Common Stock for a period of 180 days from the closing of the Business Combination. However, such restrictions expired on December 6, 2021, and these shares of Common Stock may now be sold into the market. Pursuant to the Registration Rights and Lock-Up Agreement and the Subscription Agreements entered into in connection with the PIPE Financing, we filed resale registration statements to provide for the resale of the shares issued in the PIPE Financing and the shares of our Common Stock held by the parties to the Registration Rights and Lock-Up Agreement. The market price of our Common Stock could decline if the holders of previously restricted shares and/or holders whose shares are registered under such registration statements sell their shares or are perceived by the market as intending to sell their shares.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6"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9" w:lineRule="exact"/>
        <w:rPr>
          <w:sz w:val="20"/>
          <w:szCs w:val="20"/>
          <w:color w:val="auto"/>
        </w:rPr>
      </w:pPr>
    </w:p>
    <w:p>
      <w:pPr>
        <w:ind w:right="240" w:firstLine="332"/>
        <w:spacing w:after="0" w:line="282" w:lineRule="auto"/>
        <w:tabs>
          <w:tab w:leader="none" w:pos="6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280" w:firstLine="332"/>
        <w:spacing w:after="0" w:line="282" w:lineRule="auto"/>
        <w:tabs>
          <w:tab w:leader="none" w:pos="6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certain provisions of our bylaws require the approval of stockholders holding two-thirds of the voting power of our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40"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only able to take action at a meeting of stockholders and are not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are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and management resources as a result of operating as a public company.</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2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0" w:lineRule="exact"/>
        <w:rPr>
          <w:sz w:val="20"/>
          <w:szCs w:val="20"/>
          <w:color w:val="auto"/>
        </w:rPr>
      </w:pPr>
    </w:p>
    <w:p>
      <w:pPr>
        <w:ind w:left="340" w:right="60"/>
        <w:spacing w:after="0" w:line="3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broad discretion in the use of the net proceeds from the Business Combination and the PIPE Financing and may not use them effectively. </w:t>
      </w:r>
      <w:r>
        <w:rPr>
          <w:rFonts w:ascii="Times New Roman" w:cs="Times New Roman" w:eastAsia="Times New Roman" w:hAnsi="Times New Roman"/>
          <w:sz w:val="17"/>
          <w:szCs w:val="17"/>
          <w:color w:val="auto"/>
        </w:rPr>
        <w:t>We cannot specify with certainty the particular uses of the net proceeds we received from the Business Combination and the PIPE Financing. Our</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Business Combination and the PIPE Financing in a manner that does not produce income or that loses value.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of December 31, 2021, we had U.S. federal and state net operating loss carryforwards, or NOLs, of $0.5 million for federal and $9.1 million for state, which if not utilized will expire in 2037. Federal net operating loss carryforwards of $31.6 million that arose after the 2017 tax year will carryforward indefinitely.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38"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3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6" w:name="page77"/>
    <w:bookmarkEnd w:id="7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20" w:type="dxa"/>
            <w:vAlign w:val="bottom"/>
            <w:gridSpan w:val="8"/>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2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500" w:type="dxa"/>
            <w:vAlign w:val="bottom"/>
            <w:tcBorders>
              <w:top w:val="single" w:sz="8" w:color="auto"/>
              <w:bottom w:val="single" w:sz="8" w:color="0000FF"/>
            </w:tcBorders>
            <w:gridSpan w:val="3"/>
          </w:tcPr>
          <w:p>
            <w:pPr>
              <w:spacing w:after="0" w:line="188" w:lineRule="exact"/>
              <w:rPr>
                <w:sz w:val="20"/>
                <w:szCs w:val="20"/>
                <w:color w:val="auto"/>
              </w:rPr>
            </w:pPr>
            <w:r>
              <w:rPr>
                <w:rFonts w:ascii="Times New Roman" w:cs="Times New Roman" w:eastAsia="Times New Roman" w:hAnsi="Times New Roman"/>
                <w:sz w:val="18"/>
                <w:szCs w:val="18"/>
                <w:color w:val="0000FF"/>
                <w:w w:val="99"/>
              </w:rPr>
              <w:t>Offer Letter between Nautilus Biotechnology, Inc. and Gwen Weld dated March 28, 2022.</w:t>
            </w:r>
          </w:p>
        </w:tc>
        <w:tc>
          <w:tcPr>
            <w:tcW w:w="3520" w:type="dxa"/>
            <w:vAlign w:val="bottom"/>
            <w:tcBorders>
              <w:top w:val="single" w:sz="8" w:color="auto"/>
            </w:tcBorders>
            <w:gridSpan w:val="6"/>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Change in Control and Severance Agreement between Nautilus Biotechnology, Inc. and Gwen Weld dated April 12, 2022.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32.1*</w:t>
            </w: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20" w:type="dxa"/>
            <w:vAlign w:val="bottom"/>
            <w:tcBorders>
              <w:top w:val="single" w:sz="8" w:color="0000FF"/>
            </w:tcBorders>
            <w:gridSpan w:val="6"/>
          </w:tcPr>
          <w:p>
            <w:pPr>
              <w:spacing w:after="0"/>
              <w:rPr>
                <w:sz w:val="13"/>
                <w:szCs w:val="13"/>
                <w:color w:val="auto"/>
              </w:rPr>
            </w:pP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32.2*</w:t>
            </w: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4"/>
          </w:tcPr>
          <w:p>
            <w:pPr>
              <w:spacing w:after="0"/>
              <w:rPr>
                <w:sz w:val="13"/>
                <w:szCs w:val="13"/>
                <w:color w:val="auto"/>
              </w:rPr>
            </w:pPr>
          </w:p>
        </w:tc>
        <w:tc>
          <w:tcPr>
            <w:tcW w:w="4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18"/>
                <w:szCs w:val="18"/>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19"/>
                <w:szCs w:val="19"/>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0"/>
                <w:szCs w:val="20"/>
                <w:color w:val="auto"/>
              </w:rPr>
            </w:pP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20" w:hanging="1194"/>
        <w:spacing w:after="0"/>
        <w:tabs>
          <w:tab w:leader="none" w:pos="12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5" w:lineRule="exact"/>
        <w:rPr>
          <w:sz w:val="20"/>
          <w:szCs w:val="20"/>
          <w:color w:val="auto"/>
        </w:rPr>
      </w:pPr>
    </w:p>
    <w:p>
      <w:pPr>
        <w:ind w:left="340" w:right="100" w:hanging="332"/>
        <w:spacing w:after="0" w:line="272" w:lineRule="auto"/>
        <w:tabs>
          <w:tab w:leader="none" w:pos="12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78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Sujal Patel</w:t>
            </w:r>
          </w:p>
        </w:tc>
      </w:tr>
      <w:tr>
        <w:trPr>
          <w:trHeight w:val="218"/>
        </w:trPr>
        <w:tc>
          <w:tcPr>
            <w:tcW w:w="3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78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Anna Mowry</w:t>
            </w:r>
          </w:p>
        </w:tc>
      </w:tr>
      <w:tr>
        <w:trPr>
          <w:trHeight w:val="218"/>
        </w:trPr>
        <w:tc>
          <w:tcPr>
            <w:tcW w:w="3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Anna Mowry</w:t>
            </w:r>
          </w:p>
        </w:tc>
      </w:tr>
      <w:tr>
        <w:trPr>
          <w:trHeight w:val="234"/>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28,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Gwen Weld</w:t>
      </w:r>
    </w:p>
    <w:p>
      <w:pPr>
        <w:spacing w:after="0"/>
        <w:rPr>
          <w:sz w:val="20"/>
          <w:szCs w:val="20"/>
          <w:color w:val="auto"/>
        </w:rPr>
      </w:pPr>
      <w:r>
        <w:rPr>
          <w:rFonts w:ascii="Times New Roman" w:cs="Times New Roman" w:eastAsia="Times New Roman" w:hAnsi="Times New Roman"/>
          <w:sz w:val="21"/>
          <w:szCs w:val="21"/>
          <w:color w:val="auto"/>
        </w:rPr>
        <w:t>Via email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Offer of Employment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Gwen:</w:t>
      </w:r>
    </w:p>
    <w:p>
      <w:pPr>
        <w:spacing w:after="0" w:line="17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1"/>
          <w:szCs w:val="21"/>
          <w:color w:val="auto"/>
        </w:rPr>
        <w:t>I am pleased to offer you a position with Nautilus Biotechnology,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1"/>
          <w:szCs w:val="21"/>
          <w:color w:val="auto"/>
        </w:rPr>
        <w:t>”) in accordance with the terms of this offer letter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ind w:firstLine="656"/>
        <w:spacing w:after="0" w:line="217" w:lineRule="auto"/>
        <w:tabs>
          <w:tab w:leader="none" w:pos="128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Title; Position; Location</w:t>
      </w:r>
      <w:r>
        <w:rPr>
          <w:rFonts w:ascii="Times New Roman" w:cs="Times New Roman" w:eastAsia="Times New Roman" w:hAnsi="Times New Roman"/>
          <w:sz w:val="21"/>
          <w:szCs w:val="21"/>
          <w:color w:val="auto"/>
        </w:rPr>
        <w:t>. You will serve as the Company’s Chief People Officer. You will report to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Chief Executive Officer and will perform the duties and responsibilities customary for such position and such other related duties as are reasonably assigned by the Chief Executive Officer. You will perform your duties from the Company’s corporate offices located in Seattle, Washington (with the exception of the period during which any shelter-in-place order, quarantine order, or similar work-from-home requirement affecting your ability to work at the Company’s corporate offices remains in effect), subject to customary travel as reasonably required by the Company and necessary to perform your job duties.</w:t>
      </w:r>
    </w:p>
    <w:p>
      <w:pPr>
        <w:spacing w:after="0" w:line="147" w:lineRule="exact"/>
        <w:rPr>
          <w:rFonts w:ascii="Times New Roman" w:cs="Times New Roman" w:eastAsia="Times New Roman" w:hAnsi="Times New Roman"/>
          <w:sz w:val="21"/>
          <w:szCs w:val="21"/>
          <w:color w:val="auto"/>
        </w:rPr>
      </w:pPr>
    </w:p>
    <w:p>
      <w:pPr>
        <w:jc w:val="both"/>
        <w:ind w:firstLine="656"/>
        <w:spacing w:after="0"/>
        <w:tabs>
          <w:tab w:leader="none" w:pos="128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Your initial annual base salary will be $336,000, which will be payable, less any applicable withholdings,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accordance with the Company’s normal payroll practices. Your base salary will be subject to review and adjustment from time to time by our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or its Compensation Committee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as applicable, in its sole discretion.</w:t>
      </w:r>
    </w:p>
    <w:p>
      <w:pPr>
        <w:spacing w:after="0" w:line="147"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For the Company’s 2022 fiscal year, you will be eligible for a target annual cash bonus opportunity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 to forty percent (40%) of your annual base salary. Any annual bonus will be subject to performance and other criteria established by the Board or the Committee, as applicable, in its sole discretion, and subject to your continued employment through the date that the bonus is paid to you. Your annual bonus opportunity and the applicable terms and conditions may be adjusted from time to time by our Board or the Committee, as applicable, in its sole discretion, and no amount of any annual bonus is guaranteed. In addition, the Board or the Committee, as applicable and in its sole discretion, may approve that the Company grant additional discretionary bonus amounts to you.</w:t>
      </w:r>
    </w:p>
    <w:p>
      <w:pPr>
        <w:spacing w:after="0" w:line="146"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Equity Awards</w:t>
      </w:r>
      <w:r>
        <w:rPr>
          <w:rFonts w:ascii="Times New Roman" w:cs="Times New Roman" w:eastAsia="Times New Roman" w:hAnsi="Times New Roman"/>
          <w:sz w:val="21"/>
          <w:szCs w:val="21"/>
          <w:color w:val="auto"/>
        </w:rPr>
        <w:t>.</w:t>
      </w:r>
    </w:p>
    <w:p>
      <w:pPr>
        <w:spacing w:after="0" w:line="190" w:lineRule="exact"/>
        <w:rPr>
          <w:rFonts w:ascii="Times New Roman" w:cs="Times New Roman" w:eastAsia="Times New Roman" w:hAnsi="Times New Roman"/>
          <w:sz w:val="21"/>
          <w:szCs w:val="21"/>
          <w:color w:val="auto"/>
        </w:rPr>
      </w:pPr>
    </w:p>
    <w:p>
      <w:pPr>
        <w:jc w:val="both"/>
        <w:ind w:firstLine="1304"/>
        <w:spacing w:after="0" w:line="210" w:lineRule="auto"/>
        <w:tabs>
          <w:tab w:leader="none" w:pos="193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It will be recommended that, subject to the approval of the Board or Committee, as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grant you an award of stock options (the “</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to purchase 375,000 shares of the Company’s common stock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under the Company’s 2021 Equity Incentive Plan (or any successor plan, as applicable)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and an applicable option agreement thereunder, with an exercise price per Share that is no less than the fair market value per Share on the Option’s date of grant, as determined by the Board. The Company will recommend that the Option be scheduled to vest and become exercisable as to one-fourth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of the Shares subject to the Option on the one-year anniversary of the vesting commencement date (as will be set forth in your option agreement), and as to one forty-eighth (1/48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spacing w:after="0" w:line="167" w:lineRule="exact"/>
        <w:rPr>
          <w:rFonts w:ascii="Times New Roman" w:cs="Times New Roman" w:eastAsia="Times New Roman" w:hAnsi="Times New Roman"/>
          <w:sz w:val="20"/>
          <w:szCs w:val="20"/>
          <w:color w:val="auto"/>
        </w:rPr>
      </w:pPr>
    </w:p>
    <w:p>
      <w:pPr>
        <w:jc w:val="both"/>
        <w:ind w:firstLine="656"/>
        <w:spacing w:after="0" w:line="224" w:lineRule="auto"/>
        <w:tabs>
          <w:tab w:leader="none" w:pos="128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Employee Benefits</w:t>
      </w:r>
      <w:r>
        <w:rPr>
          <w:rFonts w:ascii="Times New Roman" w:cs="Times New Roman" w:eastAsia="Times New Roman" w:hAnsi="Times New Roman"/>
          <w:sz w:val="21"/>
          <w:szCs w:val="21"/>
          <w:color w:val="auto"/>
        </w:rPr>
        <w:t>. You will be eligible to participate in the benefit plans and programs established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its employees from time to time, subject to their applicable terms and conditions, including without limitation any eligibility requirements. The Company will</w:t>
      </w:r>
    </w:p>
    <w:p>
      <w:pPr>
        <w:sectPr>
          <w:pgSz w:w="11900" w:h="16838" w:orient="portrait"/>
          <w:cols w:equalWidth="0" w:num="1">
            <w:col w:w="11240"/>
          </w:cols>
          <w:pgMar w:left="320" w:top="104" w:right="339" w:bottom="1440" w:gutter="0" w:footer="0" w:header="0"/>
        </w:sectPr>
      </w:pPr>
    </w:p>
    <w:bookmarkStart w:id="79" w:name="page80"/>
    <w:bookmarkEnd w:id="79"/>
    <w:p>
      <w:pPr>
        <w:jc w:val="both"/>
        <w:spacing w:after="0" w:line="224" w:lineRule="auto"/>
        <w:rPr>
          <w:sz w:val="20"/>
          <w:szCs w:val="20"/>
          <w:color w:val="auto"/>
        </w:rPr>
      </w:pPr>
      <w:r>
        <w:rPr>
          <w:rFonts w:ascii="Times New Roman" w:cs="Times New Roman" w:eastAsia="Times New Roman" w:hAnsi="Times New Roman"/>
          <w:sz w:val="20"/>
          <w:szCs w:val="20"/>
          <w:color w:val="auto"/>
        </w:rPr>
        <w:t>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offers to its employees at any time.</w:t>
      </w:r>
    </w:p>
    <w:p>
      <w:pPr>
        <w:spacing w:after="0" w:line="151" w:lineRule="exact"/>
        <w:rPr>
          <w:sz w:val="20"/>
          <w:szCs w:val="20"/>
          <w:color w:val="auto"/>
        </w:rPr>
      </w:pPr>
    </w:p>
    <w:p>
      <w:pPr>
        <w:jc w:val="both"/>
        <w:ind w:right="20" w:firstLine="656"/>
        <w:spacing w:after="0" w:line="228" w:lineRule="auto"/>
        <w:tabs>
          <w:tab w:leader="none" w:pos="128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Severance</w:t>
      </w:r>
      <w:r>
        <w:rPr>
          <w:rFonts w:ascii="Times New Roman" w:cs="Times New Roman" w:eastAsia="Times New Roman" w:hAnsi="Times New Roman"/>
          <w:sz w:val="21"/>
          <w:szCs w:val="21"/>
          <w:color w:val="auto"/>
        </w:rPr>
        <w:t>. You will be eligible to participate in the Company’s Change in Control and Severance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established, and as may be in effect from time to time, for senior-level employees that is applicable to you consistent with your position within the Company.</w:t>
      </w:r>
    </w:p>
    <w:p>
      <w:pPr>
        <w:spacing w:after="0" w:line="148" w:lineRule="exact"/>
        <w:rPr>
          <w:rFonts w:ascii="Times New Roman" w:cs="Times New Roman" w:eastAsia="Times New Roman" w:hAnsi="Times New Roman"/>
          <w:sz w:val="21"/>
          <w:szCs w:val="21"/>
          <w:color w:val="auto"/>
        </w:rPr>
      </w:pPr>
    </w:p>
    <w:p>
      <w:pPr>
        <w:jc w:val="both"/>
        <w:ind w:firstLine="656"/>
        <w:spacing w:after="0" w:line="228" w:lineRule="auto"/>
        <w:tabs>
          <w:tab w:leader="none" w:pos="128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 As an employee of the Company, you will have access to certain confidential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 and, during the course of your employment, you may develop certain information or inventions that will be the property of the Company. To protect the interests of the Company, you agree to sign and comply with an At-Will Employment, Confidential Information, Invention Assignment and Arbitration Agreement between you and the Company (the “</w:t>
      </w: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Please note that we must receive your signed Confidentiality Agreement before your first day of employment.</w:t>
      </w:r>
    </w:p>
    <w:p>
      <w:pPr>
        <w:spacing w:after="0" w:line="163"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At-Will Employment</w:t>
      </w:r>
      <w:r>
        <w:rPr>
          <w:rFonts w:ascii="Times New Roman" w:cs="Times New Roman" w:eastAsia="Times New Roman" w:hAnsi="Times New Roman"/>
          <w:sz w:val="21"/>
          <w:szCs w:val="21"/>
          <w:color w:val="auto"/>
        </w:rPr>
        <w:t>. This Agreement does not imply any right to your continued employment for any period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or any parent, subsidiary, or other affiliate of the Company. Your employment with the Company is for no specified period and constitutes at-will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150" w:lineRule="exact"/>
        <w:rPr>
          <w:rFonts w:ascii="Times New Roman" w:cs="Times New Roman" w:eastAsia="Times New Roman" w:hAnsi="Times New Roman"/>
          <w:sz w:val="21"/>
          <w:szCs w:val="21"/>
          <w:color w:val="auto"/>
        </w:rPr>
      </w:pPr>
    </w:p>
    <w:p>
      <w:pPr>
        <w:jc w:val="both"/>
        <w:ind w:firstLine="656"/>
        <w:spacing w:after="0" w:line="209" w:lineRule="auto"/>
        <w:tabs>
          <w:tab w:leader="none" w:pos="128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The Company (or its affiliate, as applicable) will have the right and authority to deduct from any payments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under this Agreement all applicable federal, state, and local taxes or other required withholdings and payroll deductions (“</w:t>
      </w:r>
      <w:r>
        <w:rPr>
          <w:rFonts w:ascii="Times New Roman" w:cs="Times New Roman" w:eastAsia="Times New Roman" w:hAnsi="Times New Roman"/>
          <w:sz w:val="21"/>
          <w:szCs w:val="21"/>
          <w:b w:val="1"/>
          <w:bCs w:val="1"/>
          <w:color w:val="auto"/>
        </w:rPr>
        <w:t>Withholdings</w:t>
      </w:r>
      <w:r>
        <w:rPr>
          <w:rFonts w:ascii="Times New Roman" w:cs="Times New Roman" w:eastAsia="Times New Roman" w:hAnsi="Times New Roman"/>
          <w:sz w:val="21"/>
          <w:szCs w:val="21"/>
          <w:color w:val="auto"/>
        </w:rPr>
        <w:t>”). Prior to the payment of any amounts or provision of any benefits under this Agreement, the Company (and its affiliate, as applicable) is permitted to deduct or withhold, or require you to remit to the Company, an amount sufficient to satisfy any applicable Withholdings with respect to such payments and benefits. The payments and benefits under this Agreement are intended to be exempt from, or otherwise to comply with, Section 409A of the Internal Revenue Code of 1986, as amended, and any regulations and other formal guidance promulgated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so that none of the payments and benefits under this Agreement will be subject to the additional tax imposed under Section 409A, and any ambiguities and ambiguous terms herein will be interpreted to be exempt or to so comply. Any taxable reimbursements payable to you under this Agreement will be paid, less applicable withholdings, only with respect to expenses incurred while you are employed with the Company, no later than the last day of your taxable year immediately following your taxable year in which the expense was incurred by you. No such amounts reimbursable to you in one taxable year of yours will affect the amounts reimbursable to you in another taxable year of yours. Notwithstanding any contrary Agreement provision, the Company reserves the right to amend the Agreement as it deems necessary or advisable, in its sole discretion and without your consent or the consent of any other person or entity, to comply with Section 409A or to avoid income recognition under Section 409A or to otherwise avoid the imposition of additional tax under Section 409A prior to the actual payment or provision of any payments or benefits under this Agreement. In no event will you have any discretion to choose your taxable year in which any payments or benefits are provided under this Agreement. In no event will the Company, or any parent, subsidiary or other affiliate of the Company have any responsibility, liability or obligation to reimburse or indemnify you or hold you harmless for any taxes imposed, or other costs incurred, as a result of Section 409A.</w:t>
      </w:r>
    </w:p>
    <w:p>
      <w:pPr>
        <w:spacing w:after="0" w:line="162" w:lineRule="exact"/>
        <w:rPr>
          <w:rFonts w:ascii="Times New Roman" w:cs="Times New Roman" w:eastAsia="Times New Roman" w:hAnsi="Times New Roman"/>
          <w:sz w:val="21"/>
          <w:szCs w:val="21"/>
          <w:color w:val="auto"/>
        </w:rPr>
      </w:pPr>
    </w:p>
    <w:p>
      <w:pPr>
        <w:jc w:val="both"/>
        <w:ind w:firstLine="656"/>
        <w:spacing w:after="0" w:line="221" w:lineRule="auto"/>
        <w:tabs>
          <w:tab w:leader="none" w:pos="128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Additional Employment Provisions</w:t>
      </w:r>
      <w:r>
        <w:rPr>
          <w:rFonts w:ascii="Times New Roman" w:cs="Times New Roman" w:eastAsia="Times New Roman" w:hAnsi="Times New Roman"/>
          <w:sz w:val="21"/>
          <w:szCs w:val="21"/>
          <w:color w:val="auto"/>
        </w:rPr>
        <w:t>. During the term of your employment with the Company, you agree to perform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duties faithfully and to the best of your abilities and will devote your full business efforts and time to rendering services to the Company hereunder. You agree not to bring any third party confidential information to the Company, including that of your former employer, and that in performing your duties for the Company you will not in any way utilize any such</w:t>
      </w:r>
    </w:p>
    <w:p>
      <w:pPr>
        <w:sectPr>
          <w:pgSz w:w="11900" w:h="16838" w:orient="portrait"/>
          <w:cols w:equalWidth="0" w:num="1">
            <w:col w:w="11240"/>
          </w:cols>
          <w:pgMar w:left="320" w:top="1362" w:right="339" w:bottom="1440" w:gutter="0" w:footer="0" w:header="0"/>
        </w:sectPr>
      </w:pPr>
    </w:p>
    <w:bookmarkStart w:id="80" w:name="page81"/>
    <w:bookmarkEnd w:id="80"/>
    <w:p>
      <w:pPr>
        <w:jc w:val="both"/>
        <w:spacing w:after="0" w:line="223" w:lineRule="auto"/>
        <w:rPr>
          <w:sz w:val="20"/>
          <w:szCs w:val="20"/>
          <w:color w:val="auto"/>
        </w:rPr>
      </w:pPr>
      <w:r>
        <w:rPr>
          <w:rFonts w:ascii="Times New Roman" w:cs="Times New Roman" w:eastAsia="Times New Roman" w:hAnsi="Times New Roman"/>
          <w:sz w:val="21"/>
          <w:szCs w:val="21"/>
          <w:color w:val="auto"/>
        </w:rPr>
        <w:t>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w:t>
      </w:r>
    </w:p>
    <w:p>
      <w:pPr>
        <w:spacing w:after="0" w:line="162" w:lineRule="exact"/>
        <w:rPr>
          <w:sz w:val="20"/>
          <w:szCs w:val="20"/>
          <w:color w:val="auto"/>
        </w:rPr>
      </w:pPr>
    </w:p>
    <w:p>
      <w:pPr>
        <w:jc w:val="both"/>
        <w:ind w:firstLine="656"/>
        <w:spacing w:after="0" w:line="219" w:lineRule="auto"/>
        <w:tabs>
          <w:tab w:leader="none" w:pos="127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Protected Activity Not Prohibited</w:t>
      </w:r>
      <w:r>
        <w:rPr>
          <w:rFonts w:ascii="Times New Roman" w:cs="Times New Roman" w:eastAsia="Times New Roman" w:hAnsi="Times New Roman"/>
          <w:sz w:val="20"/>
          <w:szCs w:val="20"/>
          <w:color w:val="auto"/>
        </w:rPr>
        <w:t>. Notwithstanding any contrary provision of the Agreement or the Confidentiality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nothing in this Agreement, or the Confidentiality Agreement will prohibit or impede you from engaging in any Protected Activity. For purposes of this Agreement, “</w:t>
      </w:r>
      <w:r>
        <w:rPr>
          <w:rFonts w:ascii="Times New Roman" w:cs="Times New Roman" w:eastAsia="Times New Roman" w:hAnsi="Times New Roman"/>
          <w:sz w:val="20"/>
          <w:szCs w:val="20"/>
          <w:b w:val="1"/>
          <w:bCs w:val="1"/>
          <w:color w:val="auto"/>
        </w:rPr>
        <w:t>Protected Activity</w:t>
      </w:r>
      <w:r>
        <w:rPr>
          <w:rFonts w:ascii="Times New Roman" w:cs="Times New Roman" w:eastAsia="Times New Roman" w:hAnsi="Times New Roman"/>
          <w:sz w:val="20"/>
          <w:szCs w:val="20"/>
          <w:color w:val="auto"/>
        </w:rPr>
        <w:t>” will mean communicating, cooperating or filing a complaint with any U.S. federal, state or local governmental or law enforcement branch, agency or entity, including, but not limited to, the Securities and Exchange Commission, the Equal Employment Opportunity Commission, the Occupational Safety and Health Administration, and the National Labor Relations Board (collectively, a “</w:t>
      </w:r>
      <w:r>
        <w:rPr>
          <w:rFonts w:ascii="Times New Roman" w:cs="Times New Roman" w:eastAsia="Times New Roman" w:hAnsi="Times New Roman"/>
          <w:sz w:val="20"/>
          <w:szCs w:val="20"/>
          <w:b w:val="1"/>
          <w:bCs w:val="1"/>
          <w:color w:val="auto"/>
        </w:rPr>
        <w:t>Governmental Entity</w:t>
      </w:r>
      <w:r>
        <w:rPr>
          <w:rFonts w:ascii="Times New Roman" w:cs="Times New Roman" w:eastAsia="Times New Roman" w:hAnsi="Times New Roman"/>
          <w:sz w:val="20"/>
          <w:szCs w:val="20"/>
          <w:color w:val="auto"/>
        </w:rPr>
        <w:t xml:space="preserve">”) with respect to possible violations of any U.S. federal, state or local law or regulation, or otherwise making disclosures to any Governmental Entity, in each case, that are protected under the whistleblower provisions of any such law or regulation;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in each case, such communications and disclosures are consistent with applicable law. Notwithstanding the foregoing, you agree to take all reasonable precautions to prevent any unauthorized use or disclosure of any information that may constitute Company confidential information (as defined in the Confidentiality Agreement or any other agreement between you and the Company or any parent, subsidiary or other affiliate of the Company relating to the protection of confidential information) in a manner not protected by applicable law (each, a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to any parties other than the Governmental Entities. You further understand that Protected Activity does not include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disclosure of any Company attorney-client privileged communications or attorney work product. Any language in the Confidentiality Agreement or any Confidential Information Agreement that conflicts with, or is contrary to, this paragraph is superseded by this Agreement. You understand and acknowledge that pursuant to the Defend Trade Secrets Act of 2016 (a) an individual will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51" w:lineRule="exact"/>
        <w:rPr>
          <w:sz w:val="20"/>
          <w:szCs w:val="20"/>
          <w:color w:val="auto"/>
        </w:rPr>
      </w:pPr>
    </w:p>
    <w:p>
      <w:pPr>
        <w:jc w:val="both"/>
        <w:ind w:firstLine="949"/>
        <w:spacing w:after="0" w:line="219" w:lineRule="auto"/>
        <w:rPr>
          <w:sz w:val="20"/>
          <w:szCs w:val="20"/>
          <w:color w:val="auto"/>
        </w:rPr>
      </w:pPr>
      <w:r>
        <w:rPr>
          <w:rFonts w:ascii="Times New Roman" w:cs="Times New Roman" w:eastAsia="Times New Roman" w:hAnsi="Times New Roman"/>
          <w:sz w:val="21"/>
          <w:szCs w:val="21"/>
          <w:color w:val="auto"/>
        </w:rPr>
        <w:t>To accept the Company’s offer, please sign and date in the spaces indicated below and return this Agreement to me. A duplicate original is enclosed for your records. If you accept our offer, your first day of employment will be April 11th, 2022 (your</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Start Date</w:t>
      </w:r>
      <w:r>
        <w:rPr>
          <w:rFonts w:ascii="Times New Roman" w:cs="Times New Roman" w:eastAsia="Times New Roman" w:hAnsi="Times New Roman"/>
          <w:sz w:val="20"/>
          <w:szCs w:val="20"/>
          <w:color w:val="auto"/>
        </w:rPr>
        <w:t>”). This Agreement, along with the Confidentiality Agreement, set forth the terms of your employment with the Company and supersede any prior representations or agreements including, but not limited to, any representations made during your recruitment, interviews or pre employment negotiations, whether written or oral. This Agreement, including, but not limited to, its at will</w:t>
      </w:r>
    </w:p>
    <w:p>
      <w:pPr>
        <w:jc w:val="both"/>
        <w:spacing w:after="0" w:line="215" w:lineRule="auto"/>
        <w:rPr>
          <w:sz w:val="20"/>
          <w:szCs w:val="20"/>
          <w:color w:val="auto"/>
        </w:rPr>
      </w:pPr>
      <w:r>
        <w:rPr>
          <w:rFonts w:ascii="Times New Roman" w:cs="Times New Roman" w:eastAsia="Times New Roman" w:hAnsi="Times New Roman"/>
          <w:sz w:val="21"/>
          <w:szCs w:val="21"/>
          <w:color w:val="auto"/>
        </w:rPr>
        <w:t>employment provision, may not be modified or amended except by a written agreement signed by a duly authorized officer of the Company (excluding yourself). This Agreement will be governed by the laws of the State of California but without regard to the conflict of law provision. This offer of employment will terminate if it is not accepted, signed and returned by April 1st, 2022</w:t>
      </w:r>
    </w:p>
    <w:p>
      <w:pPr>
        <w:sectPr>
          <w:pgSz w:w="11900" w:h="16838" w:orient="portrait"/>
          <w:cols w:equalWidth="0" w:num="1">
            <w:col w:w="11240"/>
          </w:cols>
          <w:pgMar w:left="320" w:top="1362"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20"/>
          <w:szCs w:val="20"/>
          <w:color w:val="auto"/>
        </w:rPr>
        <w:t>We look forward to your favorable reply and to working with you at Nautilus Biotechnology, Inc.</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Sincerely,</w:t>
      </w:r>
    </w:p>
    <w:p>
      <w:pPr>
        <w:spacing w:after="0" w:line="17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NAUTILUS BIOTECHNOLOGY, INC.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-2540</wp:posOffset>
            </wp:positionV>
            <wp:extent cx="9855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4860"/>
        <w:spacing w:after="0" w:line="201" w:lineRule="auto"/>
        <w:rPr>
          <w:sz w:val="20"/>
          <w:szCs w:val="20"/>
          <w:color w:val="auto"/>
        </w:rPr>
      </w:pPr>
      <w:r>
        <w:rPr>
          <w:rFonts w:ascii="Times New Roman" w:cs="Times New Roman" w:eastAsia="Times New Roman" w:hAnsi="Times New Roman"/>
          <w:sz w:val="21"/>
          <w:szCs w:val="21"/>
          <w:color w:val="auto"/>
        </w:rPr>
        <w:t>Sujal Patel</w:t>
      </w:r>
    </w:p>
    <w:p>
      <w:pPr>
        <w:ind w:left="4860"/>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to and accepted: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Gwen Weld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909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Gwen Weld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3/28/2022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-12065</wp:posOffset>
            </wp:positionV>
            <wp:extent cx="664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ectPr>
          <w:pgSz w:w="11900" w:h="16838" w:orient="portrait"/>
          <w:cols w:equalWidth="0" w:num="1">
            <w:col w:w="10139"/>
          </w:cols>
          <w:pgMar w:left="320" w:top="1362" w:right="1440"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0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This Change in Control and Severance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by and between Nautilus Biotechnology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Gwen Weld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effective as of the date this Agreement is executed by both the Company and Executive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02" w:lineRule="exact"/>
        <w:rPr>
          <w:sz w:val="20"/>
          <w:szCs w:val="20"/>
          <w:color w:val="auto"/>
        </w:rPr>
      </w:pPr>
    </w:p>
    <w:p>
      <w:pPr>
        <w:jc w:val="both"/>
        <w:ind w:firstLine="656"/>
        <w:spacing w:after="0" w:line="213"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Agreement</w:t>
      </w:r>
      <w:r>
        <w:rPr>
          <w:rFonts w:ascii="Times New Roman" w:cs="Times New Roman" w:eastAsia="Times New Roman" w:hAnsi="Times New Roman"/>
          <w:sz w:val="22"/>
          <w:szCs w:val="22"/>
          <w:color w:val="auto"/>
        </w:rPr>
        <w:t>. This Agreement will have an initial term of three (3) years commencing on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On the three (3) year anniversary of the Effective Date, this Agreement will renew automatically for additional, one (1) year terms (each, an “</w:t>
      </w:r>
      <w:r>
        <w:rPr>
          <w:rFonts w:ascii="Times New Roman" w:cs="Times New Roman" w:eastAsia="Times New Roman" w:hAnsi="Times New Roman"/>
          <w:sz w:val="22"/>
          <w:szCs w:val="22"/>
          <w:b w:val="1"/>
          <w:bCs w:val="1"/>
          <w:color w:val="auto"/>
        </w:rPr>
        <w:t>Additional Term</w:t>
      </w:r>
      <w:r>
        <w:rPr>
          <w:rFonts w:ascii="Times New Roman" w:cs="Times New Roman" w:eastAsia="Times New Roman" w:hAnsi="Times New Roman"/>
          <w:sz w:val="22"/>
          <w:szCs w:val="22"/>
          <w:color w:val="auto"/>
        </w:rPr>
        <w:t>”) unless either party provides the other party with written notice of nonrenewal at least ninety (90) days prior to the date of automatic renewal. Notwithstanding the foregoing, if a Change in Control occurs (a) when there are fewer than twelve (12) months remaining during the Initial Term or (b) during an Additional Term, then the term of this Agreement will extend automatically through the date that is twelve (12) months following the date of the Change in Control. If Executive becomes entitled to the benefits under Section 3 of this Agreement, then the Agreement will not terminate until all of the obligations of the parties hereto with respect to this Agreement have been satisfied.</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The Company and Executive acknowledge that Executive’s employment is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Qualifying Termination Outside of the Change in Control Period</w:t>
      </w:r>
      <w:r>
        <w:rPr>
          <w:rFonts w:ascii="Times New Roman" w:cs="Times New Roman" w:eastAsia="Times New Roman" w:hAnsi="Times New Roman"/>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b w:val="1"/>
          <w:bCs w:val="1"/>
          <w:color w:val="auto"/>
        </w:rPr>
        <w:t>Salary Severance</w:t>
      </w:r>
      <w:r>
        <w:rPr>
          <w:rFonts w:ascii="Times New Roman" w:cs="Times New Roman" w:eastAsia="Times New Roman" w:hAnsi="Times New Roman"/>
          <w:sz w:val="22"/>
          <w:szCs w:val="22"/>
          <w:color w:val="auto"/>
        </w:rPr>
        <w:t>. A single, lump sum, cash payment equal to fifty percent (50%) of Executive’s</w:t>
      </w:r>
    </w:p>
    <w:p>
      <w:pPr>
        <w:spacing w:after="0"/>
        <w:rPr>
          <w:sz w:val="20"/>
          <w:szCs w:val="20"/>
          <w:color w:val="auto"/>
        </w:rPr>
      </w:pPr>
      <w:r>
        <w:rPr>
          <w:rFonts w:ascii="Times New Roman" w:cs="Times New Roman" w:eastAsia="Times New Roman" w:hAnsi="Times New Roman"/>
          <w:sz w:val="22"/>
          <w:szCs w:val="22"/>
          <w:color w:val="auto"/>
        </w:rPr>
        <w:t>Salary.</w:t>
      </w:r>
    </w:p>
    <w:p>
      <w:pPr>
        <w:spacing w:after="0" w:line="151" w:lineRule="exact"/>
        <w:rPr>
          <w:sz w:val="20"/>
          <w:szCs w:val="20"/>
          <w:color w:val="auto"/>
        </w:rPr>
      </w:pPr>
    </w:p>
    <w:p>
      <w:pPr>
        <w:jc w:val="both"/>
        <w:ind w:firstLine="1944"/>
        <w:spacing w:after="0" w:line="213"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b w:val="1"/>
          <w:bCs w:val="1"/>
          <w:color w:val="auto"/>
        </w:rPr>
        <w:t>COBRA Severance</w:t>
      </w:r>
      <w:r>
        <w:rPr>
          <w:rFonts w:ascii="Times New Roman" w:cs="Times New Roman" w:eastAsia="Times New Roman" w:hAnsi="Times New Roman"/>
          <w:sz w:val="22"/>
          <w:szCs w:val="22"/>
          <w:color w:val="auto"/>
        </w:rPr>
        <w:t>. Subject to Executive timely electing continuation coverage under the Consolidated Omnibus Budget Reconciliation Act of 1985, as amended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and further subject to Section 5.3, the Company will pay the employer portion of the premiums required for continued coverage pursuant to COBRA under the Company’s group health, dental and vision care plans for Executive and any of Executive’s eligible dependents, as applicable, following the Qualifying Termination until the earliest of: (a) six (6)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4849-8103-8559 v.4.docx</w:t>
      </w:r>
    </w:p>
    <w:p>
      <w:pPr>
        <w:sectPr>
          <w:pgSz w:w="11900" w:h="16838" w:orient="portrait"/>
          <w:cols w:equalWidth="0" w:num="1">
            <w:col w:w="11240"/>
          </w:cols>
          <w:pgMar w:left="320" w:top="104" w:right="339" w:bottom="1440" w:gutter="0" w:footer="0" w:header="0"/>
        </w:sectPr>
      </w:pPr>
    </w:p>
    <w:bookmarkStart w:id="83" w:name="page84"/>
    <w:bookmarkEnd w:id="83"/>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Qualifying Termination During the Change in Control Period</w:t>
      </w:r>
      <w:r>
        <w:rPr>
          <w:rFonts w:ascii="Times New Roman" w:cs="Times New Roman" w:eastAsia="Times New Roman" w:hAnsi="Times New Roman"/>
          <w:sz w:val="22"/>
          <w:szCs w:val="22"/>
          <w:color w:val="auto"/>
        </w:rPr>
        <w:t>. In the event of a Qualifying Termination that occurs during the Change in Control Period, Executive will receive the following payments and benefits from the Company, subject to the requirements of this Agreement:</w:t>
      </w:r>
    </w:p>
    <w:p>
      <w:pPr>
        <w:spacing w:after="0" w:line="13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b w:val="1"/>
          <w:bCs w:val="1"/>
          <w:color w:val="auto"/>
        </w:rPr>
        <w:t>Salary Severance</w:t>
      </w:r>
      <w:r>
        <w:rPr>
          <w:rFonts w:ascii="Times New Roman" w:cs="Times New Roman" w:eastAsia="Times New Roman" w:hAnsi="Times New Roman"/>
          <w:sz w:val="22"/>
          <w:szCs w:val="22"/>
          <w:color w:val="auto"/>
        </w:rPr>
        <w:t>. A single, lump sum, cash payment equal to one hundred percent (100%) of</w:t>
      </w:r>
    </w:p>
    <w:p>
      <w:pPr>
        <w:spacing w:after="0"/>
        <w:rPr>
          <w:sz w:val="20"/>
          <w:szCs w:val="20"/>
          <w:color w:val="auto"/>
        </w:rPr>
      </w:pPr>
      <w:r>
        <w:rPr>
          <w:rFonts w:ascii="Times New Roman" w:cs="Times New Roman" w:eastAsia="Times New Roman" w:hAnsi="Times New Roman"/>
          <w:sz w:val="22"/>
          <w:szCs w:val="22"/>
          <w:color w:val="auto"/>
        </w:rPr>
        <w:t>Executive’s Salary.</w:t>
      </w:r>
    </w:p>
    <w:p>
      <w:pPr>
        <w:spacing w:after="0" w:line="151" w:lineRule="exact"/>
        <w:rPr>
          <w:sz w:val="20"/>
          <w:szCs w:val="20"/>
          <w:color w:val="auto"/>
        </w:rPr>
      </w:pPr>
    </w:p>
    <w:p>
      <w:pPr>
        <w:jc w:val="both"/>
        <w:ind w:firstLine="1944"/>
        <w:spacing w:after="0" w:line="238"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b w:val="1"/>
          <w:bCs w:val="1"/>
          <w:color w:val="auto"/>
        </w:rPr>
        <w:t>Target Bonus Severance</w:t>
      </w:r>
      <w:r>
        <w:rPr>
          <w:rFonts w:ascii="Times New Roman" w:cs="Times New Roman" w:eastAsia="Times New Roman" w:hAnsi="Times New Roman"/>
          <w:sz w:val="22"/>
          <w:szCs w:val="22"/>
          <w:color w:val="auto"/>
        </w:rPr>
        <w:t>. A single, lump sum, cash payment equal to one hundred percent (100%) of Executive’s Target Bonus.</w:t>
      </w:r>
    </w:p>
    <w:p>
      <w:pPr>
        <w:spacing w:after="0" w:line="146" w:lineRule="exact"/>
        <w:rPr>
          <w:sz w:val="20"/>
          <w:szCs w:val="20"/>
          <w:color w:val="auto"/>
        </w:rPr>
      </w:pPr>
    </w:p>
    <w:p>
      <w:pPr>
        <w:jc w:val="both"/>
        <w:ind w:firstLine="1944"/>
        <w:spacing w:after="0" w:line="214" w:lineRule="auto"/>
        <w:rPr>
          <w:sz w:val="20"/>
          <w:szCs w:val="20"/>
          <w:color w:val="auto"/>
        </w:rPr>
      </w:pPr>
      <w:r>
        <w:rPr>
          <w:rFonts w:ascii="Times New Roman" w:cs="Times New Roman" w:eastAsia="Times New Roman" w:hAnsi="Times New Roman"/>
          <w:sz w:val="22"/>
          <w:szCs w:val="22"/>
          <w:color w:val="auto"/>
        </w:rPr>
        <w:t xml:space="preserve">3.2.3. </w:t>
      </w:r>
      <w:r>
        <w:rPr>
          <w:rFonts w:ascii="Times New Roman" w:cs="Times New Roman" w:eastAsia="Times New Roman" w:hAnsi="Times New Roman"/>
          <w:sz w:val="22"/>
          <w:szCs w:val="22"/>
          <w:b w:val="1"/>
          <w:bCs w:val="1"/>
          <w:color w:val="auto"/>
        </w:rPr>
        <w:t>COBRA Severance</w:t>
      </w:r>
      <w:r>
        <w:rPr>
          <w:rFonts w:ascii="Times New Roman" w:cs="Times New Roman" w:eastAsia="Times New Roman" w:hAnsi="Times New Roman"/>
          <w:sz w:val="22"/>
          <w:szCs w:val="22"/>
          <w:color w:val="auto"/>
        </w:rPr>
        <w:t>. Subject to Executive timely electing continuation coverage under COBRA and further subject to Section 5.3, the Company will pay the premiums required for continued coverage pursuant to COBRA under the Company’s group health, dental and vision care plans for Executive and any of Executive’s eligible dependents, as applicable, following the Qualifying Termination until the earliest of: (a) twelve (12) months following the date of the Qualifying Termination, (b) the date on which Executive and Executive’s eligible dependents (as applicable) become covered under similar plans, or (c) the expiration of Executive’s (and any of Executive’s eligible dependents, as applicable) eligibility for continuation coverage under COBRA.</w:t>
      </w:r>
    </w:p>
    <w:p>
      <w:pPr>
        <w:spacing w:after="0" w:line="149" w:lineRule="exact"/>
        <w:rPr>
          <w:sz w:val="20"/>
          <w:szCs w:val="20"/>
          <w:color w:val="auto"/>
        </w:rPr>
      </w:pPr>
    </w:p>
    <w:p>
      <w:pPr>
        <w:jc w:val="both"/>
        <w:ind w:firstLine="1944"/>
        <w:spacing w:after="0" w:line="221" w:lineRule="auto"/>
        <w:rPr>
          <w:sz w:val="20"/>
          <w:szCs w:val="20"/>
          <w:color w:val="auto"/>
        </w:rPr>
      </w:pPr>
      <w:r>
        <w:rPr>
          <w:rFonts w:ascii="Times New Roman" w:cs="Times New Roman" w:eastAsia="Times New Roman" w:hAnsi="Times New Roman"/>
          <w:sz w:val="21"/>
          <w:szCs w:val="21"/>
          <w:color w:val="auto"/>
        </w:rPr>
        <w:t xml:space="preserve">3.2.4. </w:t>
      </w:r>
      <w:r>
        <w:rPr>
          <w:rFonts w:ascii="Times New Roman" w:cs="Times New Roman" w:eastAsia="Times New Roman" w:hAnsi="Times New Roman"/>
          <w:sz w:val="21"/>
          <w:szCs w:val="21"/>
          <w:b w:val="1"/>
          <w:bCs w:val="1"/>
          <w:color w:val="auto"/>
        </w:rPr>
        <w:t>Vesting Acceleration of Time-Based Awards</w:t>
      </w:r>
      <w:r>
        <w:rPr>
          <w:rFonts w:ascii="Times New Roman" w:cs="Times New Roman" w:eastAsia="Times New Roman" w:hAnsi="Times New Roman"/>
          <w:sz w:val="21"/>
          <w:szCs w:val="21"/>
          <w:color w:val="auto"/>
        </w:rPr>
        <w:t>. Vesting acceleration of one hundred percent (100%) of any Time-Based Awards that are outstanding and unvested as of the date of the Qualifying Termination. 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or (y) a Change in Control that occurs within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a Qualifying Termination, any unvested portion of Executive’s Awards automatically and permanently will be forfeited on the date three (3) months following the date of the Qualifying Termination without having vested.</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Termination Other Than a Qualifying Termination</w:t>
      </w:r>
      <w:r>
        <w:rPr>
          <w:rFonts w:ascii="Times New Roman" w:cs="Times New Roman" w:eastAsia="Times New Roman" w:hAnsi="Times New Roman"/>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4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Non-duplication of Payment or Benefits</w:t>
      </w:r>
      <w:r>
        <w:rPr>
          <w:rFonts w:ascii="Times New Roman" w:cs="Times New Roman" w:eastAsia="Times New Roman" w:hAnsi="Times New Roman"/>
          <w:sz w:val="22"/>
          <w:szCs w:val="22"/>
          <w:color w:val="auto"/>
        </w:rPr>
        <w:t>. For purposes of clarity, in the event of a Qualifying Termination that occurs during the period within three (3) months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the Company or to which the Company is a party other than this Agreement (“</w:t>
      </w: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 then the corresponding severance payments and benefits under this Agreement will be reduced by the amount of Other Benefits paid or provided to Executive.</w:t>
      </w:r>
    </w:p>
    <w:p>
      <w:pPr>
        <w:spacing w:after="0" w:line="14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34" w:right="339" w:bottom="1440" w:gutter="0" w:footer="0" w:header="0"/>
        </w:sectPr>
      </w:pPr>
    </w:p>
    <w:bookmarkStart w:id="84" w:name="page85"/>
    <w:bookmarkEnd w:id="84"/>
    <w:p>
      <w:pPr>
        <w:spacing w:after="0" w:line="236" w:lineRule="auto"/>
        <w:rPr>
          <w:sz w:val="20"/>
          <w:szCs w:val="20"/>
          <w:color w:val="auto"/>
        </w:rPr>
      </w:pPr>
      <w:r>
        <w:rPr>
          <w:rFonts w:ascii="Times New Roman" w:cs="Times New Roman" w:eastAsia="Times New Roman" w:hAnsi="Times New Roman"/>
          <w:sz w:val="22"/>
          <w:szCs w:val="22"/>
          <w:color w:val="auto"/>
        </w:rPr>
        <w:t>amounts will be provided to Executive’s designated beneficiary, if living, or otherwise to Executive’s personal representative in accordance with the terms of this Agreement.</w:t>
      </w:r>
    </w:p>
    <w:p>
      <w:pPr>
        <w:spacing w:after="0" w:line="146" w:lineRule="exact"/>
        <w:rPr>
          <w:sz w:val="20"/>
          <w:szCs w:val="20"/>
          <w:color w:val="auto"/>
        </w:rPr>
      </w:pPr>
    </w:p>
    <w:p>
      <w:pPr>
        <w:jc w:val="both"/>
        <w:ind w:firstLine="656"/>
        <w:spacing w:after="0" w:line="227"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Accrued Compensation</w:t>
      </w:r>
      <w:r>
        <w:rPr>
          <w:rFonts w:ascii="Times New Roman" w:cs="Times New Roman" w:eastAsia="Times New Roman" w:hAnsi="Times New Roman"/>
          <w:sz w:val="22"/>
          <w:szCs w:val="22"/>
          <w:color w:val="auto"/>
        </w:rPr>
        <w:t>. On any termination of Executive’s employment with the Company, Executive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to receive all accrued but unpaid vacation, expense reimbursements, wages, and other benefits due to Executive under any Company-provided plans, policies, and arrangements.</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to Receipt of Severance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Separation Agreement and Release of Claims</w:t>
      </w:r>
      <w:r>
        <w:rPr>
          <w:rFonts w:ascii="Times New Roman" w:cs="Times New Roman" w:eastAsia="Times New Roman" w:hAnsi="Times New Roman"/>
          <w:sz w:val="22"/>
          <w:szCs w:val="22"/>
          <w:color w:val="auto"/>
        </w:rPr>
        <w:t>. Executive’s receipt of any severance payments or benefits upon a Qualifying Termination under Section 3 is subject to Executive signing and not revoking the Company’s then standard separation agreement and release of claims with the Company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which must become effective and irrevocable no later than the sixtieth (60th) day following the date of the Qualifying Termination (the “</w:t>
      </w:r>
      <w:r>
        <w:rPr>
          <w:rFonts w:ascii="Times New Roman" w:cs="Times New Roman" w:eastAsia="Times New Roman" w:hAnsi="Times New Roman"/>
          <w:sz w:val="22"/>
          <w:szCs w:val="22"/>
          <w:b w:val="1"/>
          <w:bCs w:val="1"/>
          <w:color w:val="auto"/>
        </w:rPr>
        <w:t>Release 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the severance payments or benefits under Section 3.</w:t>
      </w:r>
    </w:p>
    <w:p>
      <w:pPr>
        <w:spacing w:after="0" w:line="146"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Payment Timing</w:t>
      </w:r>
      <w:r>
        <w:rPr>
          <w:rFonts w:ascii="Times New Roman" w:cs="Times New Roman" w:eastAsia="Times New Roman" w:hAnsi="Times New Roman"/>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(or with respect to such payments under Section 3.2, if later, on the date of the Change in Control), subject to any delay required by Section 5.4 below. Any Time-Based Awards that are restricted stock units, performance shares, performance units, and/or similar full value awards (“</w:t>
      </w:r>
      <w:r>
        <w:rPr>
          <w:rFonts w:ascii="Times New Roman" w:cs="Times New Roman" w:eastAsia="Times New Roman" w:hAnsi="Times New Roman"/>
          <w:sz w:val="22"/>
          <w:szCs w:val="22"/>
          <w:b w:val="1"/>
          <w:bCs w:val="1"/>
          <w:color w:val="auto"/>
        </w:rPr>
        <w:t>Full Value Awards</w:t>
      </w:r>
      <w:r>
        <w:rPr>
          <w:rFonts w:ascii="Times New Roman" w:cs="Times New Roman" w:eastAsia="Times New Roman" w:hAnsi="Times New Roman"/>
          <w:sz w:val="22"/>
          <w:szCs w:val="22"/>
          <w:color w:val="auto"/>
        </w:rPr>
        <w:t>”) that accelerate vesting under Section 3.2.4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57"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COBRA Severance Limitations</w:t>
      </w:r>
      <w:r>
        <w:rPr>
          <w:rFonts w:ascii="Times New Roman" w:cs="Times New Roman" w:eastAsia="Times New Roman" w:hAnsi="Times New Roman"/>
          <w:sz w:val="22"/>
          <w:szCs w:val="22"/>
          <w:color w:val="auto"/>
        </w:rPr>
        <w:t>. If the Company determines in its sole discretion that it cannot provide the COBRA-related benefits set forth in Section 3.1.2 or 3.2.3, as applicable (the “</w:t>
      </w:r>
      <w:r>
        <w:rPr>
          <w:rFonts w:ascii="Times New Roman" w:cs="Times New Roman" w:eastAsia="Times New Roman" w:hAnsi="Times New Roman"/>
          <w:sz w:val="22"/>
          <w:szCs w:val="22"/>
          <w:b w:val="1"/>
          <w:bCs w:val="1"/>
          <w:color w:val="auto"/>
        </w:rPr>
        <w:t>COBRA Severance</w:t>
      </w:r>
      <w:r>
        <w:rPr>
          <w:rFonts w:ascii="Times New Roman" w:cs="Times New Roman" w:eastAsia="Times New Roman" w:hAnsi="Times New Roman"/>
          <w:sz w:val="22"/>
          <w:szCs w:val="22"/>
          <w:color w:val="auto"/>
        </w:rPr>
        <w:t>”) without potentially violating, or being subject to an excise tax under, applicable law (including, without limitation, Section 2716 of the Public Health Service Act), then in lieu of such COBRA Severance, subject to any delay required by Section 5.4 below, the Company will provide to Executive a taxable monthly payment payable on the last day of a given month (except as provided by the last sentence in this Section 5.3), in an amount equal to (x) in the case of COBRA Severance under Section 3.1.2, the employer portion of the monthly COBRA premium necessary to continue coverage under the Company’s group health, dental and vision care plans for Executive and any of Executive’s eligible dependents, as applicable, as in effect on the date of the Qualifying Termination, or (y) in the case of COBRA Severance under Section 3.2.3, the monthly COBRA premium that would be required to continue coverage under the Company’s group health, dental and vision care plans for Executive and Executive’s eligible dependents, as applicable, as in effect on the date of the Qualifying Termination, in each case, which amount will be based on the premium rates applicable for the first month of COBRA Severance for Executive and any eligible dependents of Executive (each, a “</w:t>
      </w:r>
      <w:r>
        <w:rPr>
          <w:rFonts w:ascii="Times New Roman" w:cs="Times New Roman" w:eastAsia="Times New Roman" w:hAnsi="Times New Roman"/>
          <w:sz w:val="22"/>
          <w:szCs w:val="22"/>
          <w:b w:val="1"/>
          <w:bCs w:val="1"/>
          <w:color w:val="auto"/>
        </w:rPr>
        <w:t>COBRA Replacement Payment</w:t>
      </w:r>
      <w:r>
        <w:rPr>
          <w:rFonts w:ascii="Times New Roman" w:cs="Times New Roman" w:eastAsia="Times New Roman" w:hAnsi="Times New Roman"/>
          <w:sz w:val="22"/>
          <w:szCs w:val="22"/>
          <w:color w:val="auto"/>
        </w:rPr>
        <w:t>”), and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(a) of Section 3.1.2 or Section 3.2.3, as applicable. For the avoidance of doubt, the COBRA Replacement Payments may be used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38" w:right="339" w:bottom="1440" w:gutter="0" w:footer="0" w:header="0"/>
        </w:sectPr>
      </w:pPr>
    </w:p>
    <w:bookmarkStart w:id="85" w:name="page86"/>
    <w:bookmarkEnd w:id="85"/>
    <w:p>
      <w:pPr>
        <w:jc w:val="both"/>
        <w:spacing w:after="0" w:line="217" w:lineRule="auto"/>
        <w:rPr>
          <w:sz w:val="20"/>
          <w:szCs w:val="20"/>
          <w:color w:val="auto"/>
        </w:rPr>
      </w:pPr>
      <w:r>
        <w:rPr>
          <w:rFonts w:ascii="Times New Roman" w:cs="Times New Roman" w:eastAsia="Times New Roman" w:hAnsi="Times New Roman"/>
          <w:sz w:val="22"/>
          <w:szCs w:val="22"/>
          <w:color w:val="auto"/>
        </w:rPr>
        <w:t>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4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b w:val="1"/>
          <w:bCs w:val="1"/>
          <w:color w:val="auto"/>
        </w:rPr>
        <w:t>Deferred 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53" w:lineRule="exact"/>
        <w:rPr>
          <w:sz w:val="20"/>
          <w:szCs w:val="20"/>
          <w:color w:val="auto"/>
        </w:rPr>
      </w:pPr>
    </w:p>
    <w:p>
      <w:pPr>
        <w:jc w:val="both"/>
        <w:ind w:firstLine="1944"/>
        <w:spacing w:after="0" w:line="220" w:lineRule="auto"/>
        <w:rPr>
          <w:sz w:val="20"/>
          <w:szCs w:val="20"/>
          <w:color w:val="auto"/>
        </w:rPr>
      </w:pPr>
      <w:r>
        <w:rPr>
          <w:rFonts w:ascii="Times New Roman" w:cs="Times New Roman" w:eastAsia="Times New Roman" w:hAnsi="Times New Roman"/>
          <w:sz w:val="22"/>
          <w:szCs w:val="22"/>
          <w:color w:val="auto"/>
        </w:rPr>
        <w:t>5.4.1. 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52" w:lineRule="exact"/>
        <w:rPr>
          <w:sz w:val="20"/>
          <w:szCs w:val="20"/>
          <w:color w:val="auto"/>
        </w:rPr>
      </w:pPr>
    </w:p>
    <w:p>
      <w:pPr>
        <w:jc w:val="both"/>
        <w:ind w:firstLine="1944"/>
        <w:spacing w:after="0" w:line="211" w:lineRule="auto"/>
        <w:rPr>
          <w:sz w:val="20"/>
          <w:szCs w:val="20"/>
          <w:color w:val="auto"/>
        </w:rPr>
      </w:pPr>
      <w:r>
        <w:rPr>
          <w:rFonts w:ascii="Times New Roman" w:cs="Times New Roman" w:eastAsia="Times New Roman" w:hAnsi="Times New Roman"/>
          <w:sz w:val="22"/>
          <w:szCs w:val="22"/>
          <w:color w:val="auto"/>
        </w:rPr>
        <w:t>5.4.2. Notwithstanding any provisions to the contrary in this Agreement, if Executive is a “specified employee” within the meaning of Section 409A at the time of Executive’s separation from service (other than due to death), then any payments or benefits under 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Section 5.4.2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Release Deadline Date.</w:t>
      </w:r>
    </w:p>
    <w:p>
      <w:pPr>
        <w:spacing w:after="0" w:line="152" w:lineRule="exact"/>
        <w:rPr>
          <w:sz w:val="20"/>
          <w:szCs w:val="20"/>
          <w:color w:val="auto"/>
        </w:rPr>
      </w:pPr>
    </w:p>
    <w:p>
      <w:pPr>
        <w:jc w:val="both"/>
        <w:ind w:firstLine="1944"/>
        <w:spacing w:after="0" w:line="211" w:lineRule="auto"/>
        <w:rPr>
          <w:sz w:val="20"/>
          <w:szCs w:val="20"/>
          <w:color w:val="auto"/>
        </w:rPr>
      </w:pPr>
      <w:r>
        <w:rPr>
          <w:rFonts w:ascii="Times New Roman" w:cs="Times New Roman" w:eastAsia="Times New Roman" w:hAnsi="Times New Roman"/>
          <w:sz w:val="22"/>
          <w:szCs w:val="22"/>
          <w:color w:val="auto"/>
        </w:rPr>
        <w:t>5.4.3. 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54"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on Payments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38" w:right="339" w:bottom="1440" w:gutter="0" w:footer="0" w:header="0"/>
        </w:sectPr>
      </w:pPr>
    </w:p>
    <w:bookmarkStart w:id="86" w:name="page87"/>
    <w:bookmarkEnd w:id="86"/>
    <w:p>
      <w:pPr>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Reduction of Severance Benefits</w:t>
      </w:r>
      <w:r>
        <w:rPr>
          <w:rFonts w:ascii="Times New Roman" w:cs="Times New Roman" w:eastAsia="Times New Roman" w:hAnsi="Times New Roman"/>
          <w:sz w:val="22"/>
          <w:szCs w:val="22"/>
          <w:color w:val="auto"/>
        </w:rPr>
        <w:t>. If any payment or benefit that Executive would receive from the Company or any other party whether in connection with the provisions in this Agreement or otherwise (the “Payments”) would</w:t>
      </w:r>
    </w:p>
    <w:p>
      <w:pPr>
        <w:jc w:val="both"/>
        <w:ind w:firstLine="8"/>
        <w:spacing w:after="0" w:line="207" w:lineRule="auto"/>
        <w:tabs>
          <w:tab w:leader="none" w:pos="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46"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color w:val="auto"/>
        </w:rPr>
        <w:t>Determination of Excise Tax Liability</w:t>
      </w:r>
      <w:r>
        <w:rPr>
          <w:rFonts w:ascii="Times New Roman" w:cs="Times New Roman" w:eastAsia="Times New Roman" w:hAnsi="Times New Roman"/>
          <w:sz w:val="21"/>
          <w:szCs w:val="21"/>
          <w:color w:val="auto"/>
        </w:rPr>
        <w:t>. Unless the Company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1"/>
          <w:szCs w:val="21"/>
          <w:b w:val="1"/>
          <w:bCs w:val="1"/>
          <w:color w:val="auto"/>
        </w:rPr>
        <w:t>Firm</w:t>
      </w:r>
      <w:r>
        <w:rPr>
          <w:rFonts w:ascii="Times New Roman" w:cs="Times New Roman" w:eastAsia="Times New Roman" w:hAnsi="Times New Roman"/>
          <w:sz w:val="21"/>
          <w:szCs w:val="21"/>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50"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7.1.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means stock options and other equity awards covering shares of Company common stock granted to Executive.</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Company’s Board of Directors.</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7.3.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(a) Executive’s failure to substantially perform Executive’s material duties and obligations as an employee (for reasons other than Executive’s death or Disability), which failure is not cured to the sole and reasonable satisfaction of the Company; (b) Executive’s failure or refusal to comply with the policies, standards and regulations established by the Company from time to time, which failure is not cured to the sole and reasonable satisfaction of the Company; (c) any act of personal dishonesty, moral turpitude, fraud, embezzlement, misrepresentation, or other unlawful act committed by Executive that results in harm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34" w:right="339" w:bottom="1440" w:gutter="0" w:footer="0" w:header="0"/>
        </w:sectPr>
      </w:pPr>
    </w:p>
    <w:bookmarkStart w:id="87" w:name="page88"/>
    <w:bookmarkEnd w:id="87"/>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Company or its affiliates, including financial or reputational, which harm will be determined in the Company’s sole and reasonable discretion; (d) Executive’s violation of a federal or state law or regulation applicable to the business of the Company or its affiliates; (e) Executive being convicted of, or entering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guilty to, a felony under the laws of the United States or its equivalent in the jurisdiction in which the act that constituted the felony occurred; (f) Executive’s material breach of the terms of this Agreement or any other agreement between Executive and the Company (or any affiliate of the Company); or (g) the Company’s economic duress or necessity, as determined by the Company, in its sole and reasonable discretion. With respect to clauses (a) and (b) above only, Executive will have ten (10) days to cure following written notice of Executive’s failure or refusal to perform or comply, provided that whether the failure is curable will be within the Company’s sole and reasonable discretion.</w:t>
      </w:r>
    </w:p>
    <w:p>
      <w:pPr>
        <w:spacing w:after="0" w:line="14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first occurrence of any of the following events on or after the Effective</w:t>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51" w:lineRule="exact"/>
        <w:rPr>
          <w:sz w:val="20"/>
          <w:szCs w:val="20"/>
          <w:color w:val="auto"/>
        </w:rPr>
      </w:pPr>
    </w:p>
    <w:p>
      <w:pPr>
        <w:jc w:val="both"/>
        <w:ind w:firstLine="1944"/>
        <w:spacing w:after="0" w:line="219" w:lineRule="auto"/>
        <w:rPr>
          <w:sz w:val="20"/>
          <w:szCs w:val="20"/>
          <w:color w:val="auto"/>
        </w:rPr>
      </w:pPr>
      <w:r>
        <w:rPr>
          <w:rFonts w:ascii="Times New Roman" w:cs="Times New Roman" w:eastAsia="Times New Roman" w:hAnsi="Times New Roman"/>
          <w:sz w:val="21"/>
          <w:szCs w:val="21"/>
          <w:color w:val="auto"/>
        </w:rPr>
        <w:t xml:space="preserve">7.4.1. </w:t>
      </w:r>
      <w:r>
        <w:rPr>
          <w:rFonts w:ascii="Times New Roman" w:cs="Times New Roman" w:eastAsia="Times New Roman" w:hAnsi="Times New Roman"/>
          <w:sz w:val="21"/>
          <w:szCs w:val="21"/>
          <w:b w:val="1"/>
          <w:bCs w:val="1"/>
          <w:color w:val="auto"/>
        </w:rPr>
        <w:t>Change in Ownership of the Company</w:t>
      </w:r>
      <w:r>
        <w:rPr>
          <w:rFonts w:ascii="Times New Roman" w:cs="Times New Roman" w:eastAsia="Times New Roman" w:hAnsi="Times New Roman"/>
          <w:sz w:val="21"/>
          <w:szCs w:val="21"/>
          <w:color w:val="auto"/>
        </w:rPr>
        <w:t xml:space="preserve"> . A change in the ownership of the Company which occurs on the date that any one person, or more than one person acting as a group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Section 7.4.1.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5" w:lineRule="exact"/>
        <w:rPr>
          <w:sz w:val="20"/>
          <w:szCs w:val="20"/>
          <w:color w:val="auto"/>
        </w:rPr>
      </w:pPr>
    </w:p>
    <w:p>
      <w:pPr>
        <w:jc w:val="both"/>
        <w:ind w:firstLine="1944"/>
        <w:spacing w:after="0" w:line="226" w:lineRule="auto"/>
        <w:rPr>
          <w:sz w:val="20"/>
          <w:szCs w:val="20"/>
          <w:color w:val="auto"/>
        </w:rPr>
      </w:pPr>
      <w:r>
        <w:rPr>
          <w:rFonts w:ascii="Times New Roman" w:cs="Times New Roman" w:eastAsia="Times New Roman" w:hAnsi="Times New Roman"/>
          <w:sz w:val="21"/>
          <w:szCs w:val="21"/>
          <w:color w:val="auto"/>
        </w:rPr>
        <w:t xml:space="preserve">7.4.2. </w:t>
      </w:r>
      <w:r>
        <w:rPr>
          <w:rFonts w:ascii="Times New Roman" w:cs="Times New Roman" w:eastAsia="Times New Roman" w:hAnsi="Times New Roman"/>
          <w:sz w:val="21"/>
          <w:szCs w:val="21"/>
          <w:b w:val="1"/>
          <w:bCs w:val="1"/>
          <w:color w:val="auto"/>
        </w:rPr>
        <w:t>Change in Effective Control of the Company</w:t>
      </w:r>
      <w:r>
        <w:rPr>
          <w:rFonts w:ascii="Times New Roman" w:cs="Times New Roman" w:eastAsia="Times New Roman" w:hAnsi="Times New Roman"/>
          <w:sz w:val="21"/>
          <w:szCs w:val="21"/>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Section 7.4.2, if any Person is considered to be in effective control of the Company, the acquisition of additional control of the Company by the same Person will not be considered a Change in Control; or</w:t>
      </w:r>
    </w:p>
    <w:p>
      <w:pPr>
        <w:spacing w:after="0" w:line="148" w:lineRule="exact"/>
        <w:rPr>
          <w:sz w:val="20"/>
          <w:szCs w:val="20"/>
          <w:color w:val="auto"/>
        </w:rPr>
      </w:pPr>
    </w:p>
    <w:p>
      <w:pPr>
        <w:jc w:val="both"/>
        <w:ind w:firstLine="1944"/>
        <w:spacing w:after="0" w:line="212" w:lineRule="auto"/>
        <w:rPr>
          <w:sz w:val="20"/>
          <w:szCs w:val="20"/>
          <w:color w:val="auto"/>
        </w:rPr>
      </w:pPr>
      <w:r>
        <w:rPr>
          <w:rFonts w:ascii="Times New Roman" w:cs="Times New Roman" w:eastAsia="Times New Roman" w:hAnsi="Times New Roman"/>
          <w:sz w:val="22"/>
          <w:szCs w:val="22"/>
          <w:color w:val="auto"/>
        </w:rPr>
        <w:t xml:space="preserve">7.4.3. </w:t>
      </w:r>
      <w:r>
        <w:rPr>
          <w:rFonts w:ascii="Times New Roman" w:cs="Times New Roman" w:eastAsia="Times New Roman" w:hAnsi="Times New Roman"/>
          <w:sz w:val="22"/>
          <w:szCs w:val="22"/>
          <w:b w:val="1"/>
          <w:bCs w:val="1"/>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Section 7.4.3,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fifty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38" w:right="339" w:bottom="1440" w:gutter="0" w:footer="0" w:header="0"/>
        </w:sectPr>
      </w:pPr>
    </w:p>
    <w:bookmarkStart w:id="88" w:name="page89"/>
    <w:bookmarkEnd w:id="88"/>
    <w:p>
      <w:pPr>
        <w:jc w:val="both"/>
        <w:spacing w:after="0" w:line="215" w:lineRule="auto"/>
        <w:rPr>
          <w:sz w:val="20"/>
          <w:szCs w:val="20"/>
          <w:color w:val="auto"/>
        </w:rPr>
      </w:pPr>
      <w:r>
        <w:rPr>
          <w:rFonts w:ascii="Times New Roman" w:cs="Times New Roman" w:eastAsia="Times New Roman" w:hAnsi="Times New Roman"/>
          <w:sz w:val="22"/>
          <w:szCs w:val="22"/>
          <w:color w:val="auto"/>
        </w:rPr>
        <w:t>(50%) or more of the total value or voting power of which is owned, 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Section 7.4.3(b)(iii). For purposes of this Section 7.4.3, gross fair market value means the value of the assets of the Company, or the value of the assets being disposed of, determined without regard to any liabilities associated with such assets.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For purposes of this Change in Control definition under Section 7.4, persons will be considered to be acting as a group if they are owners of a corporation that enters into a merger, consolidation, purchase or acquisition of stock, or similar business transaction with the Company.</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7.5. “</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means the period beginning on the date three (3) months prior to a Change in Control and ending on (and inclusive of) the date that is the one (1) year anniversary of a Change in Control.</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7.6.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7.7.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Executive’s At-Will Employment, Confidential Information, Invention Assignment and Arbitration Agreement entered into with the Company dated April 11, 2022.</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 member of the Board.</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total and permanent disability as defined in Code Section 22(e)(3).</w:t>
      </w:r>
    </w:p>
    <w:p>
      <w:pPr>
        <w:spacing w:after="0" w:line="179"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7.10.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 Executive’s termination of Executive’s employment with the Company within ninety (90) days following the expiration of the Company’s Cure Period (as defined below) following the occurrence of any of the following without Executive’s written consent: (a) a material reduction in Executive’s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by the Company (or subsidiary, parent, affiliate or successor thereto, as applicable) of Executive’s principal work location to a principal work location more than forty (40) miles from Executive’s principal work location immediately before such relocation; or (c) a reduction in Executive then current base salary by at least ten percent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Executive must not terminate employment with the Company without first providing the Company with written notice of the acts or omissions constituting the grounds for “Good Reason” within ninety (90) days following the initial existence of the grounds for “Good Reason” and a cure period of thirty (30) days following the date of such notice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To the extent Executive’s principal work location is not the Company’s corporate offices or facilities due to a shelter-in-place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38" w:right="339" w:bottom="1440" w:gutter="0" w:footer="0" w:header="0"/>
        </w:sectPr>
      </w:pPr>
    </w:p>
    <w:bookmarkStart w:id="89" w:name="page90"/>
    <w:bookmarkEnd w:id="89"/>
    <w:p>
      <w:pPr>
        <w:jc w:val="both"/>
        <w:spacing w:after="0" w:line="220" w:lineRule="auto"/>
        <w:rPr>
          <w:sz w:val="20"/>
          <w:szCs w:val="20"/>
          <w:color w:val="auto"/>
        </w:rPr>
      </w:pPr>
      <w:r>
        <w:rPr>
          <w:rFonts w:ascii="Times New Roman" w:cs="Times New Roman" w:eastAsia="Times New Roman" w:hAnsi="Times New Roman"/>
          <w:sz w:val="22"/>
          <w:szCs w:val="22"/>
          <w:color w:val="auto"/>
        </w:rPr>
        <w:t>quarantine order, or similar work-from-home requirement that applies to Executive, Executive’s principal work location, from which a change in location under the foregoing clause (b) will be measured, will be considered the Company’s office or facility location where Executive’s employment with the Company primarily was based immediately prior to the commencement of such shelter-in-place order, quarantine order, or similar work-from-home requirement.</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7.11.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means a termination of Executive’s employment with the Company either (a) by the Company without Cause and other than due to Executive’s death or Disability, or (b) by Executive for Good Reason.</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7.12. “</w:t>
      </w: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7.13.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means Code Section 409A and the Treasury Regulations and guidance thereunder, and any applicable state law equivalent, as each may be promulgated, amended or modified from time to time.</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7.14.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means Executive’s annual (or annualized, as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7.15. “</w:t>
      </w:r>
      <w:r>
        <w:rPr>
          <w:rFonts w:ascii="Times New Roman" w:cs="Times New Roman" w:eastAsia="Times New Roman" w:hAnsi="Times New Roman"/>
          <w:sz w:val="22"/>
          <w:szCs w:val="22"/>
          <w:b w:val="1"/>
          <w:bCs w:val="1"/>
          <w:color w:val="auto"/>
        </w:rPr>
        <w:t>Time-Based Awards</w:t>
      </w:r>
      <w:r>
        <w:rPr>
          <w:rFonts w:ascii="Times New Roman" w:cs="Times New Roman" w:eastAsia="Times New Roman" w:hAnsi="Times New Roman"/>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48" w:lineRule="exact"/>
        <w:rPr>
          <w:sz w:val="20"/>
          <w:szCs w:val="20"/>
          <w:color w:val="auto"/>
        </w:rPr>
      </w:pPr>
    </w:p>
    <w:p>
      <w:pPr>
        <w:jc w:val="both"/>
        <w:ind w:firstLine="656"/>
        <w:spacing w:after="0" w:line="213" w:lineRule="auto"/>
        <w:tabs>
          <w:tab w:leader="none" w:pos="12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138" w:right="33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22"/>
          <w:szCs w:val="22"/>
          <w:color w:val="auto"/>
        </w:rPr>
        <w:t>Nautilus Biotechnology,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2701 Eastlake Ave East</w:t>
      </w:r>
    </w:p>
    <w:p>
      <w:pPr>
        <w:ind w:left="1300"/>
        <w:spacing w:after="0" w:line="205" w:lineRule="auto"/>
        <w:rPr>
          <w:sz w:val="20"/>
          <w:szCs w:val="20"/>
          <w:color w:val="auto"/>
        </w:rPr>
      </w:pPr>
      <w:r>
        <w:rPr>
          <w:rFonts w:ascii="Times New Roman" w:cs="Times New Roman" w:eastAsia="Times New Roman" w:hAnsi="Times New Roman"/>
          <w:sz w:val="22"/>
          <w:szCs w:val="22"/>
          <w:color w:val="auto"/>
        </w:rPr>
        <w:t>Seattle, WA 98102</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51"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(i) the giving of the notice or (ii) the end of any applicable cure period, except as set forth in Section 7.10).</w:t>
      </w:r>
    </w:p>
    <w:p>
      <w:pPr>
        <w:spacing w:after="0" w:line="149" w:lineRule="exact"/>
        <w:rPr>
          <w:sz w:val="20"/>
          <w:szCs w:val="20"/>
          <w:color w:val="auto"/>
        </w:rPr>
      </w:pPr>
    </w:p>
    <w:p>
      <w:pPr>
        <w:jc w:val="both"/>
        <w:ind w:firstLine="656"/>
        <w:spacing w:after="0" w:line="221" w:lineRule="auto"/>
        <w:tabs>
          <w:tab w:leader="none" w:pos="12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Resignation</w:t>
      </w:r>
      <w:r>
        <w:rPr>
          <w:rFonts w:ascii="Times New Roman" w:cs="Times New Roman" w:eastAsia="Times New Roman" w:hAnsi="Times New Roman"/>
          <w:sz w:val="22"/>
          <w:szCs w:val="22"/>
          <w:color w:val="auto"/>
        </w:rPr>
        <w:t>. The termination of Executive’s employment for any reason also will constitute, without any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5.3, 5.4.3, and 6.</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47"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Headings are provided herein for convenience only, and will not serve as a basis for interpretation or construction of this Agreement.</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together with the Confidentiality Agreement, Executive’s offer letter entered into with the Company dated [date], and the Company’s 2021 Equity Incentive Plan and award agreements thereunder governing Executive’s Awards,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47"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25" w:right="339" w:bottom="1440" w:gutter="0" w:footer="0" w:header="0"/>
        </w:sectPr>
      </w:pPr>
    </w:p>
    <w:bookmarkStart w:id="91" w:name="page92"/>
    <w:bookmarkEnd w:id="91"/>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The Company (and any parent, subsidiary or other affiliate of the Company, as applicable) will have the right and authority to deduct from any payments or benefits all applicable federal, state, local, and/or non U.S. taxes or other required withholdings and payroll deductions (“</w:t>
      </w:r>
      <w:r>
        <w:rPr>
          <w:rFonts w:ascii="Times New Roman" w:cs="Times New Roman" w:eastAsia="Times New Roman" w:hAnsi="Times New Roman"/>
          <w:sz w:val="22"/>
          <w:szCs w:val="22"/>
          <w:b w:val="1"/>
          <w:bCs w:val="1"/>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134" w:right="339" w:bottom="1440" w:gutter="0" w:footer="0" w:header="0"/>
        </w:sectPr>
      </w:pPr>
    </w:p>
    <w:bookmarkStart w:id="92" w:name="page93"/>
    <w:bookmarkEnd w:id="92"/>
    <w:p>
      <w:pPr>
        <w:ind w:firstLine="648"/>
        <w:spacing w:after="0" w:line="236" w:lineRule="auto"/>
        <w:rPr>
          <w:sz w:val="20"/>
          <w:szCs w:val="20"/>
          <w:color w:val="auto"/>
        </w:rPr>
      </w:pPr>
      <w:r>
        <w:rPr>
          <w:rFonts w:ascii="Times New Roman" w:cs="Times New Roman" w:eastAsia="Times New Roman" w:hAnsi="Times New Roman"/>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1"/>
          <w:szCs w:val="21"/>
          <w:b w:val="1"/>
          <w:bCs w:val="1"/>
          <w:color w:val="auto"/>
        </w:rPr>
        <w:t>NAUTILUS BIOTECHNOLOGY, INC.</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-13970</wp:posOffset>
            </wp:positionV>
            <wp:extent cx="8915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Sujal Patel</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-13970</wp:posOffset>
            </wp:positionV>
            <wp:extent cx="14522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2245"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4/12/22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-13970</wp:posOffset>
            </wp:positionV>
            <wp:extent cx="5562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6260" cy="8255"/>
                    </a:xfrm>
                    <a:prstGeom prst="rect">
                      <a:avLst/>
                    </a:prstGeom>
                    <a:noFill/>
                  </pic:spPr>
                </pic:pic>
              </a:graphicData>
            </a:graphic>
          </wp:anchor>
        </w:drawing>
      </w:r>
    </w:p>
    <w:p>
      <w:pPr>
        <w:spacing w:after="0" w:line="14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EXECUTIVE</w:t>
      </w:r>
      <w:r>
        <w:rPr>
          <w:sz w:val="20"/>
          <w:szCs w:val="20"/>
          <w:color w:val="auto"/>
        </w:rPr>
        <w:tab/>
      </w:r>
      <w:r>
        <w:rPr>
          <w:rFonts w:ascii="Times New Roman" w:cs="Times New Roman" w:eastAsia="Times New Roman" w:hAnsi="Times New Roman"/>
          <w:sz w:val="21"/>
          <w:szCs w:val="21"/>
          <w:color w:val="auto"/>
        </w:rPr>
        <w:t>/s/ Gwen Weld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-5715</wp:posOffset>
            </wp:positionV>
            <wp:extent cx="948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22"/>
          <w:szCs w:val="22"/>
          <w:color w:val="auto"/>
        </w:rPr>
        <w:t>Gwen Weld</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4/12/22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-13970</wp:posOffset>
            </wp:positionV>
            <wp:extent cx="5562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138" w:right="35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660" w:right="120" w:hanging="328"/>
        <w:spacing w:after="0" w:line="23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26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14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660" w:right="320" w:hanging="328"/>
        <w:spacing w:after="0" w:line="23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26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14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March 31, 2022 as filed with the Securities and Exchange Commission on the date hereof (the “Report”), I, Sujal Patel,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26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14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6"/>
        </w:trPr>
        <w:tc>
          <w:tcPr>
            <w:tcW w:w="31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March 31, 2022 as filed with the Securities and Exchange Commission on the date hereof (the “Report”), I, Anna Mowry,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26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14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x"/>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1."/>
      <w:numFmt w:val="decimal"/>
      <w:start w:val="3"/>
    </w:lvl>
  </w:abstractNum>
  <w:abstractNum w:abstractNumId="7">
    <w:nsid w:val="3804823E"/>
    <w:multiLevelType w:val="hybridMultilevel"/>
    <w:lvl w:ilvl="0">
      <w:lvlJc w:val="left"/>
      <w:lvlText w:val="%1."/>
      <w:numFmt w:val="decimal"/>
      <w:start w:val="4"/>
    </w:lvl>
  </w:abstractNum>
  <w:abstractNum w:abstractNumId="8">
    <w:nsid w:val="77465F01"/>
    <w:multiLevelType w:val="hybridMultilevel"/>
    <w:lvl w:ilvl="0">
      <w:lvlJc w:val="left"/>
      <w:lvlText w:val="%1."/>
      <w:numFmt w:val="decimal"/>
      <w:start w:val="5"/>
    </w:lvl>
  </w:abstractNum>
  <w:abstractNum w:abstractNumId="9">
    <w:nsid w:val="7724C67E"/>
    <w:multiLevelType w:val="hybridMultilevel"/>
    <w:lvl w:ilvl="0">
      <w:lvlJc w:val="left"/>
      <w:lvlText w:val="%1."/>
      <w:numFmt w:val="decimal"/>
      <w:start w:val="6"/>
    </w:lvl>
  </w:abstractNum>
  <w:abstractNum w:abstractNumId="10">
    <w:nsid w:val="5C482A97"/>
    <w:multiLevelType w:val="hybridMultilevel"/>
    <w:lvl w:ilvl="0">
      <w:lvlJc w:val="left"/>
      <w:lvlText w:val="%1."/>
      <w:numFmt w:val="decimal"/>
      <w:start w:val="7"/>
    </w:lvl>
  </w:abstractNum>
  <w:abstractNum w:abstractNumId="11">
    <w:nsid w:val="2463B9EA"/>
    <w:multiLevelType w:val="hybridMultilevel"/>
    <w:lvl w:ilvl="0">
      <w:lvlJc w:val="left"/>
      <w:lvlText w:val="%1."/>
      <w:numFmt w:val="decimal"/>
      <w:start w:val="8"/>
    </w:lvl>
  </w:abstractNum>
  <w:abstractNum w:abstractNumId="12">
    <w:nsid w:val="5E884ADC"/>
    <w:multiLevelType w:val="hybridMultilevel"/>
    <w:lvl w:ilvl="0">
      <w:lvlJc w:val="left"/>
      <w:lvlText w:val="%1."/>
      <w:numFmt w:val="decimal"/>
      <w:start w:val="9"/>
    </w:lvl>
  </w:abstractNum>
  <w:abstractNum w:abstractNumId="13">
    <w:nsid w:val="51EAD36B"/>
    <w:multiLevelType w:val="hybridMultilevel"/>
    <w:lvl w:ilvl="0">
      <w:lvlJc w:val="left"/>
      <w:lvlText w:val="%1."/>
      <w:numFmt w:val="decimal"/>
      <w:start w:val="10"/>
    </w:lvl>
  </w:abstractNum>
  <w:abstractNum w:abstractNumId="14">
    <w:nsid w:val="2D517796"/>
    <w:multiLevelType w:val="hybridMultilevel"/>
    <w:lvl w:ilvl="0">
      <w:lvlJc w:val="left"/>
      <w:lvlText w:val="%1."/>
      <w:numFmt w:val="decimal"/>
      <w:start w:val="1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decimal"/>
      <w:start w:val="104"/>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1"/>
    </w:lvl>
    <w:lvl w:ilvl="1">
      <w:lvlJc w:val="left"/>
      <w:lvlText w:val="%2."/>
      <w:numFmt w:val="lowerLetter"/>
      <w:start w:val="1"/>
    </w:lvl>
  </w:abstractNum>
  <w:abstractNum w:abstractNumId="52">
    <w:nsid w:val="354FE9F9"/>
    <w:multiLevelType w:val="hybridMultilevel"/>
    <w:lvl w:ilvl="0">
      <w:lvlJc w:val="left"/>
      <w:lvlText w:val="%1."/>
      <w:numFmt w:val="decimal"/>
      <w:start w:val="6"/>
    </w:lvl>
  </w:abstractNum>
  <w:abstractNum w:abstractNumId="53">
    <w:nsid w:val="15B5AF5C"/>
    <w:multiLevelType w:val="hybridMultilevel"/>
    <w:lvl w:ilvl="0">
      <w:lvlJc w:val="left"/>
      <w:lvlText w:val="%1."/>
      <w:numFmt w:val="decimal"/>
      <w:start w:val="1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4"/>
    </w:lvl>
  </w:abstractNum>
  <w:abstractNum w:abstractNumId="56">
    <w:nsid w:val="10233C99"/>
    <w:multiLevelType w:val="hybridMultilevel"/>
    <w:lvl w:ilvl="0">
      <w:lvlJc w:val="left"/>
      <w:lvlText w:val="%1."/>
      <w:numFmt w:val="decimal"/>
      <w:start w:val="6"/>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decimal"/>
      <w:start w:val="7"/>
    </w:lvl>
  </w:abstractNum>
  <w:abstractNum w:abstractNumId="59">
    <w:nsid w:val="7E0C57B1"/>
    <w:multiLevelType w:val="hybridMultilevel"/>
    <w:lvl w:ilvl="0">
      <w:lvlJc w:val="left"/>
      <w:lvlText w:val="%1."/>
      <w:numFmt w:val="decimal"/>
      <w:start w:val="8"/>
    </w:lvl>
  </w:abstractNum>
  <w:abstractNum w:abstractNumId="60">
    <w:nsid w:val="77AE35EB"/>
    <w:multiLevelType w:val="hybridMultilevel"/>
    <w:lvl w:ilvl="0">
      <w:lvlJc w:val="left"/>
      <w:lvlText w:val="%1."/>
      <w:numFmt w:val="decimal"/>
      <w:start w:val="10"/>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2022-05-03T15:27:54Z</dcterms:created>
  <dcterms:modified xsi:type="dcterms:W3CDTF">2022-05-03T15:27:54Z</dcterms:modified>
</cp:coreProperties>
</file>