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60"/>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ind w:left="8240"/>
        <w:spacing w:after="0"/>
        <w:rPr>
          <w:sz w:val="20"/>
          <w:szCs w:val="20"/>
          <w:color w:val="auto"/>
        </w:rPr>
      </w:pPr>
      <w:r>
        <w:rPr>
          <w:rFonts w:ascii="Arial" w:cs="Arial" w:eastAsia="Arial" w:hAnsi="Arial"/>
          <w:sz w:val="16"/>
          <w:szCs w:val="16"/>
          <w:b w:val="1"/>
          <w:bCs w:val="1"/>
          <w:color w:val="auto"/>
        </w:rPr>
        <w:t>Registration Statement No. 333-258100</w:t>
      </w:r>
    </w:p>
    <w:p>
      <w:pPr>
        <w:spacing w:after="0" w:line="68"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PROSPECTUS SUPPLEMENT</w:t>
      </w:r>
    </w:p>
    <w:p>
      <w:pPr>
        <w:spacing w:after="0" w:line="63"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(to prospectus dated March 1, 2022)</w:t>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95,645,056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127000</wp:posOffset>
            </wp:positionV>
            <wp:extent cx="2143125" cy="771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7152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1069975</wp:posOffset>
            </wp:positionV>
            <wp:extent cx="1585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This prospectus supplement updates and amends the prospectus dated March 1, 2022 (as supplemented to date, the “Prospectus”), which forms a part of our Registration Statement on Post-Effective Amendment No. 1 to the Form S-1 (Registration Statement No. 333-258100) filed with the Securities and Exchange Commission (the “SEC”) on February 24, 2022 and declared effective by the SEC on March 1, 2022.</w:t>
      </w:r>
    </w:p>
    <w:p>
      <w:pPr>
        <w:spacing w:after="0" w:line="111" w:lineRule="exact"/>
        <w:rPr>
          <w:sz w:val="24"/>
          <w:szCs w:val="24"/>
          <w:color w:val="auto"/>
        </w:rPr>
      </w:pPr>
    </w:p>
    <w:p>
      <w:pPr>
        <w:ind w:right="20" w:firstLine="324"/>
        <w:spacing w:after="0" w:line="293" w:lineRule="auto"/>
        <w:rPr>
          <w:sz w:val="20"/>
          <w:szCs w:val="20"/>
          <w:color w:val="auto"/>
        </w:rPr>
      </w:pPr>
      <w:r>
        <w:rPr>
          <w:rFonts w:ascii="Arial" w:cs="Arial" w:eastAsia="Arial" w:hAnsi="Arial"/>
          <w:sz w:val="16"/>
          <w:szCs w:val="16"/>
          <w:color w:val="auto"/>
        </w:rPr>
        <w:t>The Prospectus and this prospectus supplement relate to (i) the resale of 4,286,500 shares of common stock, par value $0.0001 per share (the “Common Stock”) issued in connection with the Domestication (as defined in the Prospectus) by certain of the selling securityholders named in the Prospectus (each a “selling securityholder” and, collectively, the “selling securityholders”), (ii) the resale of 69,655,827 shares of Common Stock issued in connection with the Business Combination (as defined in the Prospectus) by certain of the selling securityholders, (iii) the resale of 20,000,000 shares of common stock issued in the PIPE Financing (as defined in the Prospectus) by certain of the selling securityholders, and (iv) the issuance by us and resale of 1,702,729 shares of Common Stock reserved for issuance upon the exercise of certain outstanding options to purchase Common Stock.</w:t>
      </w:r>
    </w:p>
    <w:p>
      <w:pPr>
        <w:spacing w:after="0" w:line="110" w:lineRule="exact"/>
        <w:rPr>
          <w:sz w:val="24"/>
          <w:szCs w:val="24"/>
          <w:color w:val="auto"/>
        </w:rPr>
      </w:pPr>
    </w:p>
    <w:p>
      <w:pPr>
        <w:ind w:right="60" w:firstLine="324"/>
        <w:spacing w:after="0" w:line="311" w:lineRule="auto"/>
        <w:rPr>
          <w:sz w:val="20"/>
          <w:szCs w:val="20"/>
          <w:color w:val="auto"/>
        </w:rPr>
      </w:pPr>
      <w:r>
        <w:rPr>
          <w:rFonts w:ascii="Arial" w:cs="Arial" w:eastAsia="Arial" w:hAnsi="Arial"/>
          <w:sz w:val="16"/>
          <w:szCs w:val="16"/>
          <w:color w:val="auto"/>
        </w:rPr>
        <w:t>This prospectus supplement should be read in conjunction with the Prospectus, which is to be delivered with this prospectus supplement. This prospectus supplement updates, amends and supplements the information included or incorporated by reference in the Prospectus. If there is any inconsistency between the information in the Prospectus and this prospectus supplement, you should rely on the information in this prospectus supplement.</w:t>
      </w:r>
    </w:p>
    <w:p>
      <w:pPr>
        <w:spacing w:after="0" w:line="9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amendments or supplements to it.</w:t>
      </w:r>
    </w:p>
    <w:p>
      <w:pPr>
        <w:spacing w:after="0" w:line="112"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Quarterly Report on Form 10-Q</w:t>
      </w:r>
    </w:p>
    <w:p>
      <w:pPr>
        <w:spacing w:after="0" w:line="175" w:lineRule="exact"/>
        <w:rPr>
          <w:sz w:val="24"/>
          <w:szCs w:val="24"/>
          <w:color w:val="auto"/>
        </w:rPr>
      </w:pPr>
    </w:p>
    <w:p>
      <w:pPr>
        <w:ind w:left="380"/>
        <w:spacing w:after="0"/>
        <w:rPr>
          <w:sz w:val="20"/>
          <w:szCs w:val="20"/>
          <w:color w:val="auto"/>
        </w:rPr>
      </w:pPr>
      <w:r>
        <w:rPr>
          <w:rFonts w:ascii="Arial" w:cs="Arial" w:eastAsia="Arial" w:hAnsi="Arial"/>
          <w:sz w:val="18"/>
          <w:szCs w:val="18"/>
          <w:color w:val="auto"/>
        </w:rPr>
        <w:t>On May 3, 2022, we filed a Quarterly Report on Form 10-Q with the SEC. The Form 10-Q is attached hereto.</w:t>
      </w:r>
    </w:p>
    <w:p>
      <w:pPr>
        <w:spacing w:after="0" w:line="167" w:lineRule="exact"/>
        <w:rPr>
          <w:sz w:val="24"/>
          <w:szCs w:val="24"/>
          <w:color w:val="auto"/>
        </w:rPr>
      </w:pPr>
    </w:p>
    <w:p>
      <w:pPr>
        <w:ind w:right="200" w:firstLine="324"/>
        <w:spacing w:after="0" w:line="282" w:lineRule="auto"/>
        <w:rPr>
          <w:sz w:val="20"/>
          <w:szCs w:val="20"/>
          <w:color w:val="auto"/>
        </w:rPr>
      </w:pPr>
      <w:r>
        <w:rPr>
          <w:rFonts w:ascii="Arial" w:cs="Arial" w:eastAsia="Arial" w:hAnsi="Arial"/>
          <w:sz w:val="18"/>
          <w:szCs w:val="18"/>
          <w:b w:val="1"/>
          <w:bCs w:val="1"/>
          <w:color w:val="auto"/>
        </w:rPr>
        <w:t>We are an “emerging growth company,” as defined under the federal securities laws, and, as such, may elect to comply with certain reduced public company reporting requirements for future filings.</w:t>
      </w:r>
    </w:p>
    <w:p>
      <w:pPr>
        <w:spacing w:after="0" w:line="108" w:lineRule="exact"/>
        <w:rPr>
          <w:sz w:val="24"/>
          <w:szCs w:val="24"/>
          <w:color w:val="auto"/>
        </w:rPr>
      </w:pPr>
    </w:p>
    <w:p>
      <w:pPr>
        <w:ind w:right="140" w:firstLine="324"/>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Before buying any securities, you should carefully read the discussion of the risks of investing in our securities in the section titled “</w:t>
      </w:r>
      <w:hyperlink w:anchor="page36">
        <w:r>
          <w:rPr>
            <w:rFonts w:ascii="Arial" w:cs="Arial" w:eastAsia="Arial" w:hAnsi="Arial"/>
            <w:sz w:val="18"/>
            <w:szCs w:val="18"/>
            <w:b w:val="1"/>
            <w:bCs w:val="1"/>
            <w:i w:val="1"/>
            <w:iCs w:val="1"/>
            <w:u w:val="single" w:color="auto"/>
            <w:color w:val="0000FF"/>
          </w:rPr>
          <w:t>Risk Factors</w:t>
        </w:r>
      </w:hyperlink>
      <w:r>
        <w:rPr>
          <w:rFonts w:ascii="Arial" w:cs="Arial" w:eastAsia="Arial" w:hAnsi="Arial"/>
          <w:sz w:val="18"/>
          <w:szCs w:val="18"/>
          <w:b w:val="1"/>
          <w:bCs w:val="1"/>
          <w:color w:val="auto"/>
        </w:rPr>
        <w:t>” beginning on page 6 of the Prospectus.</w:t>
      </w:r>
    </w:p>
    <w:p>
      <w:pPr>
        <w:spacing w:after="0" w:line="108" w:lineRule="exact"/>
        <w:rPr>
          <w:sz w:val="24"/>
          <w:szCs w:val="24"/>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You should rely only on the information contained in the Prospectus, this prospectus supplement or any prospectus supplement or amendment hereto. We have not authorized anyone to provide you with different information.</w:t>
      </w:r>
    </w:p>
    <w:p>
      <w:pPr>
        <w:spacing w:after="0" w:line="108" w:lineRule="exact"/>
        <w:rPr>
          <w:sz w:val="24"/>
          <w:szCs w:val="24"/>
          <w:color w:val="auto"/>
        </w:rPr>
      </w:pPr>
    </w:p>
    <w:p>
      <w:pPr>
        <w:ind w:right="480" w:firstLine="324"/>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83185</wp:posOffset>
            </wp:positionV>
            <wp:extent cx="1123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The date of this prospectus supplement is May 3, 2022.</w:t>
      </w:r>
    </w:p>
    <w:p>
      <w:pPr>
        <w:sectPr>
          <w:pgSz w:w="11900" w:h="16838" w:orient="portrait"/>
          <w:cols w:equalWidth="0" w:num="1">
            <w:col w:w="11240"/>
          </w:cols>
          <w:pgMar w:left="320" w:top="1039"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124460</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(Mark One)</w:t>
      </w:r>
    </w:p>
    <w:p>
      <w:pPr>
        <w:spacing w:after="0" w:line="225" w:lineRule="exact"/>
        <w:rPr>
          <w:sz w:val="20"/>
          <w:szCs w:val="20"/>
          <w:color w:val="auto"/>
        </w:rPr>
      </w:pPr>
    </w:p>
    <w:p>
      <w:pPr>
        <w:ind w:left="1140" w:hanging="461"/>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OR</w:t>
      </w:r>
    </w:p>
    <w:p>
      <w:pPr>
        <w:spacing w:after="0" w:line="158" w:lineRule="exact"/>
        <w:rPr>
          <w:sz w:val="20"/>
          <w:szCs w:val="20"/>
          <w:color w:val="auto"/>
        </w:rPr>
      </w:pPr>
    </w:p>
    <w:p>
      <w:pPr>
        <w:ind w:left="1140" w:hanging="460"/>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7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For the transition period from _________ to _________</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Commission File Number 001-39434</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NAUTILUS BIOTECHNOLOGY, INC.</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63"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3700" w:type="dxa"/>
            <w:vAlign w:val="bottom"/>
          </w:tcPr>
          <w:p>
            <w:pPr>
              <w:jc w:val="center"/>
              <w:ind w:right="688"/>
              <w:spacing w:after="0"/>
              <w:rPr>
                <w:sz w:val="20"/>
                <w:szCs w:val="20"/>
                <w:color w:val="auto"/>
              </w:rPr>
            </w:pPr>
            <w:r>
              <w:rPr>
                <w:rFonts w:ascii="Arial" w:cs="Arial" w:eastAsia="Arial" w:hAnsi="Arial"/>
                <w:sz w:val="14"/>
                <w:szCs w:val="14"/>
                <w:b w:val="1"/>
                <w:bCs w:val="1"/>
                <w:color w:val="auto"/>
                <w:w w:val="94"/>
              </w:rPr>
              <w:t>Delaware</w:t>
            </w:r>
          </w:p>
        </w:tc>
        <w:tc>
          <w:tcPr>
            <w:tcW w:w="5220" w:type="dxa"/>
            <w:vAlign w:val="bottom"/>
          </w:tcPr>
          <w:p>
            <w:pPr>
              <w:jc w:val="right"/>
              <w:ind w:right="128"/>
              <w:spacing w:after="0"/>
              <w:rPr>
                <w:sz w:val="20"/>
                <w:szCs w:val="20"/>
                <w:color w:val="auto"/>
              </w:rPr>
            </w:pPr>
            <w:r>
              <w:rPr>
                <w:rFonts w:ascii="Arial" w:cs="Arial" w:eastAsia="Arial" w:hAnsi="Arial"/>
                <w:sz w:val="14"/>
                <w:szCs w:val="14"/>
                <w:b w:val="1"/>
                <w:bCs w:val="1"/>
                <w:color w:val="auto"/>
              </w:rPr>
              <w:t>98-1541723</w:t>
            </w:r>
          </w:p>
        </w:tc>
      </w:tr>
      <w:tr>
        <w:trPr>
          <w:trHeight w:val="147"/>
        </w:trPr>
        <w:tc>
          <w:tcPr>
            <w:tcW w:w="3700" w:type="dxa"/>
            <w:vAlign w:val="bottom"/>
          </w:tcPr>
          <w:p>
            <w:pPr>
              <w:jc w:val="center"/>
              <w:ind w:right="708"/>
              <w:spacing w:after="0" w:line="147" w:lineRule="exact"/>
              <w:rPr>
                <w:sz w:val="20"/>
                <w:szCs w:val="20"/>
                <w:color w:val="auto"/>
              </w:rPr>
            </w:pPr>
            <w:r>
              <w:rPr>
                <w:rFonts w:ascii="Arial" w:cs="Arial" w:eastAsia="Arial" w:hAnsi="Arial"/>
                <w:sz w:val="14"/>
                <w:szCs w:val="14"/>
                <w:color w:val="auto"/>
                <w:w w:val="95"/>
              </w:rPr>
              <w:t>(State or other jurisdiction of</w:t>
            </w:r>
          </w:p>
        </w:tc>
        <w:tc>
          <w:tcPr>
            <w:tcW w:w="5220" w:type="dxa"/>
            <w:vAlign w:val="bottom"/>
          </w:tcPr>
          <w:p>
            <w:pPr>
              <w:jc w:val="center"/>
              <w:ind w:left="4068"/>
              <w:spacing w:after="0" w:line="147" w:lineRule="exact"/>
              <w:rPr>
                <w:sz w:val="20"/>
                <w:szCs w:val="20"/>
                <w:color w:val="auto"/>
              </w:rPr>
            </w:pPr>
            <w:r>
              <w:rPr>
                <w:rFonts w:ascii="Arial" w:cs="Arial" w:eastAsia="Arial" w:hAnsi="Arial"/>
                <w:sz w:val="14"/>
                <w:szCs w:val="14"/>
                <w:color w:val="auto"/>
                <w:w w:val="97"/>
              </w:rPr>
              <w:t>(I.R.S. Employer</w:t>
            </w:r>
          </w:p>
        </w:tc>
      </w:tr>
      <w:tr>
        <w:trPr>
          <w:trHeight w:val="182"/>
        </w:trPr>
        <w:tc>
          <w:tcPr>
            <w:tcW w:w="3700" w:type="dxa"/>
            <w:vAlign w:val="bottom"/>
          </w:tcPr>
          <w:p>
            <w:pPr>
              <w:jc w:val="center"/>
              <w:ind w:right="708"/>
              <w:spacing w:after="0"/>
              <w:rPr>
                <w:sz w:val="20"/>
                <w:szCs w:val="20"/>
                <w:color w:val="auto"/>
              </w:rPr>
            </w:pPr>
            <w:r>
              <w:rPr>
                <w:rFonts w:ascii="Arial" w:cs="Arial" w:eastAsia="Arial" w:hAnsi="Arial"/>
                <w:sz w:val="14"/>
                <w:szCs w:val="14"/>
                <w:color w:val="auto"/>
                <w:w w:val="94"/>
              </w:rPr>
              <w:t>incorporation or organization)</w:t>
            </w:r>
          </w:p>
        </w:tc>
        <w:tc>
          <w:tcPr>
            <w:tcW w:w="5220" w:type="dxa"/>
            <w:vAlign w:val="bottom"/>
          </w:tcPr>
          <w:p>
            <w:pPr>
              <w:jc w:val="center"/>
              <w:ind w:left="4068"/>
              <w:spacing w:after="0"/>
              <w:rPr>
                <w:sz w:val="20"/>
                <w:szCs w:val="20"/>
                <w:color w:val="auto"/>
              </w:rPr>
            </w:pPr>
            <w:r>
              <w:rPr>
                <w:rFonts w:ascii="Arial" w:cs="Arial" w:eastAsia="Arial" w:hAnsi="Arial"/>
                <w:sz w:val="14"/>
                <w:szCs w:val="14"/>
                <w:color w:val="auto"/>
                <w:w w:val="99"/>
              </w:rPr>
              <w:t>Identification No.)</w:t>
            </w:r>
          </w:p>
        </w:tc>
      </w:tr>
      <w:tr>
        <w:trPr>
          <w:trHeight w:val="764"/>
        </w:trPr>
        <w:tc>
          <w:tcPr>
            <w:tcW w:w="3700" w:type="dxa"/>
            <w:vAlign w:val="bottom"/>
          </w:tcPr>
          <w:p>
            <w:pPr>
              <w:jc w:val="center"/>
              <w:ind w:right="708"/>
              <w:spacing w:after="0"/>
              <w:rPr>
                <w:sz w:val="20"/>
                <w:szCs w:val="20"/>
                <w:color w:val="auto"/>
              </w:rPr>
            </w:pPr>
            <w:r>
              <w:rPr>
                <w:rFonts w:ascii="Arial" w:cs="Arial" w:eastAsia="Arial" w:hAnsi="Arial"/>
                <w:sz w:val="14"/>
                <w:szCs w:val="14"/>
                <w:b w:val="1"/>
                <w:bCs w:val="1"/>
                <w:color w:val="auto"/>
                <w:w w:val="91"/>
              </w:rPr>
              <w:t>2701 Eastlake Avenue East Seattle, Washington</w:t>
            </w:r>
          </w:p>
        </w:tc>
        <w:tc>
          <w:tcPr>
            <w:tcW w:w="5220" w:type="dxa"/>
            <w:vAlign w:val="bottom"/>
          </w:tcPr>
          <w:p>
            <w:pPr>
              <w:jc w:val="right"/>
              <w:ind w:right="288"/>
              <w:spacing w:after="0"/>
              <w:rPr>
                <w:sz w:val="20"/>
                <w:szCs w:val="20"/>
                <w:color w:val="auto"/>
              </w:rPr>
            </w:pPr>
            <w:r>
              <w:rPr>
                <w:rFonts w:ascii="Arial" w:cs="Arial" w:eastAsia="Arial" w:hAnsi="Arial"/>
                <w:sz w:val="14"/>
                <w:szCs w:val="14"/>
                <w:b w:val="1"/>
                <w:bCs w:val="1"/>
                <w:color w:val="auto"/>
              </w:rPr>
              <w:t>98102</w:t>
            </w:r>
          </w:p>
        </w:tc>
      </w:tr>
      <w:tr>
        <w:trPr>
          <w:trHeight w:val="365"/>
        </w:trPr>
        <w:tc>
          <w:tcPr>
            <w:tcW w:w="3700" w:type="dxa"/>
            <w:vAlign w:val="bottom"/>
          </w:tcPr>
          <w:p>
            <w:pPr>
              <w:jc w:val="center"/>
              <w:ind w:right="708"/>
              <w:spacing w:after="0"/>
              <w:rPr>
                <w:sz w:val="20"/>
                <w:szCs w:val="20"/>
                <w:color w:val="auto"/>
              </w:rPr>
            </w:pPr>
            <w:r>
              <w:rPr>
                <w:rFonts w:ascii="Arial" w:cs="Arial" w:eastAsia="Arial" w:hAnsi="Arial"/>
                <w:sz w:val="14"/>
                <w:szCs w:val="14"/>
                <w:color w:val="auto"/>
                <w:w w:val="95"/>
              </w:rPr>
              <w:t>(Address of principal executive offices)</w:t>
            </w:r>
          </w:p>
        </w:tc>
        <w:tc>
          <w:tcPr>
            <w:tcW w:w="5220" w:type="dxa"/>
            <w:vAlign w:val="bottom"/>
          </w:tcPr>
          <w:p>
            <w:pPr>
              <w:jc w:val="center"/>
              <w:ind w:left="4068"/>
              <w:spacing w:after="0"/>
              <w:rPr>
                <w:sz w:val="20"/>
                <w:szCs w:val="20"/>
                <w:color w:val="auto"/>
              </w:rPr>
            </w:pPr>
            <w:r>
              <w:rPr>
                <w:rFonts w:ascii="Arial" w:cs="Arial" w:eastAsia="Arial" w:hAnsi="Arial"/>
                <w:sz w:val="14"/>
                <w:szCs w:val="14"/>
                <w:color w:val="auto"/>
                <w:w w:val="96"/>
              </w:rPr>
              <w:t>(Zip Code)</w:t>
            </w:r>
          </w:p>
        </w:tc>
      </w:tr>
      <w:tr>
        <w:trPr>
          <w:trHeight w:val="203"/>
        </w:trPr>
        <w:tc>
          <w:tcPr>
            <w:tcW w:w="3700" w:type="dxa"/>
            <w:vAlign w:val="bottom"/>
          </w:tcPr>
          <w:p>
            <w:pPr>
              <w:spacing w:after="0"/>
              <w:rPr>
                <w:sz w:val="17"/>
                <w:szCs w:val="17"/>
                <w:color w:val="auto"/>
              </w:rPr>
            </w:pPr>
          </w:p>
        </w:tc>
        <w:tc>
          <w:tcPr>
            <w:tcW w:w="5220" w:type="dxa"/>
            <w:vAlign w:val="bottom"/>
          </w:tcPr>
          <w:p>
            <w:pPr>
              <w:jc w:val="right"/>
              <w:ind w:right="3488"/>
              <w:spacing w:after="0"/>
              <w:rPr>
                <w:sz w:val="20"/>
                <w:szCs w:val="20"/>
                <w:color w:val="auto"/>
              </w:rPr>
            </w:pPr>
            <w:r>
              <w:rPr>
                <w:rFonts w:ascii="Arial" w:cs="Arial" w:eastAsia="Arial" w:hAnsi="Arial"/>
                <w:sz w:val="14"/>
                <w:szCs w:val="14"/>
                <w:b w:val="1"/>
                <w:bCs w:val="1"/>
                <w:color w:val="auto"/>
              </w:rPr>
              <w:t>(206) 333-2001</w:t>
            </w:r>
          </w:p>
        </w:tc>
      </w:tr>
    </w:tbl>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(Registrant's telephone number, including area code)</w:t>
      </w:r>
    </w:p>
    <w:p>
      <w:pPr>
        <w:spacing w:after="0" w:line="271" w:lineRule="exact"/>
        <w:rPr>
          <w:sz w:val="20"/>
          <w:szCs w:val="20"/>
          <w:color w:val="auto"/>
        </w:rPr>
      </w:pPr>
    </w:p>
    <w:p>
      <w:pPr>
        <w:ind w:left="326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67"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Trading Symbol(s)</w:t>
            </w:r>
          </w:p>
        </w:tc>
        <w:tc>
          <w:tcPr>
            <w:tcW w:w="3900" w:type="dxa"/>
            <w:vAlign w:val="bottom"/>
            <w:tcBorders>
              <w:bottom w:val="single" w:sz="8" w:color="auto"/>
            </w:tcBorders>
          </w:tcPr>
          <w:p>
            <w:pPr>
              <w:jc w:val="center"/>
              <w:ind w:left="139"/>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184"/>
        </w:trPr>
        <w:tc>
          <w:tcPr>
            <w:tcW w:w="3440" w:type="dxa"/>
            <w:vAlign w:val="bottom"/>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2260" w:type="dxa"/>
            <w:vAlign w:val="bottom"/>
          </w:tcPr>
          <w:p>
            <w:pPr>
              <w:ind w:left="1040"/>
              <w:spacing w:after="0"/>
              <w:rPr>
                <w:sz w:val="20"/>
                <w:szCs w:val="20"/>
                <w:color w:val="auto"/>
              </w:rPr>
            </w:pPr>
            <w:r>
              <w:rPr>
                <w:rFonts w:ascii="Arial" w:cs="Arial" w:eastAsia="Arial" w:hAnsi="Arial"/>
                <w:sz w:val="14"/>
                <w:szCs w:val="14"/>
                <w:color w:val="auto"/>
              </w:rPr>
              <w:t>NAUT</w:t>
            </w:r>
          </w:p>
        </w:tc>
        <w:tc>
          <w:tcPr>
            <w:tcW w:w="3900" w:type="dxa"/>
            <w:vAlign w:val="bottom"/>
          </w:tcPr>
          <w:p>
            <w:pPr>
              <w:jc w:val="center"/>
              <w:ind w:left="139"/>
              <w:spacing w:after="0"/>
              <w:rPr>
                <w:sz w:val="20"/>
                <w:szCs w:val="20"/>
                <w:color w:val="auto"/>
              </w:rPr>
            </w:pPr>
            <w:r>
              <w:rPr>
                <w:rFonts w:ascii="Arial" w:cs="Arial" w:eastAsia="Arial" w:hAnsi="Arial"/>
                <w:sz w:val="14"/>
                <w:szCs w:val="14"/>
                <w:color w:val="auto"/>
                <w:w w:val="94"/>
              </w:rPr>
              <w:t>The Nasdaq Stock Market LLC</w:t>
            </w:r>
          </w:p>
        </w:tc>
      </w:tr>
    </w:tbl>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10" w:lineRule="exact"/>
        <w:rPr>
          <w:sz w:val="20"/>
          <w:szCs w:val="20"/>
          <w:color w:val="auto"/>
        </w:rPr>
      </w:pPr>
    </w:p>
    <w:p>
      <w:pPr>
        <w:ind w:right="20"/>
        <w:spacing w:after="0" w:line="212"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260"/>
              <w:spacing w:after="0"/>
              <w:rPr>
                <w:sz w:val="20"/>
                <w:szCs w:val="20"/>
                <w:color w:val="auto"/>
              </w:rPr>
            </w:pPr>
            <w:r>
              <w:rPr>
                <w:rFonts w:ascii="Arial" w:cs="Arial" w:eastAsia="Arial" w:hAnsi="Arial"/>
                <w:sz w:val="14"/>
                <w:szCs w:val="14"/>
                <w:color w:val="auto"/>
              </w:rPr>
              <w:t>o</w:t>
            </w:r>
          </w:p>
        </w:tc>
        <w:tc>
          <w:tcPr>
            <w:tcW w:w="5160" w:type="dxa"/>
            <w:vAlign w:val="bottom"/>
          </w:tcPr>
          <w:p>
            <w:pPr>
              <w:ind w:left="328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rPr>
                <w:sz w:val="20"/>
                <w:szCs w:val="20"/>
                <w:color w:val="auto"/>
              </w:rPr>
            </w:pPr>
            <w:r>
              <w:rPr>
                <w:rFonts w:ascii="Arial" w:cs="Arial" w:eastAsia="Arial" w:hAnsi="Arial"/>
                <w:sz w:val="14"/>
                <w:szCs w:val="14"/>
                <w:color w:val="auto"/>
              </w:rPr>
              <w:t>o</w:t>
            </w:r>
          </w:p>
        </w:tc>
      </w:tr>
      <w:tr>
        <w:trPr>
          <w:trHeight w:val="222"/>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8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160" w:type="dxa"/>
            <w:vAlign w:val="bottom"/>
          </w:tcPr>
          <w:p>
            <w:pPr>
              <w:ind w:left="328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3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0"/>
          <w:szCs w:val="20"/>
          <w:color w:val="auto"/>
        </w:rPr>
      </w:pPr>
    </w:p>
    <w:p>
      <w:pPr>
        <w:ind w:right="1360" w:firstLine="324"/>
        <w:spacing w:after="0" w:line="490"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As of April 29, 2022, the registrant had 124,461,653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22" w:right="379" w:bottom="1440" w:gutter="0" w:footer="0" w:header="0"/>
        </w:sectPr>
      </w:pPr>
    </w:p>
    <w:bookmarkStart w:id="2" w:name="page3"/>
    <w:bookmarkEnd w:id="2"/>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2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rPr>
              <w:t>NAUTILUS BIOTECHNOLOGY, INC.</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20" w:type="dxa"/>
            <w:vAlign w:val="bottom"/>
            <w:gridSpan w:val="9"/>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25"/>
        </w:trPr>
        <w:tc>
          <w:tcPr>
            <w:tcW w:w="1036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PART I. FINANCIAL INFORMATION</w:t>
              </w:r>
            </w:hyperlink>
          </w:p>
        </w:tc>
        <w:tc>
          <w:tcPr>
            <w:tcW w:w="320" w:type="dxa"/>
            <w:vAlign w:val="bottom"/>
          </w:tcPr>
          <w:p>
            <w:pPr>
              <w:spacing w:after="0"/>
              <w:rPr>
                <w:sz w:val="24"/>
                <w:szCs w:val="24"/>
                <w:color w:val="auto"/>
              </w:rPr>
            </w:pPr>
          </w:p>
        </w:tc>
        <w:tc>
          <w:tcPr>
            <w:tcW w:w="400" w:type="dxa"/>
            <w:vAlign w:val="bottom"/>
            <w:gridSpan w:val="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iii</w:t>
              </w:r>
            </w:hyperlink>
          </w:p>
        </w:tc>
        <w:tc>
          <w:tcPr>
            <w:tcW w:w="0" w:type="dxa"/>
            <w:vAlign w:val="bottom"/>
          </w:tcPr>
          <w:p>
            <w:pPr>
              <w:spacing w:after="0"/>
              <w:rPr>
                <w:sz w:val="1"/>
                <w:szCs w:val="1"/>
                <w:color w:val="auto"/>
              </w:rPr>
            </w:pPr>
          </w:p>
        </w:tc>
      </w:tr>
      <w:tr>
        <w:trPr>
          <w:trHeight w:val="466"/>
        </w:trPr>
        <w:tc>
          <w:tcPr>
            <w:tcW w:w="10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860" w:type="dxa"/>
            <w:vAlign w:val="bottom"/>
            <w:tcBorders>
              <w:top w:val="single" w:sz="8" w:color="0000FF"/>
            </w:tcBorders>
            <w:gridSpan w:val="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7480" w:type="dxa"/>
            <w:vAlign w:val="bottom"/>
            <w:gridSpan w:val="10"/>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43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Financial Statements (Unaudited)</w:t>
              </w:r>
            </w:hyperlink>
          </w:p>
        </w:tc>
        <w:tc>
          <w:tcPr>
            <w:tcW w:w="5040" w:type="dxa"/>
            <w:vAlign w:val="bottom"/>
            <w:gridSpan w:val="8"/>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0000FF"/>
            </w:tcBorders>
            <w:gridSpan w:val="2"/>
          </w:tcPr>
          <w:p>
            <w:pPr>
              <w:spacing w:after="0"/>
              <w:rPr>
                <w:rFonts w:ascii="Arial" w:cs="Arial" w:eastAsia="Arial" w:hAnsi="Arial"/>
                <w:sz w:val="18"/>
                <w:szCs w:val="18"/>
                <w:color w:val="0000FF"/>
                <w:w w:val="82"/>
              </w:rPr>
            </w:pPr>
            <w:hyperlink w:anchor="page5">
              <w:r>
                <w:rPr>
                  <w:rFonts w:ascii="Arial" w:cs="Arial" w:eastAsia="Arial" w:hAnsi="Arial"/>
                  <w:sz w:val="18"/>
                  <w:szCs w:val="18"/>
                  <w:color w:val="0000FF"/>
                  <w:w w:val="82"/>
                </w:rPr>
                <w:t>iii</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934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as of March 31, 2022 and December 31, 2021 (unaudited)</w:t>
              </w:r>
            </w:hyperlink>
          </w:p>
        </w:tc>
        <w:tc>
          <w:tcPr>
            <w:tcW w:w="460" w:type="dxa"/>
            <w:vAlign w:val="bottom"/>
            <w:gridSpan w:val="3"/>
          </w:tcPr>
          <w:p>
            <w:pPr>
              <w:jc w:val="center"/>
              <w:ind w:left="1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1</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8520" w:type="dxa"/>
            <w:vAlign w:val="bottom"/>
            <w:gridSpan w:val="15"/>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Operations for the Three Months Ended March 31, 2022 and 2021 (unaudited)</w:t>
              </w:r>
            </w:hyperlink>
          </w:p>
        </w:tc>
        <w:tc>
          <w:tcPr>
            <w:tcW w:w="820" w:type="dxa"/>
            <w:vAlign w:val="bottom"/>
            <w:gridSpan w:val="3"/>
          </w:tcPr>
          <w:p>
            <w:pPr>
              <w:spacing w:after="0"/>
              <w:rPr>
                <w:sz w:val="22"/>
                <w:szCs w:val="22"/>
                <w:color w:val="auto"/>
              </w:rPr>
            </w:pPr>
          </w:p>
        </w:tc>
        <w:tc>
          <w:tcPr>
            <w:tcW w:w="460" w:type="dxa"/>
            <w:vAlign w:val="bottom"/>
            <w:gridSpan w:val="3"/>
          </w:tcPr>
          <w:p>
            <w:pPr>
              <w:jc w:val="center"/>
              <w:ind w:left="17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2</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240" w:type="dxa"/>
            <w:vAlign w:val="bottom"/>
            <w:gridSpan w:val="17"/>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Comprehensive Loss for the Three Months Ended March 31, 2022 and 2021 (unaudited)</w:t>
              </w:r>
            </w:hyperlink>
          </w:p>
        </w:tc>
        <w:tc>
          <w:tcPr>
            <w:tcW w:w="100" w:type="dxa"/>
            <w:vAlign w:val="bottom"/>
          </w:tcPr>
          <w:p>
            <w:pPr>
              <w:spacing w:after="0"/>
              <w:rPr>
                <w:sz w:val="22"/>
                <w:szCs w:val="22"/>
                <w:color w:val="auto"/>
              </w:rPr>
            </w:pPr>
          </w:p>
        </w:tc>
        <w:tc>
          <w:tcPr>
            <w:tcW w:w="460" w:type="dxa"/>
            <w:vAlign w:val="bottom"/>
            <w:gridSpan w:val="3"/>
          </w:tcPr>
          <w:p>
            <w:pPr>
              <w:jc w:val="center"/>
              <w:ind w:left="17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3</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9240" w:type="dxa"/>
            <w:vAlign w:val="bottom"/>
            <w:gridSpan w:val="17"/>
          </w:tcPr>
          <w:p>
            <w:pPr>
              <w:spacing w:after="0"/>
              <w:rPr>
                <w:rFonts w:ascii="Arial" w:cs="Arial" w:eastAsia="Arial" w:hAnsi="Arial"/>
                <w:sz w:val="18"/>
                <w:szCs w:val="18"/>
                <w:color w:val="0000FF"/>
                <w:w w:val="94"/>
              </w:rPr>
            </w:pPr>
            <w:hyperlink w:anchor="page8">
              <w:r>
                <w:rPr>
                  <w:rFonts w:ascii="Arial" w:cs="Arial" w:eastAsia="Arial" w:hAnsi="Arial"/>
                  <w:sz w:val="18"/>
                  <w:szCs w:val="18"/>
                  <w:color w:val="0000FF"/>
                  <w:w w:val="94"/>
                </w:rPr>
                <w:t>Condensed Consolidated Statements of Redeemable Convertible Preferred Stock and Stockholders’ Equity (Deficit) for the</w:t>
              </w:r>
            </w:hyperlink>
          </w:p>
        </w:tc>
        <w:tc>
          <w:tcPr>
            <w:tcW w:w="100" w:type="dxa"/>
            <w:vAlign w:val="bottom"/>
          </w:tcPr>
          <w:p>
            <w:pPr>
              <w:spacing w:after="0"/>
              <w:rPr>
                <w:sz w:val="22"/>
                <w:szCs w:val="22"/>
                <w:color w:val="auto"/>
              </w:rPr>
            </w:pPr>
          </w:p>
        </w:tc>
        <w:tc>
          <w:tcPr>
            <w:tcW w:w="460" w:type="dxa"/>
            <w:vAlign w:val="bottom"/>
            <w:gridSpan w:val="3"/>
            <w:vMerge w:val="restart"/>
          </w:tcPr>
          <w:p>
            <w:pPr>
              <w:jc w:val="center"/>
              <w:ind w:left="17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4</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4300" w:type="dxa"/>
            <w:vAlign w:val="bottom"/>
            <w:tcBorders>
              <w:top w:val="single" w:sz="8" w:color="0000FF"/>
            </w:tcBorders>
            <w:gridSpan w:val="10"/>
          </w:tcPr>
          <w:p>
            <w:pPr>
              <w:spacing w:after="0" w:line="156" w:lineRule="exact"/>
              <w:rPr>
                <w:rFonts w:ascii="Arial" w:cs="Arial" w:eastAsia="Arial" w:hAnsi="Arial"/>
                <w:sz w:val="18"/>
                <w:szCs w:val="18"/>
                <w:color w:val="0000FF"/>
                <w:w w:val="89"/>
              </w:rPr>
            </w:pPr>
            <w:hyperlink w:anchor="page8">
              <w:r>
                <w:rPr>
                  <w:rFonts w:ascii="Arial" w:cs="Arial" w:eastAsia="Arial" w:hAnsi="Arial"/>
                  <w:sz w:val="18"/>
                  <w:szCs w:val="18"/>
                  <w:color w:val="0000FF"/>
                  <w:w w:val="89"/>
                </w:rPr>
                <w:t>Three Months Ended March 31, 2022 and 2021 (unaudited)</w:t>
              </w:r>
            </w:hyperlink>
          </w:p>
        </w:tc>
        <w:tc>
          <w:tcPr>
            <w:tcW w:w="4580" w:type="dxa"/>
            <w:vAlign w:val="bottom"/>
            <w:tcBorders>
              <w:top w:val="single" w:sz="8" w:color="0000FF"/>
            </w:tcBorders>
            <w:gridSpan w:val="6"/>
          </w:tcPr>
          <w:p>
            <w:pPr>
              <w:spacing w:after="0"/>
              <w:rPr>
                <w:sz w:val="13"/>
                <w:szCs w:val="13"/>
                <w:color w:val="auto"/>
              </w:rPr>
            </w:pPr>
          </w:p>
        </w:tc>
        <w:tc>
          <w:tcPr>
            <w:tcW w:w="460" w:type="dxa"/>
            <w:vAlign w:val="bottom"/>
            <w:gridSpan w:val="2"/>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340" w:type="dxa"/>
            <w:vAlign w:val="bottom"/>
            <w:gridSpan w:val="18"/>
          </w:tcPr>
          <w:p>
            <w:pPr>
              <w:spacing w:after="0"/>
              <w:rPr>
                <w:rFonts w:ascii="Arial" w:cs="Arial" w:eastAsia="Arial" w:hAnsi="Arial"/>
                <w:sz w:val="18"/>
                <w:szCs w:val="18"/>
                <w:color w:val="0000FF"/>
                <w:w w:val="97"/>
              </w:rPr>
            </w:pPr>
            <w:hyperlink w:anchor="page9">
              <w:r>
                <w:rPr>
                  <w:rFonts w:ascii="Arial" w:cs="Arial" w:eastAsia="Arial" w:hAnsi="Arial"/>
                  <w:sz w:val="18"/>
                  <w:szCs w:val="18"/>
                  <w:color w:val="0000FF"/>
                  <w:w w:val="97"/>
                </w:rPr>
                <w:t>Condensed Consolidated Statements of Cash Flows for the Three Months Ended March 31, 2022 and 2021 (unaudited)</w:t>
              </w:r>
            </w:hyperlink>
          </w:p>
        </w:tc>
        <w:tc>
          <w:tcPr>
            <w:tcW w:w="460" w:type="dxa"/>
            <w:vAlign w:val="bottom"/>
            <w:gridSpan w:val="3"/>
          </w:tcPr>
          <w:p>
            <w:pPr>
              <w:jc w:val="center"/>
              <w:ind w:left="17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5</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8520" w:type="dxa"/>
            <w:vAlign w:val="bottom"/>
            <w:gridSpan w:val="15"/>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 (unaudited)</w:t>
              </w:r>
            </w:hyperlink>
          </w:p>
        </w:tc>
        <w:tc>
          <w:tcPr>
            <w:tcW w:w="820" w:type="dxa"/>
            <w:vAlign w:val="bottom"/>
            <w:gridSpan w:val="3"/>
          </w:tcPr>
          <w:p>
            <w:pPr>
              <w:spacing w:after="0"/>
              <w:rPr>
                <w:sz w:val="22"/>
                <w:szCs w:val="22"/>
                <w:color w:val="auto"/>
              </w:rPr>
            </w:pPr>
          </w:p>
        </w:tc>
        <w:tc>
          <w:tcPr>
            <w:tcW w:w="460" w:type="dxa"/>
            <w:vAlign w:val="bottom"/>
            <w:gridSpan w:val="3"/>
          </w:tcPr>
          <w:p>
            <w:pPr>
              <w:jc w:val="center"/>
              <w:ind w:left="17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6</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13"/>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Management's Discussion and Analysis of Financial Condition and Results of Operations</w:t>
              </w:r>
            </w:hyperlink>
          </w:p>
        </w:tc>
        <w:tc>
          <w:tcPr>
            <w:tcW w:w="2900" w:type="dxa"/>
            <w:vAlign w:val="bottom"/>
            <w:gridSpan w:val="5"/>
          </w:tcPr>
          <w:p>
            <w:pPr>
              <w:spacing w:after="0"/>
              <w:rPr>
                <w:sz w:val="22"/>
                <w:szCs w:val="22"/>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1"/>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18"/>
                <w:szCs w:val="18"/>
                <w:color w:val="auto"/>
              </w:rPr>
            </w:pPr>
          </w:p>
        </w:tc>
        <w:tc>
          <w:tcPr>
            <w:tcW w:w="2900" w:type="dxa"/>
            <w:vAlign w:val="bottom"/>
            <w:gridSpan w:val="5"/>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29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5000" w:type="dxa"/>
            <w:vAlign w:val="bottom"/>
            <w:gridSpan w:val="7"/>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40" w:type="dxa"/>
            <w:vAlign w:val="bottom"/>
            <w:tcBorders>
              <w:bottom w:val="single" w:sz="8" w:color="0000FF"/>
            </w:tcBorders>
            <w:gridSpan w:val="7"/>
          </w:tcPr>
          <w:p>
            <w:pPr>
              <w:spacing w:after="0"/>
              <w:rPr>
                <w:rFonts w:ascii="Arial" w:cs="Arial" w:eastAsia="Arial" w:hAnsi="Arial"/>
                <w:sz w:val="18"/>
                <w:szCs w:val="18"/>
                <w:color w:val="0000FF"/>
                <w:w w:val="95"/>
              </w:rPr>
            </w:pPr>
            <w:hyperlink w:anchor="page35">
              <w:r>
                <w:rPr>
                  <w:rFonts w:ascii="Arial" w:cs="Arial" w:eastAsia="Arial" w:hAnsi="Arial"/>
                  <w:sz w:val="18"/>
                  <w:szCs w:val="18"/>
                  <w:color w:val="0000FF"/>
                  <w:w w:val="95"/>
                </w:rPr>
                <w:t>PART II - OTHER INFORMATION</w:t>
              </w:r>
            </w:hyperlink>
          </w:p>
        </w:tc>
        <w:tc>
          <w:tcPr>
            <w:tcW w:w="7720" w:type="dxa"/>
            <w:vAlign w:val="bottom"/>
            <w:gridSpan w:val="12"/>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36">
              <w:r>
                <w:rPr>
                  <w:rFonts w:ascii="Arial" w:cs="Arial" w:eastAsia="Arial" w:hAnsi="Arial"/>
                  <w:sz w:val="18"/>
                  <w:szCs w:val="18"/>
                  <w:color w:val="0000FF"/>
                  <w:w w:val="85"/>
                </w:rPr>
                <w:t>Legal Proceedings</w:t>
              </w:r>
            </w:hyperlink>
          </w:p>
        </w:tc>
        <w:tc>
          <w:tcPr>
            <w:tcW w:w="8020" w:type="dxa"/>
            <w:vAlign w:val="bottom"/>
            <w:gridSpan w:val="14"/>
          </w:tcPr>
          <w:p>
            <w:pPr>
              <w:spacing w:after="0"/>
              <w:rPr>
                <w:sz w:val="24"/>
                <w:szCs w:val="24"/>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8020" w:type="dxa"/>
            <w:vAlign w:val="bottom"/>
            <w:gridSpan w:val="14"/>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18"/>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Unregistered Sales of Equity Securities and Use of Proceeds</w:t>
              </w:r>
            </w:hyperlink>
          </w:p>
        </w:tc>
        <w:tc>
          <w:tcPr>
            <w:tcW w:w="720" w:type="dxa"/>
            <w:vAlign w:val="bottom"/>
            <w:gridSpan w:val="4"/>
          </w:tcPr>
          <w:p>
            <w:pPr>
              <w:jc w:val="cente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1"/>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Defaults Upon Senior Securities</w:t>
              </w:r>
            </w:hyperlink>
          </w:p>
        </w:tc>
        <w:tc>
          <w:tcPr>
            <w:tcW w:w="5000" w:type="dxa"/>
            <w:vAlign w:val="bottom"/>
            <w:gridSpan w:val="7"/>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9"/>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Mine Safety Disclosures</w:t>
              </w:r>
            </w:hyperlink>
          </w:p>
        </w:tc>
        <w:tc>
          <w:tcPr>
            <w:tcW w:w="7020" w:type="dxa"/>
            <w:vAlign w:val="bottom"/>
            <w:gridSpan w:val="9"/>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Other Information</w:t>
              </w:r>
            </w:hyperlink>
          </w:p>
        </w:tc>
        <w:tc>
          <w:tcPr>
            <w:tcW w:w="440" w:type="dxa"/>
            <w:vAlign w:val="bottom"/>
            <w:gridSpan w:val="3"/>
          </w:tcPr>
          <w:p>
            <w:pPr>
              <w:spacing w:after="0"/>
              <w:rPr>
                <w:sz w:val="18"/>
                <w:szCs w:val="18"/>
                <w:color w:val="auto"/>
              </w:rPr>
            </w:pPr>
          </w:p>
        </w:tc>
        <w:tc>
          <w:tcPr>
            <w:tcW w:w="7580" w:type="dxa"/>
            <w:vAlign w:val="bottom"/>
            <w:gridSpan w:val="11"/>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20" w:type="dxa"/>
            <w:vAlign w:val="bottom"/>
            <w:gridSpan w:val="14"/>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Exhibits</w:t>
              </w:r>
            </w:hyperlink>
          </w:p>
        </w:tc>
        <w:tc>
          <w:tcPr>
            <w:tcW w:w="720" w:type="dxa"/>
            <w:vAlign w:val="bottom"/>
            <w:gridSpan w:val="2"/>
          </w:tcPr>
          <w:p>
            <w:pPr>
              <w:spacing w:after="0"/>
              <w:rPr>
                <w:sz w:val="18"/>
                <w:szCs w:val="18"/>
                <w:color w:val="auto"/>
              </w:rPr>
            </w:pPr>
          </w:p>
        </w:tc>
        <w:tc>
          <w:tcPr>
            <w:tcW w:w="8020" w:type="dxa"/>
            <w:vAlign w:val="bottom"/>
            <w:gridSpan w:val="14"/>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740" w:type="dxa"/>
            <w:vAlign w:val="bottom"/>
            <w:gridSpan w:val="1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19"/>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SIGNATURES</w:t>
              </w:r>
            </w:hyperlink>
          </w:p>
        </w:tc>
        <w:tc>
          <w:tcPr>
            <w:tcW w:w="720" w:type="dxa"/>
            <w:vAlign w:val="bottom"/>
            <w:gridSpan w:val="4"/>
          </w:tcPr>
          <w:p>
            <w:pPr>
              <w:jc w:val="cente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40" w:top="1440" w:right="479" w:bottom="1440" w:gutter="0" w:footer="0" w:header="0"/>
        </w:sectPr>
      </w:pPr>
    </w:p>
    <w:bookmarkStart w:id="3" w:name="page4"/>
    <w:bookmarkEnd w:id="3"/>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34" w:lineRule="exact"/>
        <w:rPr>
          <w:sz w:val="20"/>
          <w:szCs w:val="20"/>
          <w:color w:val="auto"/>
        </w:rPr>
      </w:pPr>
    </w:p>
    <w:p>
      <w:pPr>
        <w:ind w:right="48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proteomics platform (the “Nautilus platform”), which remains in the development stage and subject to scientific and technical validation;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71" w:lineRule="exact"/>
        <w:rPr>
          <w:rFonts w:ascii="Arial" w:cs="Arial" w:eastAsia="Arial" w:hAnsi="Arial"/>
          <w:sz w:val="18"/>
          <w:szCs w:val="18"/>
          <w:color w:val="auto"/>
        </w:rPr>
      </w:pPr>
    </w:p>
    <w:p>
      <w:pPr>
        <w:ind w:right="6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71" w:lineRule="exact"/>
        <w:rPr>
          <w:rFonts w:ascii="Arial" w:cs="Arial" w:eastAsia="Arial" w:hAnsi="Arial"/>
          <w:sz w:val="18"/>
          <w:szCs w:val="18"/>
          <w:color w:val="auto"/>
        </w:rPr>
      </w:pPr>
    </w:p>
    <w:p>
      <w:pPr>
        <w:ind w:right="300" w:firstLine="332"/>
        <w:spacing w:after="0" w:line="311" w:lineRule="auto"/>
        <w:tabs>
          <w:tab w:leader="none" w:pos="643"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recognize the anticipated benefits of the Business Combination (as defined in Part I, Item I, Note 1, “Description of Business and Basis of Presentation,” in our notes to condensed consolidated financial statements in this Quarterly Report on Form 10-Q), which may be affected by, among other things, competition, our ability to grow and manage future growth effectively, and our ability to retain our key employees;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1440" w:right="359" w:bottom="1440" w:gutter="0" w:footer="0" w:header="0"/>
        </w:sectPr>
      </w:pPr>
    </w:p>
    <w:bookmarkStart w:id="4" w:name="page5"/>
    <w:bookmarkEnd w:id="4"/>
    <w:p>
      <w:pPr>
        <w:spacing w:after="0" w:line="144"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11"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1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8" w:lineRule="exact"/>
        <w:rPr>
          <w:sz w:val="20"/>
          <w:szCs w:val="20"/>
          <w:color w:val="auto"/>
        </w:rPr>
      </w:pPr>
    </w:p>
    <w:p>
      <w:pPr>
        <w:ind w:right="400" w:firstLine="324"/>
        <w:spacing w:after="0" w:line="257" w:lineRule="auto"/>
        <w:rPr>
          <w:sz w:val="20"/>
          <w:szCs w:val="20"/>
          <w:color w:val="auto"/>
        </w:rPr>
      </w:pPr>
      <w:r>
        <w:rPr>
          <w:rFonts w:ascii="Arial" w:cs="Arial" w:eastAsia="Arial" w:hAnsi="Arial"/>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As of March 31, 2022 and December 31,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8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40" w:type="dxa"/>
            <w:vAlign w:val="bottom"/>
          </w:tcPr>
          <w:p>
            <w:pPr>
              <w:jc w:val="right"/>
              <w:ind w:right="27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0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188,622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185,619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349,222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398,450</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29,062</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Commitments and contingencies (Note 10)</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Preferred stock, $0.0001 par value, 200,000,000 authorized as of March 31, 2022 and December 31, 2021; 0</w:t>
            </w:r>
          </w:p>
        </w:tc>
        <w:tc>
          <w:tcPr>
            <w:tcW w:w="28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shares issued and outstanding as of March 31, 2022 and December 31, 2021</w:t>
            </w:r>
          </w:p>
        </w:tc>
        <w:tc>
          <w:tcPr>
            <w:tcW w:w="28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00"/>
              <w:spacing w:after="0" w:line="176" w:lineRule="exact"/>
              <w:rPr>
                <w:sz w:val="20"/>
                <w:szCs w:val="20"/>
                <w:color w:val="auto"/>
              </w:rPr>
            </w:pPr>
            <w:r>
              <w:rPr>
                <w:rFonts w:ascii="Arial" w:cs="Arial" w:eastAsia="Arial" w:hAnsi="Arial"/>
                <w:sz w:val="18"/>
                <w:szCs w:val="18"/>
                <w:color w:val="auto"/>
                <w:w w:val="90"/>
              </w:rPr>
              <w:t>Common stock, $0.0001 par value, 1,000,000,000 shares authorized as of March 31, 2022 and December 31,</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60"/>
              <w:spacing w:after="0" w:line="176" w:lineRule="exact"/>
              <w:rPr>
                <w:sz w:val="20"/>
                <w:szCs w:val="20"/>
                <w:color w:val="auto"/>
              </w:rPr>
            </w:pPr>
            <w:r>
              <w:rPr>
                <w:rFonts w:ascii="Arial" w:cs="Arial" w:eastAsia="Arial" w:hAnsi="Arial"/>
                <w:sz w:val="18"/>
                <w:szCs w:val="18"/>
                <w:color w:val="auto"/>
                <w:w w:val="89"/>
              </w:rPr>
              <w:t>2021; 124,456,653 and 124,303,083 shares issued and outstanding as of March 31, 2022 and December 31,</w:t>
            </w:r>
          </w:p>
        </w:tc>
        <w:tc>
          <w:tcPr>
            <w:tcW w:w="2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8020" w:type="dxa"/>
            <w:vAlign w:val="bottom"/>
          </w:tcPr>
          <w:p>
            <w:pPr>
              <w:ind w:left="260"/>
              <w:spacing w:after="0"/>
              <w:rPr>
                <w:sz w:val="20"/>
                <w:szCs w:val="20"/>
                <w:color w:val="auto"/>
              </w:rPr>
            </w:pPr>
            <w:r>
              <w:rPr>
                <w:rFonts w:ascii="Arial" w:cs="Arial" w:eastAsia="Arial" w:hAnsi="Arial"/>
                <w:sz w:val="18"/>
                <w:szCs w:val="18"/>
                <w:color w:val="auto"/>
              </w:rPr>
              <w:t>2021, respectively</w:t>
            </w:r>
          </w:p>
        </w:tc>
        <w:tc>
          <w:tcPr>
            <w:tcW w:w="2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444,388</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363,576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398,450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80"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Months Ended March 31,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9,658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23"/>
        </w:trPr>
        <w:tc>
          <w:tcPr>
            <w:tcW w:w="778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(8,409)</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0"/>
              </w:rPr>
              <w:t>Weighted-average shares used in computing net loss per share attributable to common stockholders, 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7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124,418,580</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32,999,880</w:t>
            </w:r>
          </w:p>
        </w:tc>
        <w:tc>
          <w:tcPr>
            <w:tcW w:w="0" w:type="dxa"/>
            <w:vAlign w:val="bottom"/>
          </w:tcPr>
          <w:p>
            <w:pPr>
              <w:spacing w:after="0"/>
              <w:rPr>
                <w:sz w:val="1"/>
                <w:szCs w:val="1"/>
                <w:color w:val="auto"/>
              </w:rPr>
            </w:pP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and diluted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140" w:right="659" w:bottom="1440" w:gutter="0" w:footer="0" w:header="0"/>
        </w:sectPr>
      </w:pPr>
    </w:p>
    <w:bookmarkStart w:id="7" w:name="page8"/>
    <w:bookmarkEnd w:id="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Comprehensive Loss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Months Ended March 31,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securities available-for-sale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20" w:top="180" w:right="419" w:bottom="1440" w:gutter="0" w:footer="0" w:header="0"/>
        </w:sectPr>
      </w:pPr>
    </w:p>
    <w:bookmarkStart w:id="8" w:name="page9"/>
    <w:bookmarkEnd w:id="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Condensed Consolidated Statements of Redeemable Convertible Preferred Stock and Stockholders’ Equity (Deficit)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Months Ended March 31,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3"/>
                <w:szCs w:val="13"/>
                <w:b w:val="1"/>
                <w:bCs w:val="1"/>
                <w:i w:val="1"/>
                <w:iCs w:val="1"/>
                <w:color w:val="auto"/>
                <w:w w:val="93"/>
              </w:rPr>
              <w:t>Three Months Ended March</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15"/>
            <w:vMerge w:val="restart"/>
          </w:tcPr>
          <w:p>
            <w:pPr>
              <w:jc w:val="center"/>
              <w:ind w:right="257"/>
              <w:spacing w:after="0"/>
              <w:rPr>
                <w:sz w:val="20"/>
                <w:szCs w:val="20"/>
                <w:color w:val="auto"/>
              </w:rPr>
            </w:pPr>
            <w:r>
              <w:rPr>
                <w:rFonts w:ascii="Arial" w:cs="Arial" w:eastAsia="Arial" w:hAnsi="Arial"/>
                <w:sz w:val="13"/>
                <w:szCs w:val="13"/>
                <w:b w:val="1"/>
                <w:bCs w:val="1"/>
                <w:color w:val="auto"/>
                <w:w w:val="87"/>
              </w:rPr>
              <w:t>Redeemable Convertible Preferred Stock</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0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0"/>
                <w:szCs w:val="10"/>
                <w:b w:val="1"/>
                <w:bCs w:val="1"/>
                <w:i w:val="1"/>
                <w:iCs w:val="1"/>
                <w:color w:val="auto"/>
              </w:rPr>
              <w:t>31, 2022</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15"/>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5"/>
              </w:rPr>
              <w:t>Accumulated</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160" w:type="dxa"/>
            <w:vAlign w:val="bottom"/>
            <w:tcBorders>
              <w:bottom w:val="single" w:sz="8" w:color="auto"/>
            </w:tcBorders>
            <w:gridSpan w:val="26"/>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80" w:type="dxa"/>
            <w:vAlign w:val="bottom"/>
            <w:gridSpan w:val="16"/>
          </w:tcPr>
          <w:p>
            <w:pPr>
              <w:spacing w:after="0" w:line="20" w:lineRule="exact"/>
              <w:rPr>
                <w:sz w:val="1"/>
                <w:szCs w:val="1"/>
                <w:color w:val="auto"/>
              </w:rPr>
            </w:pPr>
          </w:p>
        </w:tc>
        <w:tc>
          <w:tcPr>
            <w:tcW w:w="1020" w:type="dxa"/>
            <w:vAlign w:val="bottom"/>
            <w:gridSpan w:val="4"/>
            <w:vMerge w:val="continue"/>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5"/>
          </w:tcPr>
          <w:p>
            <w:pPr>
              <w:jc w:val="right"/>
              <w:spacing w:after="0" w:line="129" w:lineRule="exact"/>
              <w:rPr>
                <w:sz w:val="20"/>
                <w:szCs w:val="20"/>
                <w:color w:val="auto"/>
              </w:rPr>
            </w:pPr>
            <w:r>
              <w:rPr>
                <w:rFonts w:ascii="Arial" w:cs="Arial" w:eastAsia="Arial" w:hAnsi="Arial"/>
                <w:sz w:val="13"/>
                <w:szCs w:val="13"/>
                <w:b w:val="1"/>
                <w:bCs w:val="1"/>
                <w:color w:val="auto"/>
              </w:rPr>
              <w:t>Series Seed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5"/>
          </w:tcPr>
          <w:p>
            <w:pPr>
              <w:jc w:val="center"/>
              <w:ind w:left="177"/>
              <w:spacing w:after="0" w:line="129" w:lineRule="exact"/>
              <w:rPr>
                <w:sz w:val="20"/>
                <w:szCs w:val="20"/>
                <w:color w:val="auto"/>
              </w:rPr>
            </w:pPr>
            <w:r>
              <w:rPr>
                <w:rFonts w:ascii="Arial" w:cs="Arial" w:eastAsia="Arial" w:hAnsi="Arial"/>
                <w:sz w:val="13"/>
                <w:szCs w:val="13"/>
                <w:b w:val="1"/>
                <w:bCs w:val="1"/>
                <w:color w:val="auto"/>
                <w:w w:val="84"/>
              </w:rPr>
              <w:t>Series A</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4"/>
          </w:tcPr>
          <w:p>
            <w:pPr>
              <w:ind w:left="240"/>
              <w:spacing w:after="0" w:line="129" w:lineRule="exact"/>
              <w:rPr>
                <w:sz w:val="20"/>
                <w:szCs w:val="20"/>
                <w:color w:val="auto"/>
              </w:rPr>
            </w:pPr>
            <w:r>
              <w:rPr>
                <w:rFonts w:ascii="Arial" w:cs="Arial" w:eastAsia="Arial" w:hAnsi="Arial"/>
                <w:sz w:val="13"/>
                <w:szCs w:val="13"/>
                <w:b w:val="1"/>
                <w:bCs w:val="1"/>
                <w:color w:val="auto"/>
              </w:rPr>
              <w:t>Series B</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5"/>
          </w:tcPr>
          <w:p>
            <w:pPr>
              <w:ind w:left="40"/>
              <w:spacing w:after="0" w:line="129" w:lineRule="exact"/>
              <w:rPr>
                <w:sz w:val="20"/>
                <w:szCs w:val="20"/>
                <w:color w:val="auto"/>
              </w:rPr>
            </w:pPr>
            <w:r>
              <w:rPr>
                <w:rFonts w:ascii="Arial" w:cs="Arial" w:eastAsia="Arial" w:hAnsi="Arial"/>
                <w:sz w:val="13"/>
                <w:szCs w:val="13"/>
                <w:b w:val="1"/>
                <w:bCs w:val="1"/>
                <w:color w:val="auto"/>
                <w:w w:val="88"/>
              </w:rPr>
              <w:t>Common Stock</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20" w:type="dxa"/>
            <w:vAlign w:val="bottom"/>
            <w:gridSpan w:val="3"/>
            <w:vMerge w:val="restart"/>
          </w:tcPr>
          <w:p>
            <w:pPr>
              <w:spacing w:after="0"/>
              <w:rPr>
                <w:sz w:val="20"/>
                <w:szCs w:val="20"/>
                <w:color w:val="auto"/>
              </w:rPr>
            </w:pPr>
            <w:r>
              <w:rPr>
                <w:rFonts w:ascii="Arial" w:cs="Arial" w:eastAsia="Arial" w:hAnsi="Arial"/>
                <w:sz w:val="13"/>
                <w:szCs w:val="13"/>
                <w:i w:val="1"/>
                <w:iCs w:val="1"/>
                <w:color w:val="auto"/>
              </w:rPr>
              <w:t>(in thousands, except share</w:t>
            </w:r>
          </w:p>
        </w:tc>
        <w:tc>
          <w:tcPr>
            <w:tcW w:w="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4"/>
          </w:tcPr>
          <w:p>
            <w:pPr>
              <w:jc w:val="right"/>
              <w:spacing w:after="0" w:line="61" w:lineRule="exact"/>
              <w:rPr>
                <w:sz w:val="20"/>
                <w:szCs w:val="20"/>
                <w:color w:val="auto"/>
              </w:rPr>
            </w:pPr>
            <w:r>
              <w:rPr>
                <w:rFonts w:ascii="Arial" w:cs="Arial" w:eastAsia="Arial" w:hAnsi="Arial"/>
                <w:sz w:val="7"/>
                <w:szCs w:val="7"/>
                <w:b w:val="1"/>
                <w:bCs w:val="1"/>
                <w:color w:val="auto"/>
              </w:rPr>
              <w:t>Additional</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tcPr>
          <w:p>
            <w:pPr>
              <w:jc w:val="center"/>
              <w:ind w:right="400"/>
              <w:spacing w:after="0" w:line="61" w:lineRule="exact"/>
              <w:rPr>
                <w:sz w:val="20"/>
                <w:szCs w:val="20"/>
                <w:color w:val="auto"/>
              </w:rPr>
            </w:pPr>
            <w:r>
              <w:rPr>
                <w:rFonts w:ascii="Arial" w:cs="Arial" w:eastAsia="Arial" w:hAnsi="Arial"/>
                <w:sz w:val="7"/>
                <w:szCs w:val="7"/>
                <w:b w:val="1"/>
                <w:bCs w:val="1"/>
                <w:color w:val="auto"/>
              </w:rPr>
              <w:t>Other</w:t>
            </w:r>
          </w:p>
        </w:tc>
        <w:tc>
          <w:tcPr>
            <w:tcW w:w="880" w:type="dxa"/>
            <w:vAlign w:val="bottom"/>
            <w:gridSpan w:val="6"/>
            <w:vMerge w:val="restart"/>
          </w:tcPr>
          <w:p>
            <w:pPr>
              <w:jc w:val="center"/>
              <w:ind w:right="80"/>
              <w:spacing w:after="0"/>
              <w:rPr>
                <w:sz w:val="20"/>
                <w:szCs w:val="20"/>
                <w:color w:val="auto"/>
              </w:rPr>
            </w:pPr>
            <w:r>
              <w:rPr>
                <w:rFonts w:ascii="Arial" w:cs="Arial" w:eastAsia="Arial" w:hAnsi="Arial"/>
                <w:sz w:val="13"/>
                <w:szCs w:val="13"/>
                <w:b w:val="1"/>
                <w:bCs w:val="1"/>
                <w:color w:val="auto"/>
                <w:w w:val="88"/>
              </w:rPr>
              <w:t>Accumulated</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0"/>
                <w:szCs w:val="10"/>
                <w:color w:val="auto"/>
              </w:rPr>
            </w:pPr>
          </w:p>
        </w:tc>
        <w:tc>
          <w:tcPr>
            <w:tcW w:w="58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3"/>
            <w:vMerge w:val="restart"/>
          </w:tcPr>
          <w:p>
            <w:pPr>
              <w:jc w:val="right"/>
              <w:ind w:right="137"/>
              <w:spacing w:after="0"/>
              <w:rPr>
                <w:sz w:val="20"/>
                <w:szCs w:val="20"/>
                <w:color w:val="auto"/>
              </w:rPr>
            </w:pPr>
            <w:r>
              <w:rPr>
                <w:rFonts w:ascii="Arial" w:cs="Arial" w:eastAsia="Arial" w:hAnsi="Arial"/>
                <w:sz w:val="13"/>
                <w:szCs w:val="13"/>
                <w:b w:val="1"/>
                <w:bCs w:val="1"/>
                <w:color w:val="auto"/>
                <w:w w:val="92"/>
              </w:rPr>
              <w:t>Shares</w:t>
            </w:r>
          </w:p>
        </w:tc>
        <w:tc>
          <w:tcPr>
            <w:tcW w:w="80" w:type="dxa"/>
            <w:vAlign w:val="bottom"/>
            <w:vMerge w:val="restart"/>
          </w:tcPr>
          <w:p>
            <w:pPr>
              <w:spacing w:after="0"/>
              <w:rPr>
                <w:sz w:val="10"/>
                <w:szCs w:val="10"/>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10"/>
                <w:szCs w:val="10"/>
                <w:color w:val="auto"/>
              </w:rPr>
            </w:pPr>
          </w:p>
        </w:tc>
        <w:tc>
          <w:tcPr>
            <w:tcW w:w="620" w:type="dxa"/>
            <w:vAlign w:val="bottom"/>
            <w:gridSpan w:val="4"/>
          </w:tcPr>
          <w:p>
            <w:pPr>
              <w:jc w:val="right"/>
              <w:ind w:right="37"/>
              <w:spacing w:after="0" w:line="122" w:lineRule="exact"/>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88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i w:val="1"/>
                <w:iCs w:val="1"/>
                <w:color w:val="auto"/>
              </w:rPr>
              <w:t>amounts)</w:t>
            </w: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62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rPr>
              <w:t>Capital</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39"/>
              <w:spacing w:after="0"/>
              <w:rPr>
                <w:sz w:val="20"/>
                <w:szCs w:val="20"/>
                <w:color w:val="auto"/>
              </w:rPr>
            </w:pPr>
            <w:r>
              <w:rPr>
                <w:rFonts w:ascii="Arial" w:cs="Arial" w:eastAsia="Arial" w:hAnsi="Arial"/>
                <w:sz w:val="13"/>
                <w:szCs w:val="13"/>
                <w:b w:val="1"/>
                <w:bCs w:val="1"/>
                <w:color w:val="auto"/>
                <w:w w:val="85"/>
              </w:rPr>
              <w:t>Loss</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tcPr>
          <w:p>
            <w:pPr>
              <w:jc w:val="center"/>
              <w:ind w:right="157"/>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87"/>
              </w:rPr>
              <w:t>Stockholders’Equity</w:t>
            </w:r>
          </w:p>
        </w:tc>
        <w:tc>
          <w:tcPr>
            <w:tcW w:w="0" w:type="dxa"/>
            <w:vAlign w:val="bottom"/>
          </w:tcPr>
          <w:p>
            <w:pPr>
              <w:spacing w:after="0"/>
              <w:rPr>
                <w:sz w:val="1"/>
                <w:szCs w:val="1"/>
                <w:color w:val="auto"/>
              </w:rPr>
            </w:pPr>
          </w:p>
        </w:tc>
      </w:tr>
      <w:tr>
        <w:trPr>
          <w:trHeight w:val="107"/>
        </w:trPr>
        <w:tc>
          <w:tcPr>
            <w:tcW w:w="20" w:type="dxa"/>
            <w:vAlign w:val="bottom"/>
            <w:shd w:val="clear" w:color="auto" w:fill="CCEEFF"/>
          </w:tcPr>
          <w:p>
            <w:pPr>
              <w:spacing w:after="0"/>
              <w:rPr>
                <w:sz w:val="9"/>
                <w:szCs w:val="9"/>
                <w:color w:val="auto"/>
              </w:rPr>
            </w:pPr>
          </w:p>
        </w:tc>
        <w:tc>
          <w:tcPr>
            <w:tcW w:w="1620" w:type="dxa"/>
            <w:vAlign w:val="bottom"/>
            <w:gridSpan w:val="3"/>
            <w:shd w:val="clear" w:color="auto" w:fill="CCEEFF"/>
          </w:tcPr>
          <w:p>
            <w:pPr>
              <w:spacing w:after="0" w:line="107" w:lineRule="exact"/>
              <w:rPr>
                <w:sz w:val="20"/>
                <w:szCs w:val="20"/>
                <w:color w:val="auto"/>
              </w:rPr>
            </w:pPr>
            <w:r>
              <w:rPr>
                <w:rFonts w:ascii="Arial" w:cs="Arial" w:eastAsia="Arial" w:hAnsi="Arial"/>
                <w:sz w:val="12"/>
                <w:szCs w:val="12"/>
                <w:b w:val="1"/>
                <w:bCs w:val="1"/>
                <w:color w:val="auto"/>
              </w:rPr>
              <w:t>Balances at December 31,</w:t>
            </w:r>
          </w:p>
        </w:tc>
        <w:tc>
          <w:tcPr>
            <w:tcW w:w="6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9"/>
                <w:szCs w:val="9"/>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center"/>
              <w:ind w:left="297"/>
              <w:spacing w:after="0"/>
              <w:rPr>
                <w:sz w:val="20"/>
                <w:szCs w:val="20"/>
                <w:color w:val="auto"/>
              </w:rPr>
            </w:pPr>
            <w:r>
              <w:rPr>
                <w:rFonts w:ascii="Arial" w:cs="Arial" w:eastAsia="Arial" w:hAnsi="Arial"/>
                <w:sz w:val="13"/>
                <w:szCs w:val="13"/>
                <w:color w:val="auto"/>
                <w:w w:val="91"/>
              </w:rPr>
              <w:t>—</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gridSpan w:val="3"/>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00" w:type="dxa"/>
            <w:vAlign w:val="bottom"/>
            <w:gridSpan w:val="2"/>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9"/>
                <w:szCs w:val="9"/>
                <w:color w:val="auto"/>
              </w:rPr>
            </w:pPr>
          </w:p>
        </w:tc>
        <w:tc>
          <w:tcPr>
            <w:tcW w:w="820" w:type="dxa"/>
            <w:vAlign w:val="bottom"/>
            <w:gridSpan w:val="5"/>
            <w:vMerge w:val="restart"/>
            <w:shd w:val="clear" w:color="auto" w:fill="CCEEFF"/>
          </w:tcPr>
          <w:p>
            <w:pPr>
              <w:jc w:val="right"/>
              <w:spacing w:after="0"/>
              <w:rPr>
                <w:sz w:val="20"/>
                <w:szCs w:val="20"/>
                <w:color w:val="auto"/>
              </w:rPr>
            </w:pPr>
            <w:r>
              <w:rPr>
                <w:rFonts w:ascii="Arial" w:cs="Arial" w:eastAsia="Arial" w:hAnsi="Arial"/>
                <w:sz w:val="13"/>
                <w:szCs w:val="13"/>
                <w:color w:val="auto"/>
              </w:rPr>
              <w:t>124,303,083</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w w:val="82"/>
              </w:rPr>
              <w:t>$</w:t>
            </w:r>
          </w:p>
        </w:tc>
        <w:tc>
          <w:tcPr>
            <w:tcW w:w="4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w w:val="85"/>
              </w:rPr>
              <w:t>444,388</w:t>
            </w:r>
          </w:p>
        </w:tc>
        <w:tc>
          <w:tcPr>
            <w:tcW w:w="340" w:type="dxa"/>
            <w:vAlign w:val="bottom"/>
            <w:gridSpan w:val="3"/>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center"/>
              <w:ind w:left="259"/>
              <w:spacing w:after="0"/>
              <w:rPr>
                <w:sz w:val="20"/>
                <w:szCs w:val="20"/>
                <w:color w:val="auto"/>
              </w:rPr>
            </w:pPr>
            <w:r>
              <w:rPr>
                <w:rFonts w:ascii="Arial" w:cs="Arial" w:eastAsia="Arial" w:hAnsi="Arial"/>
                <w:sz w:val="13"/>
                <w:szCs w:val="13"/>
                <w:color w:val="auto"/>
                <w:w w:val="92"/>
              </w:rPr>
              <w:t>(184)</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580" w:type="dxa"/>
            <w:vAlign w:val="bottom"/>
            <w:gridSpan w:val="4"/>
            <w:vMerge w:val="restart"/>
            <w:shd w:val="clear" w:color="auto" w:fill="CCEEFF"/>
          </w:tcPr>
          <w:p>
            <w:pPr>
              <w:ind w:left="120"/>
              <w:spacing w:after="0"/>
              <w:rPr>
                <w:sz w:val="20"/>
                <w:szCs w:val="20"/>
                <w:color w:val="auto"/>
              </w:rPr>
            </w:pPr>
            <w:r>
              <w:rPr>
                <w:rFonts w:ascii="Arial" w:cs="Arial" w:eastAsia="Arial" w:hAnsi="Arial"/>
                <w:sz w:val="13"/>
                <w:szCs w:val="13"/>
                <w:color w:val="auto"/>
                <w:w w:val="90"/>
              </w:rPr>
              <w:t>(80,640)</w:t>
            </w:r>
          </w:p>
        </w:tc>
        <w:tc>
          <w:tcPr>
            <w:tcW w:w="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363,576</w:t>
            </w:r>
          </w:p>
        </w:tc>
        <w:tc>
          <w:tcPr>
            <w:tcW w:w="0" w:type="dxa"/>
            <w:vAlign w:val="bottom"/>
          </w:tcPr>
          <w:p>
            <w:pPr>
              <w:spacing w:after="0"/>
              <w:rPr>
                <w:sz w:val="1"/>
                <w:szCs w:val="1"/>
                <w:color w:val="auto"/>
              </w:rPr>
            </w:pPr>
          </w:p>
        </w:tc>
      </w:tr>
      <w:tr>
        <w:trPr>
          <w:trHeight w:val="175"/>
        </w:trPr>
        <w:tc>
          <w:tcPr>
            <w:tcW w:w="4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2021</w:t>
            </w: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28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20" w:type="dxa"/>
            <w:vAlign w:val="bottom"/>
            <w:gridSpan w:val="5"/>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34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900" w:type="dxa"/>
            <w:vAlign w:val="bottom"/>
            <w:tcBorders>
              <w:right w:val="single" w:sz="8" w:color="auto"/>
            </w:tcBorders>
            <w:gridSpan w:val="31"/>
          </w:tcPr>
          <w:p>
            <w:pPr>
              <w:spacing w:after="0"/>
              <w:rPr>
                <w:sz w:val="20"/>
                <w:szCs w:val="20"/>
                <w:color w:val="auto"/>
              </w:rPr>
            </w:pPr>
            <w:r>
              <w:rPr>
                <w:rFonts w:ascii="Arial" w:cs="Arial" w:eastAsia="Arial" w:hAnsi="Arial"/>
                <w:sz w:val="13"/>
                <w:szCs w:val="13"/>
                <w:color w:val="auto"/>
              </w:rPr>
              <w:t>Issuance of common stock</w:t>
            </w:r>
          </w:p>
        </w:tc>
        <w:tc>
          <w:tcPr>
            <w:tcW w:w="5320" w:type="dxa"/>
            <w:vAlign w:val="bottom"/>
            <w:gridSpan w:val="3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gridSpan w:val="3"/>
          </w:tcPr>
          <w:p>
            <w:pPr>
              <w:ind w:left="160"/>
              <w:spacing w:after="0" w:line="122" w:lineRule="exact"/>
              <w:rPr>
                <w:sz w:val="20"/>
                <w:szCs w:val="20"/>
                <w:color w:val="auto"/>
              </w:rPr>
            </w:pPr>
            <w:r>
              <w:rPr>
                <w:rFonts w:ascii="Arial" w:cs="Arial" w:eastAsia="Arial" w:hAnsi="Arial"/>
                <w:sz w:val="13"/>
                <w:szCs w:val="13"/>
                <w:color w:val="auto"/>
              </w:rPr>
              <w:t>upon exercise of vested</w:t>
            </w:r>
          </w:p>
        </w:tc>
        <w:tc>
          <w:tcPr>
            <w:tcW w:w="6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center"/>
              <w:ind w:left="297"/>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3"/>
            <w:vMerge w:val="restart"/>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46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3"/>
                <w:szCs w:val="13"/>
                <w:color w:val="auto"/>
              </w:rPr>
              <w:t>153,570</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13"/>
                <w:szCs w:val="13"/>
                <w:color w:val="auto"/>
              </w:rPr>
              <w:t>156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3"/>
                <w:szCs w:val="13"/>
                <w:color w:val="auto"/>
              </w:rPr>
              <w:t>stock options</w:t>
            </w: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62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Stock-based compensation</w:t>
            </w:r>
          </w:p>
        </w:tc>
        <w:tc>
          <w:tcPr>
            <w:tcW w:w="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center"/>
              <w:ind w:left="297"/>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3"/>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2,110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2,110</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expense</w:t>
            </w:r>
          </w:p>
        </w:tc>
        <w:tc>
          <w:tcPr>
            <w:tcW w:w="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3"/>
          </w:tcPr>
          <w:p>
            <w:pPr>
              <w:spacing w:after="0"/>
              <w:rPr>
                <w:sz w:val="20"/>
                <w:szCs w:val="20"/>
                <w:color w:val="auto"/>
              </w:rPr>
            </w:pPr>
            <w:r>
              <w:rPr>
                <w:rFonts w:ascii="Arial" w:cs="Arial" w:eastAsia="Arial" w:hAnsi="Arial"/>
                <w:sz w:val="13"/>
                <w:szCs w:val="13"/>
                <w:color w:val="auto"/>
              </w:rPr>
              <w:t>Other comprehensive loss</w:t>
            </w:r>
          </w:p>
        </w:tc>
        <w:tc>
          <w:tcPr>
            <w:tcW w:w="6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center"/>
              <w:ind w:left="297"/>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460" w:type="dxa"/>
            <w:vAlign w:val="bottom"/>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center"/>
              <w:ind w:left="259"/>
              <w:spacing w:after="0"/>
              <w:rPr>
                <w:sz w:val="20"/>
                <w:szCs w:val="20"/>
                <w:color w:val="auto"/>
              </w:rPr>
            </w:pPr>
            <w:r>
              <w:rPr>
                <w:rFonts w:ascii="Arial" w:cs="Arial" w:eastAsia="Arial" w:hAnsi="Arial"/>
                <w:sz w:val="13"/>
                <w:szCs w:val="13"/>
                <w:color w:val="auto"/>
                <w:w w:val="92"/>
              </w:rPr>
              <w:t>(370)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211"/>
        </w:trPr>
        <w:tc>
          <w:tcPr>
            <w:tcW w:w="16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right w:val="single" w:sz="8" w:color="CCEEFF"/>
            </w:tcBorders>
            <w:gridSpan w:val="2"/>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5"/>
            <w:shd w:val="clear" w:color="auto" w:fill="CCEEFF"/>
          </w:tcPr>
          <w:p>
            <w:pPr>
              <w:jc w:val="right"/>
              <w:ind w:right="737"/>
              <w:spacing w:after="0"/>
              <w:rPr>
                <w:sz w:val="20"/>
                <w:szCs w:val="20"/>
                <w:color w:val="auto"/>
              </w:rPr>
            </w:pPr>
            <w:r>
              <w:rPr>
                <w:rFonts w:ascii="Arial" w:cs="Arial" w:eastAsia="Arial" w:hAnsi="Arial"/>
                <w:sz w:val="13"/>
                <w:szCs w:val="13"/>
                <w:color w:val="auto"/>
              </w:rPr>
              <w:t>(15,763)</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gridSpan w:val="4"/>
            <w:shd w:val="clear" w:color="auto" w:fill="CCEEFF"/>
          </w:tcPr>
          <w:p>
            <w:pPr>
              <w:jc w:val="right"/>
              <w:ind w:right="1077"/>
              <w:spacing w:after="0"/>
              <w:rPr>
                <w:sz w:val="20"/>
                <w:szCs w:val="20"/>
                <w:color w:val="auto"/>
              </w:rPr>
            </w:pPr>
            <w:r>
              <w:rPr>
                <w:rFonts w:ascii="Arial" w:cs="Arial" w:eastAsia="Arial" w:hAnsi="Arial"/>
                <w:sz w:val="13"/>
                <w:szCs w:val="13"/>
                <w:color w:val="auto"/>
              </w:rPr>
              <w:t>(15,763)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3"/>
                <w:szCs w:val="13"/>
                <w:b w:val="1"/>
                <w:bCs w:val="1"/>
                <w:color w:val="auto"/>
                <w:w w:val="95"/>
              </w:rPr>
              <w:t>Balances at March 31, 2022</w:t>
            </w:r>
          </w:p>
        </w:tc>
        <w:tc>
          <w:tcPr>
            <w:tcW w:w="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ind w:left="297"/>
              <w:spacing w:after="0"/>
              <w:rPr>
                <w:sz w:val="20"/>
                <w:szCs w:val="20"/>
                <w:color w:val="auto"/>
              </w:rPr>
            </w:pPr>
            <w:r>
              <w:rPr>
                <w:rFonts w:ascii="Arial" w:cs="Arial" w:eastAsia="Arial" w:hAnsi="Arial"/>
                <w:sz w:val="13"/>
                <w:szCs w:val="13"/>
                <w:color w:val="auto"/>
                <w:w w:val="91"/>
              </w:rPr>
              <w:t>—</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60" w:type="dxa"/>
            <w:vAlign w:val="bottom"/>
          </w:tcPr>
          <w:p>
            <w:pPr>
              <w:ind w:left="28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4"/>
                <w:szCs w:val="14"/>
                <w:color w:val="auto"/>
              </w:rPr>
            </w:pPr>
          </w:p>
        </w:tc>
        <w:tc>
          <w:tcPr>
            <w:tcW w:w="820" w:type="dxa"/>
            <w:vAlign w:val="bottom"/>
            <w:gridSpan w:val="5"/>
          </w:tcPr>
          <w:p>
            <w:pPr>
              <w:jc w:val="right"/>
              <w:spacing w:after="0"/>
              <w:rPr>
                <w:sz w:val="20"/>
                <w:szCs w:val="20"/>
                <w:color w:val="auto"/>
              </w:rPr>
            </w:pPr>
            <w:r>
              <w:rPr>
                <w:rFonts w:ascii="Arial" w:cs="Arial" w:eastAsia="Arial" w:hAnsi="Arial"/>
                <w:sz w:val="13"/>
                <w:szCs w:val="13"/>
                <w:color w:val="auto"/>
              </w:rPr>
              <w:t>124,456,653</w:t>
            </w:r>
          </w:p>
        </w:tc>
        <w:tc>
          <w:tcPr>
            <w:tcW w:w="8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180" w:type="dxa"/>
            <w:vAlign w:val="bottom"/>
          </w:tcPr>
          <w:p>
            <w:pPr>
              <w:jc w:val="right"/>
              <w:ind w:right="39"/>
              <w:spacing w:after="0"/>
              <w:rPr>
                <w:sz w:val="20"/>
                <w:szCs w:val="20"/>
                <w:color w:val="auto"/>
              </w:rPr>
            </w:pPr>
            <w:r>
              <w:rPr>
                <w:rFonts w:ascii="Arial" w:cs="Arial" w:eastAsia="Arial" w:hAnsi="Arial"/>
                <w:sz w:val="13"/>
                <w:szCs w:val="13"/>
                <w:color w:val="auto"/>
                <w:w w:val="82"/>
              </w:rPr>
              <w:t>$</w:t>
            </w:r>
          </w:p>
        </w:tc>
        <w:tc>
          <w:tcPr>
            <w:tcW w:w="440" w:type="dxa"/>
            <w:vAlign w:val="bottom"/>
            <w:gridSpan w:val="3"/>
          </w:tcPr>
          <w:p>
            <w:pPr>
              <w:jc w:val="right"/>
              <w:spacing w:after="0"/>
              <w:rPr>
                <w:sz w:val="20"/>
                <w:szCs w:val="20"/>
                <w:color w:val="auto"/>
              </w:rPr>
            </w:pPr>
            <w:r>
              <w:rPr>
                <w:rFonts w:ascii="Arial" w:cs="Arial" w:eastAsia="Arial" w:hAnsi="Arial"/>
                <w:sz w:val="13"/>
                <w:szCs w:val="13"/>
                <w:color w:val="auto"/>
                <w:w w:val="85"/>
              </w:rPr>
              <w:t>446,654</w:t>
            </w:r>
          </w:p>
        </w:tc>
        <w:tc>
          <w:tcPr>
            <w:tcW w:w="340" w:type="dxa"/>
            <w:vAlign w:val="bottom"/>
            <w:gridSpan w:val="3"/>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jc w:val="center"/>
              <w:ind w:left="259"/>
              <w:spacing w:after="0"/>
              <w:rPr>
                <w:sz w:val="20"/>
                <w:szCs w:val="20"/>
                <w:color w:val="auto"/>
              </w:rPr>
            </w:pPr>
            <w:r>
              <w:rPr>
                <w:rFonts w:ascii="Arial" w:cs="Arial" w:eastAsia="Arial" w:hAnsi="Arial"/>
                <w:sz w:val="13"/>
                <w:szCs w:val="13"/>
                <w:color w:val="auto"/>
                <w:w w:val="92"/>
              </w:rPr>
              <w:t>(554)</w:t>
            </w:r>
          </w:p>
        </w:tc>
        <w:tc>
          <w:tcPr>
            <w:tcW w:w="8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580" w:type="dxa"/>
            <w:vAlign w:val="bottom"/>
            <w:gridSpan w:val="4"/>
          </w:tcPr>
          <w:p>
            <w:pPr>
              <w:ind w:left="120"/>
              <w:spacing w:after="0"/>
              <w:rPr>
                <w:sz w:val="20"/>
                <w:szCs w:val="20"/>
                <w:color w:val="auto"/>
              </w:rPr>
            </w:pPr>
            <w:r>
              <w:rPr>
                <w:rFonts w:ascii="Arial" w:cs="Arial" w:eastAsia="Arial" w:hAnsi="Arial"/>
                <w:sz w:val="13"/>
                <w:szCs w:val="13"/>
                <w:color w:val="auto"/>
                <w:w w:val="90"/>
              </w:rPr>
              <w:t>(96,403)</w:t>
            </w:r>
          </w:p>
        </w:tc>
        <w:tc>
          <w:tcPr>
            <w:tcW w:w="8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349,709</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620" w:type="dxa"/>
            <w:vAlign w:val="bottom"/>
            <w:gridSpan w:val="3"/>
            <w:vMerge w:val="restart"/>
          </w:tcPr>
          <w:p>
            <w:pPr>
              <w:spacing w:after="0"/>
              <w:rPr>
                <w:sz w:val="20"/>
                <w:szCs w:val="20"/>
                <w:color w:val="auto"/>
              </w:rPr>
            </w:pPr>
            <w:r>
              <w:rPr>
                <w:rFonts w:ascii="Arial" w:cs="Arial" w:eastAsia="Arial" w:hAnsi="Arial"/>
                <w:sz w:val="13"/>
                <w:szCs w:val="13"/>
                <w:b w:val="1"/>
                <w:bCs w:val="1"/>
                <w:i w:val="1"/>
                <w:iCs w:val="1"/>
                <w:color w:val="auto"/>
                <w:w w:val="93"/>
              </w:rPr>
              <w:t>Three Months Ended March</w:t>
            </w:r>
          </w:p>
        </w:tc>
        <w:tc>
          <w:tcPr>
            <w:tcW w:w="660" w:type="dxa"/>
            <w:vAlign w:val="bottom"/>
            <w:tcBorders>
              <w:bottom w:val="single" w:sz="8" w:color="auto"/>
            </w:tcBorders>
            <w:gridSpan w:val="2"/>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gridSpan w:val="4"/>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auto"/>
            </w:tcBorders>
            <w:gridSpan w:val="4"/>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gridSpan w:val="4"/>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auto"/>
            </w:tcBorders>
            <w:gridSpan w:val="3"/>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gridSpan w:val="4"/>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auto"/>
            </w:tcBorders>
            <w:gridSpan w:val="4"/>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auto"/>
            </w:tcBorders>
            <w:gridSpan w:val="3"/>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auto"/>
            </w:tcBorders>
            <w:gridSpan w:val="5"/>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auto"/>
            </w:tcBorders>
            <w:gridSpan w:val="3"/>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auto"/>
            </w:tcBorders>
            <w:gridSpan w:val="5"/>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auto"/>
            </w:tcBorders>
            <w:gridSpan w:val="4"/>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6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15"/>
            <w:vMerge w:val="restart"/>
          </w:tcPr>
          <w:p>
            <w:pPr>
              <w:ind w:left="180"/>
              <w:spacing w:after="0"/>
              <w:rPr>
                <w:sz w:val="20"/>
                <w:szCs w:val="20"/>
                <w:color w:val="auto"/>
              </w:rPr>
            </w:pPr>
            <w:r>
              <w:rPr>
                <w:rFonts w:ascii="Arial" w:cs="Arial" w:eastAsia="Arial" w:hAnsi="Arial"/>
                <w:sz w:val="13"/>
                <w:szCs w:val="13"/>
                <w:b w:val="1"/>
                <w:bCs w:val="1"/>
                <w:color w:val="auto"/>
                <w:w w:val="91"/>
              </w:rPr>
              <w:t>Redeemable Convertible Preferred Stock</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15"/>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0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0"/>
                <w:szCs w:val="10"/>
                <w:b w:val="1"/>
                <w:bCs w:val="1"/>
                <w:i w:val="1"/>
                <w:iCs w:val="1"/>
                <w:color w:val="auto"/>
              </w:rPr>
              <w:t>31, 2021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15"/>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400" w:type="dxa"/>
            <w:vAlign w:val="bottom"/>
            <w:tcBorders>
              <w:bottom w:val="single" w:sz="8" w:color="auto"/>
            </w:tcBorders>
            <w:gridSpan w:val="28"/>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20" w:type="dxa"/>
            <w:vAlign w:val="bottom"/>
            <w:gridSpan w:val="27"/>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7"/>
          </w:tcPr>
          <w:p>
            <w:pPr>
              <w:jc w:val="right"/>
              <w:ind w:right="340"/>
              <w:spacing w:after="0" w:line="142" w:lineRule="exact"/>
              <w:rPr>
                <w:sz w:val="20"/>
                <w:szCs w:val="20"/>
                <w:color w:val="auto"/>
              </w:rPr>
            </w:pPr>
            <w:r>
              <w:rPr>
                <w:rFonts w:ascii="Arial" w:cs="Arial" w:eastAsia="Arial" w:hAnsi="Arial"/>
                <w:sz w:val="13"/>
                <w:szCs w:val="13"/>
                <w:b w:val="1"/>
                <w:bCs w:val="1"/>
                <w:color w:val="auto"/>
              </w:rPr>
              <w:t>Series Seed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5"/>
          </w:tcPr>
          <w:p>
            <w:pPr>
              <w:jc w:val="right"/>
              <w:spacing w:after="0" w:line="142" w:lineRule="exact"/>
              <w:rPr>
                <w:sz w:val="20"/>
                <w:szCs w:val="20"/>
                <w:color w:val="auto"/>
              </w:rPr>
            </w:pPr>
            <w:r>
              <w:rPr>
                <w:rFonts w:ascii="Arial" w:cs="Arial" w:eastAsia="Arial" w:hAnsi="Arial"/>
                <w:sz w:val="13"/>
                <w:szCs w:val="13"/>
                <w:b w:val="1"/>
                <w:bCs w:val="1"/>
                <w:color w:val="auto"/>
                <w:w w:val="84"/>
              </w:rPr>
              <w:t>Series A</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gridSpan w:val="4"/>
          </w:tcPr>
          <w:p>
            <w:pPr>
              <w:jc w:val="right"/>
              <w:spacing w:after="0" w:line="142" w:lineRule="exact"/>
              <w:rPr>
                <w:sz w:val="20"/>
                <w:szCs w:val="20"/>
                <w:color w:val="auto"/>
              </w:rPr>
            </w:pPr>
            <w:r>
              <w:rPr>
                <w:rFonts w:ascii="Arial" w:cs="Arial" w:eastAsia="Arial" w:hAnsi="Arial"/>
                <w:sz w:val="13"/>
                <w:szCs w:val="13"/>
                <w:b w:val="1"/>
                <w:bCs w:val="1"/>
                <w:color w:val="auto"/>
                <w:w w:val="84"/>
              </w:rPr>
              <w:t>Series B</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6"/>
          </w:tcPr>
          <w:p>
            <w:pPr>
              <w:ind w:left="280"/>
              <w:spacing w:after="0" w:line="142" w:lineRule="exact"/>
              <w:rPr>
                <w:sz w:val="20"/>
                <w:szCs w:val="20"/>
                <w:color w:val="auto"/>
              </w:rPr>
            </w:pPr>
            <w:r>
              <w:rPr>
                <w:rFonts w:ascii="Arial" w:cs="Arial" w:eastAsia="Arial" w:hAnsi="Arial"/>
                <w:sz w:val="13"/>
                <w:szCs w:val="13"/>
                <w:b w:val="1"/>
                <w:bCs w:val="1"/>
                <w:color w:val="auto"/>
                <w:w w:val="92"/>
              </w:rPr>
              <w:t>Common Stock</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spacing w:after="0" w:line="142" w:lineRule="exact"/>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1700" w:type="dxa"/>
            <w:vAlign w:val="bottom"/>
            <w:gridSpan w:val="5"/>
          </w:tcPr>
          <w:p>
            <w:pPr>
              <w:spacing w:after="0"/>
              <w:rPr>
                <w:sz w:val="4"/>
                <w:szCs w:val="4"/>
                <w:color w:val="auto"/>
              </w:rPr>
            </w:pPr>
          </w:p>
        </w:tc>
        <w:tc>
          <w:tcPr>
            <w:tcW w:w="1400" w:type="dxa"/>
            <w:vAlign w:val="bottom"/>
            <w:tcBorders>
              <w:bottom w:val="single" w:sz="8" w:color="auto"/>
            </w:tcBorders>
            <w:gridSpan w:val="8"/>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Borders>
              <w:bottom w:val="single" w:sz="8" w:color="auto"/>
            </w:tcBorders>
            <w:gridSpan w:val="9"/>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Borders>
              <w:bottom w:val="single" w:sz="8" w:color="auto"/>
            </w:tcBorders>
            <w:gridSpan w:val="9"/>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0" w:type="dxa"/>
            <w:vAlign w:val="bottom"/>
            <w:tcBorders>
              <w:bottom w:val="single" w:sz="8" w:color="auto"/>
            </w:tcBorders>
            <w:gridSpan w:val="8"/>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5"/>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1"/>
              </w:rPr>
              <w:t>Additional</w:t>
            </w:r>
          </w:p>
        </w:tc>
        <w:tc>
          <w:tcPr>
            <w:tcW w:w="720" w:type="dxa"/>
            <w:vAlign w:val="bottom"/>
            <w:gridSpan w:val="2"/>
            <w:vMerge w:val="restart"/>
          </w:tcPr>
          <w:p>
            <w:pPr>
              <w:jc w:val="center"/>
              <w:ind w:left="179"/>
              <w:spacing w:after="0" w:line="122" w:lineRule="exact"/>
              <w:rPr>
                <w:sz w:val="20"/>
                <w:szCs w:val="20"/>
                <w:color w:val="auto"/>
              </w:rPr>
            </w:pPr>
            <w:r>
              <w:rPr>
                <w:rFonts w:ascii="Arial" w:cs="Arial" w:eastAsia="Arial" w:hAnsi="Arial"/>
                <w:sz w:val="13"/>
                <w:szCs w:val="13"/>
                <w:b w:val="1"/>
                <w:bCs w:val="1"/>
                <w:color w:val="auto"/>
                <w:w w:val="92"/>
              </w:rPr>
              <w:t>Other</w:t>
            </w:r>
          </w:p>
        </w:tc>
        <w:tc>
          <w:tcPr>
            <w:tcW w:w="1300" w:type="dxa"/>
            <w:vAlign w:val="bottom"/>
            <w:gridSpan w:val="9"/>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620" w:type="dxa"/>
            <w:vAlign w:val="bottom"/>
            <w:gridSpan w:val="3"/>
            <w:vMerge w:val="restart"/>
          </w:tcPr>
          <w:p>
            <w:pPr>
              <w:spacing w:after="0"/>
              <w:rPr>
                <w:sz w:val="20"/>
                <w:szCs w:val="20"/>
                <w:color w:val="auto"/>
              </w:rPr>
            </w:pPr>
            <w:r>
              <w:rPr>
                <w:rFonts w:ascii="Arial" w:cs="Arial" w:eastAsia="Arial" w:hAnsi="Arial"/>
                <w:sz w:val="13"/>
                <w:szCs w:val="13"/>
                <w:i w:val="1"/>
                <w:iCs w:val="1"/>
                <w:color w:val="auto"/>
              </w:rPr>
              <w:t>(in thousands, except share</w:t>
            </w: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5"/>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Accumulated</w:t>
            </w: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vMerge w:val="restart"/>
          </w:tcPr>
          <w:p>
            <w:pPr>
              <w:jc w:val="right"/>
              <w:ind w:right="20"/>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4"/>
            <w:vMerge w:val="restart"/>
          </w:tcPr>
          <w:p>
            <w:pPr>
              <w:jc w:val="right"/>
              <w:ind w:right="77"/>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10"/>
                <w:szCs w:val="10"/>
                <w:color w:val="auto"/>
              </w:rPr>
            </w:pPr>
          </w:p>
        </w:tc>
        <w:tc>
          <w:tcPr>
            <w:tcW w:w="58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760" w:type="dxa"/>
            <w:vAlign w:val="bottom"/>
            <w:gridSpan w:val="3"/>
            <w:vMerge w:val="restart"/>
          </w:tcPr>
          <w:p>
            <w:pPr>
              <w:jc w:val="right"/>
              <w:ind w:right="77"/>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10"/>
                <w:szCs w:val="10"/>
                <w:color w:val="auto"/>
              </w:rPr>
            </w:pPr>
          </w:p>
        </w:tc>
        <w:tc>
          <w:tcPr>
            <w:tcW w:w="580" w:type="dxa"/>
            <w:vAlign w:val="bottom"/>
            <w:gridSpan w:val="5"/>
            <w:vMerge w:val="restart"/>
          </w:tcPr>
          <w:p>
            <w:pPr>
              <w:jc w:val="right"/>
              <w:ind w:right="8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vMerge w:val="restart"/>
          </w:tcPr>
          <w:p>
            <w:pPr>
              <w:jc w:val="right"/>
              <w:ind w:right="77"/>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10"/>
                <w:szCs w:val="10"/>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5"/>
          </w:tcPr>
          <w:p>
            <w:pPr>
              <w:jc w:val="center"/>
              <w:ind w:right="60"/>
              <w:spacing w:after="0" w:line="122" w:lineRule="exact"/>
              <w:rPr>
                <w:sz w:val="20"/>
                <w:szCs w:val="20"/>
                <w:color w:val="auto"/>
              </w:rPr>
            </w:pPr>
            <w:r>
              <w:rPr>
                <w:rFonts w:ascii="Arial" w:cs="Arial" w:eastAsia="Arial" w:hAnsi="Arial"/>
                <w:sz w:val="13"/>
                <w:szCs w:val="13"/>
                <w:b w:val="1"/>
                <w:bCs w:val="1"/>
                <w:color w:val="auto"/>
                <w:w w:val="92"/>
              </w:rPr>
              <w:t>Paid-in</w:t>
            </w:r>
          </w:p>
        </w:tc>
        <w:tc>
          <w:tcPr>
            <w:tcW w:w="94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i w:val="1"/>
                <w:iCs w:val="1"/>
                <w:color w:val="auto"/>
              </w:rPr>
              <w:t>amounts)</w:t>
            </w:r>
          </w:p>
        </w:tc>
        <w:tc>
          <w:tcPr>
            <w:tcW w:w="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3"/>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8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80" w:type="dxa"/>
            <w:vAlign w:val="bottom"/>
            <w:tcBorders>
              <w:bottom w:val="single" w:sz="8" w:color="auto"/>
            </w:tcBorders>
            <w:gridSpan w:val="5"/>
            <w:vMerge w:val="continue"/>
          </w:tcPr>
          <w:p>
            <w:pPr>
              <w:spacing w:after="0"/>
              <w:rPr>
                <w:sz w:val="15"/>
                <w:szCs w:val="15"/>
                <w:color w:val="auto"/>
              </w:rPr>
            </w:pP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gridSpan w:val="3"/>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02"/>
        </w:trPr>
        <w:tc>
          <w:tcPr>
            <w:tcW w:w="20" w:type="dxa"/>
            <w:vAlign w:val="bottom"/>
            <w:shd w:val="clear" w:color="auto" w:fill="CCEEFF"/>
          </w:tcPr>
          <w:p>
            <w:pPr>
              <w:spacing w:after="0"/>
              <w:rPr>
                <w:sz w:val="8"/>
                <w:szCs w:val="8"/>
                <w:color w:val="auto"/>
              </w:rPr>
            </w:pPr>
          </w:p>
        </w:tc>
        <w:tc>
          <w:tcPr>
            <w:tcW w:w="1620" w:type="dxa"/>
            <w:vAlign w:val="bottom"/>
            <w:gridSpan w:val="3"/>
            <w:shd w:val="clear" w:color="auto" w:fill="CCEEFF"/>
          </w:tcPr>
          <w:p>
            <w:pPr>
              <w:spacing w:after="0" w:line="102" w:lineRule="exact"/>
              <w:rPr>
                <w:sz w:val="20"/>
                <w:szCs w:val="20"/>
                <w:color w:val="auto"/>
              </w:rPr>
            </w:pPr>
            <w:r>
              <w:rPr>
                <w:rFonts w:ascii="Arial" w:cs="Arial" w:eastAsia="Arial" w:hAnsi="Arial"/>
                <w:sz w:val="10"/>
                <w:szCs w:val="10"/>
                <w:b w:val="1"/>
                <w:bCs w:val="1"/>
                <w:color w:val="auto"/>
              </w:rPr>
              <w:t>Balances at December 31,</w:t>
            </w: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13,174,805</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5,494</w:t>
            </w:r>
          </w:p>
        </w:tc>
        <w:tc>
          <w:tcPr>
            <w:tcW w:w="900" w:type="dxa"/>
            <w:vAlign w:val="bottom"/>
            <w:gridSpan w:val="6"/>
            <w:vMerge w:val="restart"/>
            <w:shd w:val="clear" w:color="auto" w:fill="CCEEFF"/>
          </w:tcPr>
          <w:p>
            <w:pPr>
              <w:jc w:val="center"/>
              <w:ind w:left="157"/>
              <w:spacing w:after="0"/>
              <w:rPr>
                <w:sz w:val="20"/>
                <w:szCs w:val="20"/>
                <w:color w:val="auto"/>
              </w:rPr>
            </w:pPr>
            <w:r>
              <w:rPr>
                <w:rFonts w:ascii="Arial" w:cs="Arial" w:eastAsia="Arial" w:hAnsi="Arial"/>
                <w:sz w:val="13"/>
                <w:szCs w:val="13"/>
                <w:color w:val="auto"/>
                <w:w w:val="86"/>
              </w:rPr>
              <w:t>16,836,436</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3"/>
            <w:vMerge w:val="restart"/>
            <w:shd w:val="clear" w:color="auto" w:fill="CCEEFF"/>
          </w:tcPr>
          <w:p>
            <w:pPr>
              <w:ind w:left="40"/>
              <w:spacing w:after="0"/>
              <w:rPr>
                <w:sz w:val="20"/>
                <w:szCs w:val="20"/>
                <w:color w:val="auto"/>
              </w:rPr>
            </w:pPr>
            <w:r>
              <w:rPr>
                <w:rFonts w:ascii="Arial" w:cs="Arial" w:eastAsia="Arial" w:hAnsi="Arial"/>
                <w:sz w:val="13"/>
                <w:szCs w:val="13"/>
                <w:color w:val="auto"/>
                <w:w w:val="95"/>
              </w:rPr>
              <w:t>27,067</w:t>
            </w:r>
          </w:p>
        </w:tc>
        <w:tc>
          <w:tcPr>
            <w:tcW w:w="840" w:type="dxa"/>
            <w:vAlign w:val="bottom"/>
            <w:gridSpan w:val="4"/>
            <w:vMerge w:val="restart"/>
            <w:shd w:val="clear" w:color="auto" w:fill="CCEEFF"/>
          </w:tcPr>
          <w:p>
            <w:pPr>
              <w:jc w:val="right"/>
              <w:spacing w:after="0"/>
              <w:rPr>
                <w:sz w:val="20"/>
                <w:szCs w:val="20"/>
                <w:color w:val="auto"/>
              </w:rPr>
            </w:pPr>
            <w:r>
              <w:rPr>
                <w:rFonts w:ascii="Arial" w:cs="Arial" w:eastAsia="Arial" w:hAnsi="Arial"/>
                <w:sz w:val="13"/>
                <w:szCs w:val="13"/>
                <w:color w:val="auto"/>
              </w:rPr>
              <w:t>22,164,724</w:t>
            </w: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75,857</w:t>
            </w:r>
          </w:p>
        </w:tc>
        <w:tc>
          <w:tcPr>
            <w:tcW w:w="100" w:type="dxa"/>
            <w:vAlign w:val="bottom"/>
            <w:tcBorders>
              <w:right w:val="single" w:sz="8" w:color="auto"/>
            </w:tcBorders>
            <w:shd w:val="clear" w:color="auto" w:fill="CCEEFF"/>
          </w:tcPr>
          <w:p>
            <w:pPr>
              <w:spacing w:after="0"/>
              <w:rPr>
                <w:sz w:val="8"/>
                <w:szCs w:val="8"/>
                <w:color w:val="auto"/>
              </w:rPr>
            </w:pP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3"/>
                <w:szCs w:val="13"/>
                <w:color w:val="auto"/>
              </w:rPr>
              <w:t>33,069,513</w:t>
            </w:r>
          </w:p>
        </w:tc>
        <w:tc>
          <w:tcPr>
            <w:tcW w:w="80" w:type="dxa"/>
            <w:vAlign w:val="bottom"/>
            <w:shd w:val="clear" w:color="auto" w:fill="CCEEFF"/>
          </w:tcPr>
          <w:p>
            <w:pPr>
              <w:spacing w:after="0"/>
              <w:rPr>
                <w:sz w:val="8"/>
                <w:szCs w:val="8"/>
                <w:color w:val="auto"/>
              </w:rPr>
            </w:pPr>
          </w:p>
        </w:tc>
        <w:tc>
          <w:tcPr>
            <w:tcW w:w="26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40" w:type="dxa"/>
            <w:vAlign w:val="bottom"/>
            <w:gridSpan w:val="3"/>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3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499"/>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60" w:type="dxa"/>
            <w:vAlign w:val="bottom"/>
            <w:gridSpan w:val="3"/>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(30,325)</w:t>
            </w: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(29,721)</w:t>
            </w:r>
          </w:p>
        </w:tc>
        <w:tc>
          <w:tcPr>
            <w:tcW w:w="0" w:type="dxa"/>
            <w:vAlign w:val="bottom"/>
          </w:tcPr>
          <w:p>
            <w:pPr>
              <w:spacing w:after="0"/>
              <w:rPr>
                <w:sz w:val="1"/>
                <w:szCs w:val="1"/>
                <w:color w:val="auto"/>
              </w:rPr>
            </w:pPr>
          </w:p>
        </w:tc>
      </w:tr>
      <w:tr>
        <w:trPr>
          <w:trHeight w:val="175"/>
        </w:trPr>
        <w:tc>
          <w:tcPr>
            <w:tcW w:w="4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2020</w:t>
            </w: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240" w:type="dxa"/>
            <w:vAlign w:val="bottom"/>
            <w:gridSpan w:val="3"/>
            <w:vMerge w:val="continue"/>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900" w:type="dxa"/>
            <w:vAlign w:val="bottom"/>
            <w:gridSpan w:val="6"/>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80" w:type="dxa"/>
            <w:vAlign w:val="bottom"/>
            <w:gridSpan w:val="4"/>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20" w:type="dxa"/>
            <w:vAlign w:val="bottom"/>
            <w:gridSpan w:val="4"/>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34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64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gridSpan w:val="3"/>
          </w:tcPr>
          <w:p>
            <w:pPr>
              <w:spacing w:after="0" w:line="122" w:lineRule="exact"/>
              <w:rPr>
                <w:sz w:val="20"/>
                <w:szCs w:val="20"/>
                <w:color w:val="auto"/>
              </w:rPr>
            </w:pPr>
            <w:r>
              <w:rPr>
                <w:rFonts w:ascii="Arial" w:cs="Arial" w:eastAsia="Arial" w:hAnsi="Arial"/>
                <w:sz w:val="13"/>
                <w:szCs w:val="13"/>
                <w:color w:val="auto"/>
              </w:rPr>
              <w:t>Stock-based compensation</w:t>
            </w:r>
          </w:p>
        </w:tc>
        <w:tc>
          <w:tcPr>
            <w:tcW w:w="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gridSpan w:val="2"/>
            <w:vMerge w:val="restart"/>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w w:val="91"/>
              </w:rPr>
              <w:t>—</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gridSpan w:val="3"/>
            <w:vMerge w:val="restart"/>
          </w:tcPr>
          <w:p>
            <w:pPr>
              <w:jc w:val="right"/>
              <w:spacing w:after="0"/>
              <w:rPr>
                <w:sz w:val="20"/>
                <w:szCs w:val="20"/>
                <w:color w:val="auto"/>
              </w:rPr>
            </w:pPr>
            <w:r>
              <w:rPr>
                <w:rFonts w:ascii="Arial" w:cs="Arial" w:eastAsia="Arial" w:hAnsi="Arial"/>
                <w:sz w:val="13"/>
                <w:szCs w:val="13"/>
                <w:color w:val="auto"/>
                <w:w w:val="79"/>
              </w:rPr>
              <w:t>1,336</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1,336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3"/>
                <w:szCs w:val="13"/>
                <w:color w:val="auto"/>
              </w:rPr>
              <w:t>expense</w:t>
            </w: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comprehensive loss</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1"/>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Net loss</w:t>
            </w:r>
          </w:p>
        </w:tc>
        <w:tc>
          <w:tcPr>
            <w:tcW w:w="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(8,409)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(8,409)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w w:val="95"/>
              </w:rPr>
              <w:t>Balances at March 31, 2021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13,174,805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5,494</w:t>
            </w:r>
          </w:p>
        </w:tc>
        <w:tc>
          <w:tcPr>
            <w:tcW w:w="900" w:type="dxa"/>
            <w:vAlign w:val="bottom"/>
            <w:gridSpan w:val="6"/>
            <w:shd w:val="clear" w:color="auto" w:fill="CCEEFF"/>
          </w:tcPr>
          <w:p>
            <w:pPr>
              <w:jc w:val="center"/>
              <w:ind w:left="157"/>
              <w:spacing w:after="0"/>
              <w:rPr>
                <w:sz w:val="20"/>
                <w:szCs w:val="20"/>
                <w:color w:val="auto"/>
              </w:rPr>
            </w:pPr>
            <w:r>
              <w:rPr>
                <w:rFonts w:ascii="Arial" w:cs="Arial" w:eastAsia="Arial" w:hAnsi="Arial"/>
                <w:sz w:val="13"/>
                <w:szCs w:val="13"/>
                <w:color w:val="auto"/>
                <w:w w:val="86"/>
              </w:rPr>
              <w:t>16,836,436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5"/>
              </w:rPr>
              <w:t>27,067</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22,164,724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75,857</w:t>
            </w:r>
          </w:p>
        </w:tc>
        <w:tc>
          <w:tcPr>
            <w:tcW w:w="100" w:type="dxa"/>
            <w:vAlign w:val="bottom"/>
            <w:tcBorders>
              <w:right w:val="single" w:sz="8" w:color="auto"/>
            </w:tcBorders>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33,069,513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40" w:type="dxa"/>
            <w:vAlign w:val="bottom"/>
            <w:gridSpan w:val="3"/>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79"/>
              </w:rPr>
              <w:t>1,936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99"/>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(38,734)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(36,795)</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gridSpan w:val="5"/>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5"/>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40" w:right="200" w:hanging="332"/>
        <w:spacing w:after="0" w:line="273" w:lineRule="auto"/>
        <w:tabs>
          <w:tab w:leader="none" w:pos="32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shares of the Company’s common and redeemable convertible preferred stock, prior to the Business Combination (as defined in Note 1) have been retroactively restated to reflect the exchange ratio of approximately 3.6281 established in the Business Combination as described in Note 3.</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80" w:right="359" w:bottom="1440" w:gutter="0" w:footer="0" w:header="0"/>
        </w:sectPr>
      </w:pPr>
    </w:p>
    <w:bookmarkStart w:id="9" w:name="page10"/>
    <w:bookmarkEnd w:id="9"/>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Months Ended March 31,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premiums on securities,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Amortization of operating lease right-of-use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maturities of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23,518</w:t>
            </w: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Payments of offering costs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(2,069)</w:t>
            </w:r>
          </w:p>
        </w:tc>
      </w:tr>
      <w:tr>
        <w:trPr>
          <w:trHeight w:val="223"/>
        </w:trPr>
        <w:tc>
          <w:tcPr>
            <w:tcW w:w="8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15,196</w:t>
            </w:r>
          </w:p>
        </w:tc>
      </w:tr>
      <w:tr>
        <w:trPr>
          <w:trHeight w:val="257"/>
        </w:trPr>
        <w:tc>
          <w:tcPr>
            <w:tcW w:w="8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cash flow information on non-cash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in accounts payable and accrued expenses and other liabilities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Modification to reduce right-of-use assets and lease liability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3,254</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80"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June 9, 2021 (the “Closing Date”), Nautilus Biotechnology, Inc. a Delaware corporation (f/k/a ARYA Sciences Acquisition Corp. III, a Cayman Islands exempted company and the Company’s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8"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Note 3 “Reverse Recapitalization” for further details of the Business Combination.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condensed consolidated financial statements and accompanying notes are unaudited and have been prepared in accordance with accounting principles generally accepted in the United States of America (“U.S. GAAP”) and regulations of the U.S. Securities and Exchange Commission (the “SEC”) for interim financial reporting. The accompanying financial statements are consolidated as of March 31, 2022 and December 31, 2021 and for the three months ended March 31, 2022 and include the accounts of Nautilus Biotechnology, Inc. (i.e. former ARYA) and its wholly-owned subsidiary, Legacy Nautilus, following the Reverse Recapitalization as further discussed in Note 3 “Reverse Recapitalization.” All other accompanying financial statements for the three months ended March 31, 2021 include only the accounts of Legacy Nautilus. All intercompany transactions and balances have been eliminated upon consolidation. Certain information and footnote disclosures normally included in financial statements prepared in accordance with U.S. GAAP have been condensed or omitted pursuant to such rules and regulations.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as of March 31, 2022 and the results of operations and cash flows for the three months ended March 31, 2022 and 2021. The results of operations for the three months ended March 31, 2022 are not necessarily indicative of the results that may be expected for the year ending December 31, 2022. These financial statements and accompanying notes should be read in conjunction with the consolidated financial statements and notes thereto in our Annual Report on Form 10-K for the fiscal year ended December 31, 2021 on file with the SEC. The Company’s reporting currency is the U.S. dollar.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Going Concern</w:t>
      </w:r>
    </w:p>
    <w:p>
      <w:pPr>
        <w:spacing w:after="0" w:line="17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80"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March 31, 2022, the Company had an accumulated deficit of $96.4 million.</w:t>
      </w:r>
    </w:p>
    <w:p>
      <w:pPr>
        <w:spacing w:after="0" w:line="103"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Company has funded its operations primarily with proceeds from the issuance of redeemable convertible preferred stock and common stock. The Company had cash, cash equivalents, and short-term investments of $324.1 million as of March 31, 2022. In June 2021, the Company received gross proceeds of approximately $345.5 million from PIPE Investors and the Business Combination offset by approximately $18.2 million of transaction costs and underwriters’ fees relating to the closing of the Business Combination. As of the date on which these condensed consolidated financial statements were available to be issued, the Company believes that its cash, cash equivalents, and short-term investments will be sufficient to fund its operations for the next twelve months following the issuance of the condensed consolidated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the Company’s research and development activities.</w:t>
      </w:r>
    </w:p>
    <w:p>
      <w:pPr>
        <w:spacing w:after="0" w:line="138"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9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440" w:firstLine="324"/>
        <w:spacing w:after="0" w:line="301"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80"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including the estimated fair value per share of common stock prior to the date the Company became public,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Credit risk represents the accounting loss that would be recognized as of the reporting date if counterparties failed completely to perform as contracted.</w:t>
      </w:r>
    </w:p>
    <w:p>
      <w:pPr>
        <w:spacing w:after="0" w:line="19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Financial instruments, which potentially subject the Company to concentration of credit risk, consist of cash balances maintained in excess of federal depository insurance limits and investments in U.S. Treasury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1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Company considers all highly-liquid investments with an original maturity of three months or less as of the date of acquisition to be cash equivalents.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80" w:right="359" w:bottom="1440" w:gutter="0" w:footer="0" w:header="0"/>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The Company classifies its investments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condensed consolidated statement of operations.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Other-than-temporary Impairment</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evaluates its investments with unrealized losses for other-than-temporary impairment. When assessing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condensed consolidated statement of operations and condensed consolidated statement of comprehensive loss. No such adjustments were necessary during the periods presented.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6"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80" w:right="35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Comprehensive loss consists of net loss and other gains or losses affecting stockholders’ equity that, under U.S. GAAP are excluded from net loss. For the three months ended March 31, 2022 and 2021, unrealized losses on debt securities were included as components of comprehensive loss.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adopted this guidance effective January 1, 2022 using the prospective method, which did not have a material impact on the Company’s condensed consolidated financial statements.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amends existing guidance on the impairment of financial assets and adds an impairment model that is based on expected losses rather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 for its fiscal year ending December 31, 2023. Early adoption is permitted. The Company is in the process of evaluating the impact of the adoption of this ASU on its condensed consolidated financial statements and related disclosures. The Company does not anticipate adoption to have a material impact on its condensed consolidated financial statements.</w:t>
      </w:r>
    </w:p>
    <w:p>
      <w:pPr>
        <w:spacing w:after="0" w:line="12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enhances and simplifies various aspects of the income tax accounting guidance, including requirements such as the elimination of exceptions related to the approach for intraperiod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80"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This ASU is effective for the Company for its fiscal year ending December 31, 2022. Early adoption is permitted. The Company is in the process of evaluating the impact of the adoption of this ASU on its condensed consolidated financial statements and related disclosures. The Company does not anticipate adoption to have a material impact on its condensed consolidated financial statements.</w:t>
      </w:r>
    </w:p>
    <w:p>
      <w:pPr>
        <w:spacing w:after="0" w:line="11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Reverse Recapitalization</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On June 9, 2021, Mako Merger Sub merged with Legacy Nautilus, with Legacy Nautilus surviving as the surviving company and as a wholly-owned subsidiary of ARYA.</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a result of the Business Combination, Legacy Nautilus equity holders received an aggregate number of shares of New Nautilus Common Stock equal to (i) $900.0 million plus $24.3 million, which reflects the aggregate exercise price of all stock options (whether vested or unvested) of Legacy Nautilus at the consummation of the Business Combination, divided by (ii) $10.00 giving effect to the exchange ratio of approximately 3.6281 (“Exchange Ratio”) based on the terms of the Business Combination Agreement. For purposes of calculating the aggregate number of New Nautilus Common Stock issuable to each holder of Legacy Nautilus Common Stock pursuant to the Business Combination Agreement, all Legacy Nautilus Common Stock held by such holder was aggregated, and the Exchange Ratio was applied to that aggregate number of shares held by such holder, and not on a share-by-share basis, and the number of New Nautilus Common Stock issued was rounded down to the nearest whole share. At the Closing Date, (i) an aggregate of 18,721,137 shares of Class A and Class B ordinary shares of ARYA were exchanged for an equivalent number of Common Stock, (ii) an aggregate of 85,324,118 shares of Common Stock were issued in exchange for the shares of Nautilus outstanding as of immediately prior to the Business Combination and (iii) an aggregate of 20,000,000 shares of Common stock were issued to the PIPE Investors in the PIPE Financing with total gross proceeds of $200.0 million. Moreover, at the Closing, all options to purchase shares of Nautilus were exchanged for comparable options to purchase shares of Common Stock based on an implied Legacy Nautilus equity value of $900.0 million. Immediately after giving effect to the transactions, there were 124,045,255 shares of Common Stock outstanding and 7,106,767 shares of Common Stock subject to outstanding options under the 2017 Plan.</w:t>
      </w:r>
    </w:p>
    <w:p>
      <w:pPr>
        <w:spacing w:after="0" w:line="12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Business Combination is accounted for as a reverse recapitalization under U.S. GAAP. This determination is primarily based on Legacy Nautilus stockholders comprising a relative majority of the voting power of Nautilus and having the ability to nominate the members of the Board, Legacy Nautilus’s operations prior to the acquisition comprising the only ongoing operations of Nautilus, and Legacy Nautilus’s senior management comprising a majority of the senior management of Nautilus. Under this method of accounting, ARYA is treated as the “acquired” company for financial reporting purposes. Accordingly, for accounting purposes, the financial statements of Nautilus represent a continuation of the financial statements of Legacy Nautilus with the Business Combination being treated as the equivalent of Nautilus issuing stock for the net assets of ARYA, accompanied by a recapitalization. The net assets of ARYA are stated at historical costs, with no goodwill or other intangible assets recorded. Operations prior to the Business Combination are presented as those of Nautilus. All periods prior to the Business Combination have been retrospectively adjusted using the Exchange Ratio for the equivalent number of shares outstanding immediately after the Business Combination to effect the reverse recapitalization.</w:t>
      </w:r>
    </w:p>
    <w:p>
      <w:pPr>
        <w:spacing w:after="0" w:line="112"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In connection with the Business Combination, the Company raised $335.4 million of net proceeds. This amount was comprised of $135.4 million of cash held in ARYA’s trust account from its initial public offering, net of ARYA’s transaction costs and underwriters’ fees of $10.1 million, and</w:t>
      </w:r>
    </w:p>
    <w:p>
      <w:pPr>
        <w:ind w:right="220"/>
        <w:spacing w:after="0" w:line="260" w:lineRule="auto"/>
        <w:rPr>
          <w:sz w:val="20"/>
          <w:szCs w:val="20"/>
          <w:color w:val="auto"/>
        </w:rPr>
      </w:pPr>
      <w:r>
        <w:rPr>
          <w:rFonts w:ascii="Arial" w:cs="Arial" w:eastAsia="Arial" w:hAnsi="Arial"/>
          <w:sz w:val="18"/>
          <w:szCs w:val="18"/>
          <w:color w:val="auto"/>
        </w:rPr>
        <w:t>$200.0 million of cash in connection with the PIPE Financing. The Company incurred $8.1 million of transaction costs, consisting of banking, legal, and other professional fees which were recorded as a reduction to additional paid-in capital.</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80" w:right="359" w:bottom="1440" w:gutter="0" w:footer="0" w:header="0"/>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76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 of Shares</w:t>
            </w:r>
          </w:p>
        </w:tc>
      </w:tr>
      <w:tr>
        <w:trPr>
          <w:trHeight w:val="229"/>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of ARYA outstanding prior to the Business Combination</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19,186,500</w:t>
            </w:r>
          </w:p>
        </w:tc>
      </w:tr>
      <w:tr>
        <w:trPr>
          <w:trHeight w:val="229"/>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redemption of ARYA shares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(465,363)</w:t>
            </w:r>
          </w:p>
        </w:tc>
      </w:tr>
      <w:tr>
        <w:trPr>
          <w:trHeight w:val="223"/>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of ARYA</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18,721,137</w:t>
            </w:r>
          </w:p>
        </w:tc>
      </w:tr>
      <w:tr>
        <w:trPr>
          <w:trHeight w:val="229"/>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Shares issued in PIPE Financing</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r>
      <w:tr>
        <w:trPr>
          <w:trHeight w:val="223"/>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 Combination and PIPE Financing shares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38,721,137</w:t>
            </w:r>
          </w:p>
        </w:tc>
      </w:tr>
      <w:tr>
        <w:trPr>
          <w:trHeight w:val="229"/>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Legacy Nautilus shares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85,324,118</w:t>
            </w:r>
          </w:p>
        </w:tc>
      </w:tr>
      <w:tr>
        <w:trPr>
          <w:trHeight w:val="248"/>
        </w:trPr>
        <w:tc>
          <w:tcPr>
            <w:tcW w:w="8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shares of Common Stock immediately after the Business Combination</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124,045,255</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 details the assets carried at fair value and measured on a recurring basis within the three levels of fair value as of March 31, 2022 and December 31,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ind w:right="372"/>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Reported as: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6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18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Cash and cash</w:t>
            </w:r>
          </w:p>
        </w:tc>
        <w:tc>
          <w:tcPr>
            <w:tcW w:w="16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4"/>
                <w:szCs w:val="14"/>
                <w:b w:val="1"/>
                <w:bCs w:val="1"/>
                <w:color w:val="auto"/>
              </w:rPr>
              <w:t>Short-term</w:t>
            </w:r>
          </w:p>
        </w:tc>
        <w:tc>
          <w:tcPr>
            <w:tcW w:w="180" w:type="dxa"/>
            <w:vAlign w:val="bottom"/>
          </w:tcPr>
          <w:p>
            <w:pPr>
              <w:spacing w:after="0"/>
              <w:rPr>
                <w:sz w:val="11"/>
                <w:szCs w:val="11"/>
                <w:color w:val="auto"/>
              </w:rPr>
            </w:pPr>
          </w:p>
        </w:tc>
        <w:tc>
          <w:tcPr>
            <w:tcW w:w="10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88"/>
        </w:trPr>
        <w:tc>
          <w:tcPr>
            <w:tcW w:w="2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equivalents</w:t>
            </w: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investments</w:t>
            </w:r>
          </w:p>
        </w:tc>
        <w:tc>
          <w:tcPr>
            <w:tcW w:w="0" w:type="dxa"/>
            <w:vAlign w:val="bottom"/>
          </w:tcPr>
          <w:p>
            <w:pPr>
              <w:spacing w:after="0"/>
              <w:rPr>
                <w:sz w:val="1"/>
                <w:szCs w:val="1"/>
                <w:color w:val="auto"/>
              </w:rPr>
            </w:pPr>
          </w:p>
        </w:tc>
      </w:tr>
      <w:tr>
        <w:trPr>
          <w:trHeight w:val="211"/>
        </w:trPr>
        <w:tc>
          <w:tcPr>
            <w:tcW w:w="2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Mutual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40"/>
              <w:spacing w:after="0"/>
              <w:rPr>
                <w:sz w:val="20"/>
                <w:szCs w:val="20"/>
                <w:color w:val="auto"/>
              </w:rPr>
            </w:pPr>
            <w:r>
              <w:rPr>
                <w:rFonts w:ascii="Arial" w:cs="Arial" w:eastAsia="Arial" w:hAnsi="Arial"/>
                <w:sz w:val="18"/>
                <w:szCs w:val="18"/>
                <w:color w:val="auto"/>
              </w:rPr>
              <w:t>Total Level 1</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37,776</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15,030</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13,709</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292,994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292,761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179,585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113,176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Agency bonds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311,749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311,259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179,585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120,465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60"/>
              <w:spacing w:after="0"/>
              <w:rPr>
                <w:sz w:val="20"/>
                <w:szCs w:val="20"/>
                <w:color w:val="auto"/>
              </w:rPr>
            </w:pPr>
            <w:r>
              <w:rPr>
                <w:rFonts w:ascii="Arial" w:cs="Arial" w:eastAsia="Arial" w:hAnsi="Arial"/>
                <w:sz w:val="18"/>
                <w:szCs w:val="18"/>
                <w:color w:val="auto"/>
              </w:rPr>
              <w:t>Total Level 1 and Level 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2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ind w:right="372"/>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Reported as: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6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1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Cash and cash</w:t>
            </w:r>
          </w:p>
        </w:tc>
        <w:tc>
          <w:tcPr>
            <w:tcW w:w="16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4"/>
                <w:szCs w:val="14"/>
                <w:b w:val="1"/>
                <w:bCs w:val="1"/>
                <w:color w:val="auto"/>
              </w:rPr>
              <w:t>Short-term</w:t>
            </w:r>
          </w:p>
        </w:tc>
        <w:tc>
          <w:tcPr>
            <w:tcW w:w="180" w:type="dxa"/>
            <w:vAlign w:val="bottom"/>
          </w:tcPr>
          <w:p>
            <w:pPr>
              <w:spacing w:after="0"/>
              <w:rPr>
                <w:sz w:val="11"/>
                <w:szCs w:val="11"/>
                <w:color w:val="auto"/>
              </w:rPr>
            </w:pPr>
          </w:p>
        </w:tc>
        <w:tc>
          <w:tcPr>
            <w:tcW w:w="106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equivalents</w:t>
            </w: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0" w:type="dxa"/>
            <w:vAlign w:val="bottom"/>
          </w:tcPr>
          <w:p>
            <w:pPr>
              <w:spacing w:after="0"/>
              <w:rPr>
                <w:sz w:val="1"/>
                <w:szCs w:val="1"/>
                <w:color w:val="auto"/>
              </w:rPr>
            </w:pPr>
          </w:p>
        </w:tc>
      </w:tr>
      <w:tr>
        <w:trPr>
          <w:trHeight w:val="211"/>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Mutual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21,925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21,925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37,081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21,925</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301,906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301,818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163,694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Agency bonds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325,203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325,039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163,694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60"/>
              <w:spacing w:after="0"/>
              <w:rPr>
                <w:sz w:val="20"/>
                <w:szCs w:val="20"/>
                <w:color w:val="auto"/>
              </w:rPr>
            </w:pPr>
            <w:r>
              <w:rPr>
                <w:rFonts w:ascii="Arial" w:cs="Arial" w:eastAsia="Arial" w:hAnsi="Arial"/>
                <w:sz w:val="18"/>
                <w:szCs w:val="18"/>
                <w:color w:val="auto"/>
              </w:rPr>
              <w:t>Total Level 1 and Level 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362,284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362,100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185,619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160,110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Contractual maturities of short-term investments as of March 31, 2022 and December 31, 2021 are due in one year or less. Contractual maturities of long-term investments as of March 31, 2022 and December 31, 2021 are due after 1 year through 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80"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4360" w:firstLine="8"/>
        <w:spacing w:after="0" w:line="440" w:lineRule="auto"/>
        <w:tabs>
          <w:tab w:leader="none" w:pos="64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Condensed Consolidated Financial Statement Line Items Property and Equipment, Net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4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Computer hardware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 recorded depreciation expense of $0.3 million and $0.2 million for the three months ended March 31, 2022 and 2021, respectively, which was primarily allocated to research and development expense.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long term assets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Deposits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Accrued research and development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Accrued facilities</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Arial" w:cs="Arial" w:eastAsia="Arial" w:hAnsi="Arial"/>
                <w:sz w:val="18"/>
                <w:szCs w:val="18"/>
                <w:color w:val="auto"/>
              </w:rPr>
              <w:t>Cash, cash equivalents and restricted cash consisted of the following:</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185,619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186,461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80" w:right="339" w:bottom="144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7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June 9, 2021, upon the closing of the Business Combination (as defined in Note 1 and further described in Note 3), all of the outstanding redeemable convertible preferred stock was converted to New Nautilus Common Stock pursuant to the Exchange Ratio effective immediately prior to the Business Combination and the remaining amount was reclassified to additional paid-in capital. As of March 31, 2022 the Company had no issued and outstanding Preferred Stock shares.</w:t>
      </w:r>
    </w:p>
    <w:p>
      <w:pPr>
        <w:spacing w:after="0" w:line="12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660" w:firstLine="324"/>
        <w:spacing w:after="0" w:line="311" w:lineRule="auto"/>
        <w:rPr>
          <w:sz w:val="20"/>
          <w:szCs w:val="20"/>
          <w:color w:val="auto"/>
        </w:rPr>
      </w:pPr>
      <w:r>
        <w:rPr>
          <w:rFonts w:ascii="Arial" w:cs="Arial" w:eastAsia="Arial" w:hAnsi="Arial"/>
          <w:sz w:val="16"/>
          <w:szCs w:val="16"/>
          <w:color w:val="auto"/>
        </w:rPr>
        <w:t>On June 9, 2021, the Business Combination (as defined in Note 1 and further described in Note 3) was consummated and the Company issued 38,721,137 shares for an aggregate purchase price of $327.3 million, net of issuance costs of $8.1 million. Immediately following the Business Combination, there were 124,045,255 shares of Common Stock outstanding. The holder of each share of Common Stock is entitled to one vote.</w:t>
      </w:r>
    </w:p>
    <w:p>
      <w:pPr>
        <w:spacing w:after="0" w:line="9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Company has retroactively adjusted the shares issued and outstanding prior to June 9, 2021 to give effect to the exchange ratio established in the Business Combination Agreement to determine the number of shares of Common Stock into which they were converted.</w:t>
      </w:r>
    </w:p>
    <w:p>
      <w:pPr>
        <w:spacing w:after="0" w:line="116"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In June 2021, pursuant to the Business Combination, the Company amended its certificate of incorporation to increase the number of authorized common stock shares to 1,000,000,000 shares. There were 124,456,653 shares issued and outstanding as of March 31, 2022.</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of common stock reserved for future issuance on an as-if converted basis,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b w:val="1"/>
                <w:bCs w:val="1"/>
                <w:color w:val="auto"/>
              </w:rPr>
              <w:t>March 31,</w:t>
            </w:r>
          </w:p>
        </w:tc>
        <w:tc>
          <w:tcPr>
            <w:tcW w:w="156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276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r>
      <w:tr>
        <w:trPr>
          <w:trHeight w:val="224"/>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Stock options issued and outstanding</w:t>
            </w:r>
          </w:p>
        </w:tc>
        <w:tc>
          <w:tcPr>
            <w:tcW w:w="5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9,971,247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8,550,076</w:t>
            </w: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w w:val="90"/>
              </w:rPr>
              <w:t>Shares available for grant under 2021</w:t>
            </w:r>
          </w:p>
        </w:tc>
        <w:tc>
          <w:tcPr>
            <w:tcW w:w="526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560" w:type="dxa"/>
            <w:vAlign w:val="bottom"/>
          </w:tcPr>
          <w:p>
            <w:pPr>
              <w:jc w:val="right"/>
              <w:spacing w:after="0"/>
              <w:rPr>
                <w:sz w:val="20"/>
                <w:szCs w:val="20"/>
                <w:color w:val="auto"/>
              </w:rPr>
            </w:pPr>
            <w:r>
              <w:rPr>
                <w:rFonts w:ascii="Arial" w:cs="Arial" w:eastAsia="Arial" w:hAnsi="Arial"/>
                <w:sz w:val="18"/>
                <w:szCs w:val="18"/>
                <w:color w:val="auto"/>
              </w:rPr>
              <w:t>19,121,876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14,481,463</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Shares available for grant under 2021</w:t>
            </w:r>
          </w:p>
        </w:tc>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2,487,930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1,244,900</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31,581,053</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24,276,439</w:t>
            </w:r>
          </w:p>
        </w:tc>
      </w:tr>
      <w:tr>
        <w:trPr>
          <w:trHeight w:val="20"/>
        </w:trPr>
        <w:tc>
          <w:tcPr>
            <w:tcW w:w="2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months ended March 31, 2022 and 2021, no income tax expense or benefit was recognized, primarily due to a full valuation allowance recorded against its deferred tax asset.</w:t>
      </w:r>
    </w:p>
    <w:p>
      <w:pPr>
        <w:spacing w:after="0" w:line="13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5"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On June 8, 2021, the stockholders of the Company approved the 2021 Equity Incentive Plan (“2021 Plan”) and the 2021 Employee Stock Purchase Plan (“2021 ESPP”). As of March 31, 2022, 19,121,876 and 2,487,930 shares were available for grant under the 2021 Plan and 2021 ESPP, respectively.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1"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Under the 2021 ESPP, the Company can grant stock options to employees to purchase shares of Common Stock at a purchase price which equal to 85% of the fair market value of common stock on the enrollment date or on the exercise date, whichever is lower. Participants are permitted to purchase shares of the Company’s Common Stock at 85% of the lower of the fair market value of the Company’s Common Stock on the first trading day of an offering period or on the last trading date in each purchase period. Participants may end their participation at any time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80"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 On January 1, 2022, the number of shares available under the ESPP increased by 1,243,030 shares pursuant to this feature.</w:t>
      </w:r>
    </w:p>
    <w:p>
      <w:pPr>
        <w:spacing w:after="0" w:line="11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first offering period is from October 1, 2021 through May 31, 2022. For subsequent offering periods, the Company will be offering a six month purchase period. As of March 31, 2022, no shares of common stock were purchased under the 2021 ESPP.</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Under the 2021 Plan, the Company can grant incentive stock options, nonstatutory stock options, stock appreciation rights, restricted stock, restricted stock units and performance awards to employees, directors and consultants. Options generally expire ten years after the date of grant. 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 On January 1, 2022, the number of shares available under the 2021 Plan increased by 6,215,154 shares pursuant to this feature.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At the time of adoption of the 2021 Plan and the 2021 ESPP, no further awards will be granted under the 2017 Equity Incentive Plan (“2017 Plan”) and 7,106,767 shares of common stock were initially reserved for outstanding awards issued under the 2017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determining the compensation cost of the option awards, the fair value for each option award has been estimated using the Black Scholes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used in these calculations are summarized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4160" w:type="dxa"/>
            <w:vAlign w:val="bottom"/>
            <w:tcBorders>
              <w:bottom w:val="single" w:sz="8" w:color="auto"/>
            </w:tcBorders>
            <w:gridSpan w:val="3"/>
          </w:tcPr>
          <w:p>
            <w:pPr>
              <w:jc w:val="right"/>
              <w:ind w:right="1013"/>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08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2021</w:t>
            </w: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5.8 - 6.1</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5.5 - 6.6</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020" w:type="dxa"/>
            <w:vAlign w:val="bottom"/>
          </w:tcPr>
          <w:p>
            <w:pPr>
              <w:jc w:val="right"/>
              <w:spacing w:after="0"/>
              <w:rPr>
                <w:sz w:val="20"/>
                <w:szCs w:val="20"/>
                <w:color w:val="auto"/>
              </w:rPr>
            </w:pPr>
            <w:r>
              <w:rPr>
                <w:rFonts w:ascii="Arial" w:cs="Arial" w:eastAsia="Arial" w:hAnsi="Arial"/>
                <w:sz w:val="18"/>
                <w:szCs w:val="18"/>
                <w:color w:val="auto"/>
              </w:rPr>
              <w:t>109.0% - 110.0%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92.0% - 94.2%</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2020" w:type="dxa"/>
            <w:vAlign w:val="bottom"/>
          </w:tcPr>
          <w:p>
            <w:pPr>
              <w:jc w:val="right"/>
              <w:spacing w:after="0"/>
              <w:rPr>
                <w:sz w:val="20"/>
                <w:szCs w:val="20"/>
                <w:color w:val="auto"/>
              </w:rPr>
            </w:pPr>
            <w:r>
              <w:rPr>
                <w:rFonts w:ascii="Arial" w:cs="Arial" w:eastAsia="Arial" w:hAnsi="Arial"/>
                <w:sz w:val="18"/>
                <w:szCs w:val="18"/>
                <w:color w:val="auto"/>
              </w:rPr>
              <w:t>1.73% - 2.42%</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0.53% - 0.73%</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$3.78 - $4.24</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$7.56 - $10.00</w:t>
            </w:r>
          </w:p>
        </w:tc>
      </w:tr>
    </w:tbl>
    <w:p>
      <w:pPr>
        <w:spacing w:after="0" w:line="20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33" w:lineRule="exact"/>
        <w:rPr>
          <w:sz w:val="20"/>
          <w:szCs w:val="20"/>
          <w:color w:val="auto"/>
        </w:rPr>
      </w:pPr>
    </w:p>
    <w:p>
      <w:pPr>
        <w:ind w:right="60" w:firstLine="324"/>
        <w:spacing w:after="0" w:line="220" w:lineRule="exact"/>
        <w:rPr>
          <w:sz w:val="20"/>
          <w:szCs w:val="20"/>
          <w:color w:val="auto"/>
        </w:rPr>
      </w:pPr>
      <w:r>
        <w:rPr>
          <w:rFonts w:ascii="Arial" w:cs="Arial" w:eastAsia="Arial" w:hAnsi="Arial"/>
          <w:sz w:val="16"/>
          <w:szCs w:val="16"/>
          <w:color w:val="auto"/>
        </w:rPr>
        <w:t>Expected volatility: Historically, the Company has been a private company and lacked company</w:t>
      </w:r>
      <w:r>
        <w:rPr>
          <w:rFonts w:ascii="MS PGothic" w:cs="MS PGothic" w:eastAsia="MS PGothic" w:hAnsi="MS PGothic"/>
          <w:sz w:val="16"/>
          <w:szCs w:val="16"/>
          <w:color w:val="auto"/>
        </w:rPr>
        <w:t>‑</w:t>
      </w:r>
      <w:r>
        <w:rPr>
          <w:rFonts w:ascii="Arial" w:cs="Arial" w:eastAsia="Arial" w:hAnsi="Arial"/>
          <w:sz w:val="16"/>
          <w:szCs w:val="16"/>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80"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Expected dividend yield: The expected dividend rate is zero as the Company has no history or expectation of declaring dividends on its common stock.</w:t>
      </w:r>
    </w:p>
    <w:p>
      <w:pPr>
        <w:spacing w:after="0" w:line="19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1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Fair value of common stock: Prior to the Business Combination,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 Subsequent to the completion of the Business Combination (as defined in Note 1 and further described in Note 3) the fair value of the Company’s common stock is determined based on its closing market price.</w:t>
      </w:r>
    </w:p>
    <w:p>
      <w:pPr>
        <w:spacing w:after="0" w:line="112"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The awards granted in late January 2021 had an exercise price equal to the grant date fair value of the Company’s common stock. The Company’s board of directors made a determination of the fair market value of the Company’s common stock which contemplated the implied equity value of the Company per the Business Combination Agreement that was executed on February 7, 2021.</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award activity during the three months ended March 31,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4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1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560" w:type="dxa"/>
            <w:vAlign w:val="bottom"/>
          </w:tcPr>
          <w:p>
            <w:pPr>
              <w:jc w:val="right"/>
              <w:ind w:right="454"/>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120" w:type="dxa"/>
            <w:vAlign w:val="bottom"/>
          </w:tcPr>
          <w:p>
            <w:pPr>
              <w:spacing w:after="0"/>
              <w:rPr>
                <w:sz w:val="16"/>
                <w:szCs w:val="16"/>
                <w:color w:val="auto"/>
              </w:rPr>
            </w:pPr>
          </w:p>
        </w:tc>
        <w:tc>
          <w:tcPr>
            <w:tcW w:w="144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8,550,076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1,948,998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(374,257)</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9,971,247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expected to vest as of March 31, 2022</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9,971,247</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4.41</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March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2,759,100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As of March 31, 2022, there was $29.1 million of total unrecognized compensation expense expected to be recognized over a weighted average-period of 3.10 years. Aggregate intrinsic value represents the difference between the fair market value of the common stock and the exercise price of outstanding, in-the-money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80"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following sets forth the total stock-based compensation expense for the Company’s stock options included in the Company’s condensed consolidated statement of operations: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March 31, 2022 as the Company had not yet received the related goods or services. As of March 31, 2022, the Company had open purchase commitments for goods and services of $2.6 million, which are expected to be received through the next 12 months.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is obligated under certain non-cancellable operating leases for office space and laboratory space. This space includes operating leases in Seattle, Washington, and San Carlos, California.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Seattle Leases</w:t>
      </w:r>
    </w:p>
    <w:p>
      <w:pPr>
        <w:spacing w:after="0" w:line="171"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operating lease in Seattle, Washington expired in April 2021 and continued to be renewed month to month until August 2021. In July 2021, the Company entered into a 7-year non-cancellable operating lease, which commenced in August 2021, for an additional office space in Seattle, Washington. Total non-cancellable payments under this lease aggregate $4.5 million through June 2028.</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San Carlos Leases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February 2021, the Company amended its existing facility lease contract in San Carlos, California which was executed to shorten the remaining term of the lease to expire in December 2021 and reduce monthly lease payments and was accounted for as a modification. The impact of this modification reduced the operating lease right-of-use asset and lease liability balance as a $3.3 million non-cash adjustment. In September 2021, the Company further amended the facility lease contract in San Carlos, California to shorten the remaining term of the lease to expire in October 2021 and was also accounted for as a modification.</w:t>
      </w:r>
    </w:p>
    <w:p>
      <w:pPr>
        <w:spacing w:after="0" w:line="13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December 2020, the Company entered into a new lease in San Carlos, California for ten years which commenced in October 2021 and expiring in October 2031 with total minimum lease payments of $40.7 million.</w:t>
      </w:r>
    </w:p>
    <w:p>
      <w:pPr>
        <w:spacing w:after="0" w:line="116"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In December 2020, the Company also entered into a temporary office space lease agreement in San Carlos, California which commenced in February 2021 and expired in October 2021 with total minimum lease payments of $1.2 million. The temporary office space lease agreement was recognized as a short-term lease due to the election of the short-term lease measurement and recognition exemption.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320" w:top="180" w:right="39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December 2021, the Company entered into another lease in San Carlos, California for nine years expected to commence in October 2022 and expiring in October 2031. The Company can terminate this lease after five years from October 1, 2022 without bearing any significant termination penalties and therefore the Company concluded that the lease term is five years with total minimum lease payments of $7.2 million.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lease costs, which were included in operating expenses in condensed consolidated statements of operations,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lease costs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r>
      <w:tr>
        <w:trPr>
          <w:trHeight w:val="20"/>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For the three months ended March 31, 2022 and 2021, cash paid for amounts included in the measurement of operating lease liabilities included in cash flows used in operating activities was $0.6 million and $0.3 million, respectively.</w:t>
      </w:r>
    </w:p>
    <w:p>
      <w:pPr>
        <w:spacing w:after="0" w:line="11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As of March 31, 2022, the weighted-average remaining lease term and weighted-average discount rate for operating leases is 9.2 years and 8.9%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Company's future principal contractual obligations for operating lease commitments as of March 31, 2022:</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4"/>
              </w:rPr>
              <w:t>Lease Obligations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ending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4,440</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4,701</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and 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22,942</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80"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conjunction with the San Carlos lease agreement entered in December 2020, the Company issued a cash-collateralized letter of credit in lieu of security deposit of $0.6 million. In conjunction with the San Carlos lease agreement entered in December 2021, the Company amended the existing cash-collateralized letter of credit and increased the amount to $0.8 million. The cash amount is recorded as restricted cash under Other long-term assets on the Company’s condensed consolidated balance sheets.</w:t>
      </w:r>
    </w:p>
    <w:p>
      <w:pPr>
        <w:spacing w:after="0" w:line="129"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three months ended March 31, 2022 and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(15,763)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(8,409)</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124,418,580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33,069,513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 xml:space="preserve">Less: </w:t>
            </w:r>
            <w:r>
              <w:rPr>
                <w:rFonts w:ascii="Arial" w:cs="Arial" w:eastAsia="Arial" w:hAnsi="Arial"/>
                <w:sz w:val="18"/>
                <w:szCs w:val="18"/>
                <w:color w:val="auto"/>
              </w:rPr>
              <w:t>Weighted-average unvested restricted shares and shares subject to repurchase</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(69,633)</w:t>
            </w:r>
          </w:p>
        </w:tc>
        <w:tc>
          <w:tcPr>
            <w:tcW w:w="0" w:type="dxa"/>
            <w:vAlign w:val="bottom"/>
          </w:tcPr>
          <w:p>
            <w:pPr>
              <w:spacing w:after="0"/>
              <w:rPr>
                <w:sz w:val="1"/>
                <w:szCs w:val="1"/>
                <w:color w:val="auto"/>
              </w:rPr>
            </w:pPr>
          </w:p>
        </w:tc>
      </w:tr>
      <w:tr>
        <w:trPr>
          <w:trHeight w:val="156"/>
        </w:trPr>
        <w:tc>
          <w:tcPr>
            <w:tcW w:w="8040" w:type="dxa"/>
            <w:vAlign w:val="bottom"/>
          </w:tcPr>
          <w:p>
            <w:pPr>
              <w:ind w:left="20"/>
              <w:spacing w:after="0" w:line="156" w:lineRule="exact"/>
              <w:rPr>
                <w:sz w:val="20"/>
                <w:szCs w:val="20"/>
                <w:color w:val="auto"/>
              </w:rPr>
            </w:pPr>
            <w:r>
              <w:rPr>
                <w:rFonts w:ascii="Arial" w:cs="Arial" w:eastAsia="Arial" w:hAnsi="Arial"/>
                <w:sz w:val="18"/>
                <w:szCs w:val="18"/>
                <w:color w:val="auto"/>
                <w:w w:val="90"/>
              </w:rPr>
              <w:t>Weighted average shares used in computing net loss per share attributable to common stockholders, basic and</w:t>
            </w:r>
          </w:p>
        </w:tc>
        <w:tc>
          <w:tcPr>
            <w:tcW w:w="3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124,418,580</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32,999,880</w:t>
            </w: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As a result of the Business Combination, the Company has retroactively adjusted the weighted-average number of shares of Common Stock outstanding prior to the Closing Date by multiplying them by the Exchange Ratio of 3.6281 used to determine the number of shares of New Nautilus Common Stock into which they converted (as described in Note 3). The Common Stock issued as a result of the redeemable convertible preferred stock conversion on the Closing Date was included in the basic net loss per share calculation on a prospective basis.</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38"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Three Months Ended</w:t>
      </w:r>
    </w:p>
    <w:p>
      <w:pPr>
        <w:jc w:val="center"/>
        <w:ind w:left="77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2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9,971,247</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7,193,881</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460" w:type="dxa"/>
            <w:vAlign w:val="bottom"/>
          </w:tcPr>
          <w:p>
            <w:pPr>
              <w:jc w:val="right"/>
              <w:spacing w:after="0"/>
              <w:rPr>
                <w:sz w:val="20"/>
                <w:szCs w:val="20"/>
                <w:color w:val="auto"/>
              </w:rPr>
            </w:pPr>
            <w:r>
              <w:rPr>
                <w:rFonts w:ascii="Arial" w:cs="Arial" w:eastAsia="Arial" w:hAnsi="Arial"/>
                <w:sz w:val="18"/>
                <w:szCs w:val="18"/>
                <w:color w:val="auto"/>
              </w:rPr>
              <w:t>56,470</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52,175,965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63,491</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10,027,717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59,433,337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60"/>
          </w:cols>
          <w:pgMar w:left="320" w:top="180" w:right="419" w:bottom="1440" w:gutter="0" w:footer="0" w:header="0"/>
        </w:sectPr>
      </w:pPr>
    </w:p>
    <w:bookmarkStart w:id="24" w:name="page25"/>
    <w:bookmarkEnd w:id="2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2021 and the related notes included in the Company’s Annual Report on Form 10-K filed with the SEC on February 24, 2022.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spacing w:after="0" w:line="13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2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9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have entered into and are seeking to enter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early access program partners with broad-scale analysis and profiling of samples analyzed in its facility and shared via a cloud platform. We do not anticipate that these activities will result in any material revenue. During this phase, we expect to work closely with early access customers to demonstrate a unique value proposition for our Nautilus platform. We expect this second phase to lead into the third phase of broad commercialization by the end of 2023.</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3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March 31, 2022, we had cash, cash equivalents and short-term investments of $324.1 million. Based on this, we believe that our existing cash, cash equivalents, and short-term investments will enable us to fund our planned operating expenses and capital expenditures through at least the next 12 months.</w:t>
      </w:r>
    </w:p>
    <w:p>
      <w:pPr>
        <w:spacing w:after="0" w:line="11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incurred significant losses since the commencement of our operations. Our net loss was $15.8 million during the three months ended March 31, 2022, and we expect to continue to incur significant losses for the foreseeable future as we continue our research and development activities and planned commercialization of our proteomics platform. As of March 31, 2022, we had an accumulated deficit of $96.4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continued with staggered lab employee work shifts to minimize risk of exposure to COVID-19, which disrupted and delayed our ability to conduct development activities. While we were broadly able to resume normal operations in August 2021, if any resurgence or worsening of the COVID-19 pandemic causes us to reinstitute these measures we may experience additional disruption and/or delays in our ability to conduct development activities.</w:t>
      </w:r>
    </w:p>
    <w:p>
      <w:pPr>
        <w:spacing w:after="0" w:line="12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0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fully or intermittently as able from March 2020 until August 2021.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point, the extent to which the COVID-19 pandemic may affect our future business, operations and development timelines and plans, including the resulting impact on our expenditures and capital needs, remains uncertain.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Recapitalization Transaction</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(the “Company”),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2"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par value $0.0001 per share (“Common Stock”), and (ii) all vested and unvested options to purchase shares of Legacy Nautilus were exchanged for comparable options to purchase shares of Common Stock, in each case, based on an implied Legacy Nautilus equity value of $900,000,000.</w:t>
      </w:r>
    </w:p>
    <w:p>
      <w:pPr>
        <w:spacing w:after="0" w:line="10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of the open of trading on June 10, 2021, the Common Stock of the Company, formerly those of ARYA, began trading on the Nasdaq Global Select Market (“Nasdaq”) under the symbol “NAUT.”</w:t>
      </w:r>
    </w:p>
    <w:p>
      <w:pPr>
        <w:spacing w:after="0" w:line="116"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In conjunction with the consummation of the Business Combination with ARYA, we received gross proceeds of approximately $345.5 million from PIPE Investors and the Business Combination, offset by approximately $18.2 million of transaction costs and underwriters’ fees relating to the closing of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date, we have not generated any revenue and we may not generate any revenue from the sale of products or from other sources in the near future.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General and administrative expenses consist of salaries and benefits, and stock-based compensation expense for personnel in executive, operations, legal, human resources, finance, marketing, commercial, IT personnel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133"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expect that our general and administrative expenses will increase substantially over the next several years as we hire additional personnel to support the continued research and development of our products and growth of our business.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Other income (expense), net consists primarily of interest income on our cash, cash equivalents and investments and other miscellaneous nonrecurring expenses such as loss on disposal of property and equipment.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Three Months Ended March 31, 2022 to the Three Months Ended March 31,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condensed consolidated statements of operations for the periods indicated:</w:t>
      </w:r>
    </w:p>
    <w:p>
      <w:pPr>
        <w:spacing w:after="0" w:line="271"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23495</wp:posOffset>
            </wp:positionV>
            <wp:extent cx="20142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340"/>
        <w:spacing w:after="0"/>
        <w:tabs>
          <w:tab w:leader="none" w:pos="690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31115</wp:posOffset>
            </wp:positionV>
            <wp:extent cx="1954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7"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00" w:val="left"/>
        </w:tabs>
        <w:rPr>
          <w:sz w:val="20"/>
          <w:szCs w:val="20"/>
          <w:color w:val="auto"/>
        </w:rPr>
      </w:pPr>
      <w:r>
        <w:rPr>
          <w:rFonts w:ascii="Arial" w:cs="Arial" w:eastAsia="Arial" w:hAnsi="Arial"/>
          <w:sz w:val="13"/>
          <w:szCs w:val="13"/>
          <w:b w:val="1"/>
          <w:bCs w:val="1"/>
          <w:color w:val="auto"/>
        </w:rPr>
        <w:t>Change</w:t>
      </w:r>
      <w:r>
        <w:rPr>
          <w:sz w:val="20"/>
          <w:szCs w:val="20"/>
          <w:color w:val="auto"/>
        </w:rPr>
        <w:tab/>
      </w:r>
      <w:r>
        <w:rPr>
          <w:rFonts w:ascii="Arial" w:cs="Arial" w:eastAsia="Arial" w:hAnsi="Arial"/>
          <w:sz w:val="13"/>
          <w:szCs w:val="13"/>
          <w:b w:val="1"/>
          <w:bCs w:val="1"/>
          <w:color w:val="auto"/>
        </w:rPr>
        <w:t>Change</w:t>
      </w:r>
    </w:p>
    <w:p>
      <w:pPr>
        <w:spacing w:after="0" w:line="2" w:lineRule="exact"/>
        <w:rPr>
          <w:sz w:val="20"/>
          <w:szCs w:val="20"/>
          <w:color w:val="auto"/>
        </w:rPr>
      </w:pPr>
    </w:p>
    <w:p>
      <w:pPr>
        <w:ind w:left="140"/>
        <w:spacing w:after="0"/>
        <w:tabs>
          <w:tab w:leader="none" w:pos="174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9" w:lineRule="exact"/>
        <w:rPr>
          <w:sz w:val="20"/>
          <w:szCs w:val="20"/>
          <w:color w:val="auto"/>
        </w:rPr>
      </w:pPr>
    </w:p>
    <w:p>
      <w:pPr>
        <w:sectPr>
          <w:pgSz w:w="11900" w:h="16838" w:orient="portrait"/>
          <w:cols w:equalWidth="0" w:num="2">
            <w:col w:w="7700" w:space="720"/>
            <w:col w:w="28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47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9,658</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4,835</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4,823</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23"/>
        </w:trPr>
        <w:tc>
          <w:tcPr>
            <w:tcW w:w="4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90 %</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3138 %</w:t>
            </w:r>
          </w:p>
        </w:tc>
      </w:tr>
      <w:tr>
        <w:trPr>
          <w:trHeight w:val="223"/>
        </w:trPr>
        <w:tc>
          <w:tcPr>
            <w:tcW w:w="4740" w:type="dxa"/>
            <w:vAlign w:val="bottom"/>
          </w:tcPr>
          <w:p>
            <w:pPr>
              <w:ind w:left="68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(15,763)</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(8,409)</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(7,354)</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r>
      <w:tr>
        <w:trPr>
          <w:trHeight w:val="20"/>
        </w:trPr>
        <w:tc>
          <w:tcPr>
            <w:tcW w:w="4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Research and development expenses were $9.7 million for the three months ended March 31, 2022, compared to $4.8 million for the three months ended March 31, 2021, an increase of $4.8 million, or 100%. The increase was primarily due to a $2.1 million increase in salaries, related benefits, and stock-based compensation due to an increase in headcount to support on-going development of our products, a $1.1 million increase in laboratory supplies and equipment expense, a $0.9 million increase in costs for development services and a $0.7 million increase in facilities costs.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jc w:val="both"/>
        <w:ind w:right="380" w:firstLine="324"/>
        <w:spacing w:after="0" w:line="311" w:lineRule="auto"/>
        <w:rPr>
          <w:sz w:val="20"/>
          <w:szCs w:val="20"/>
          <w:color w:val="auto"/>
        </w:rPr>
      </w:pPr>
      <w:r>
        <w:rPr>
          <w:rFonts w:ascii="Arial" w:cs="Arial" w:eastAsia="Arial" w:hAnsi="Arial"/>
          <w:sz w:val="16"/>
          <w:szCs w:val="16"/>
          <w:color w:val="auto"/>
        </w:rPr>
        <w:t>General and administrative expenses were $6.4 million for the three months ended March 31, 2022, compared to $3.6 million for the three months ended March 31, 2021, an increase of $2.8 million, or 78%. The increase was primarily due to a $1.3 million increase in salaries, related benefits, and stock-based compensation due to an increase in headcount, a $0.8 million increase in insurance costs, and a $0.3 million increase in facilities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Other income (expense), net for the three months ended March 31, 2022 as compared to the three months ended March 31, 2021 changed primarily due to income from accretion and amortization on investments.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Since our inception, we have not generated any revenue from product sales and have incurred significant operating losses and negative cash flows from our operations. Our net loss was $15.8 million for the three months ended March 31, 2022. As of March 31, 2022, we had an accumulated deficit of $96.4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March 31, 2022, we had cash, cash equivalents and short-term investments of $324.1 million.</w:t>
      </w:r>
    </w:p>
    <w:p>
      <w:pPr>
        <w:spacing w:after="0" w:line="112"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date, we have not generated any revenue and we may not generate any revenue from the sale of products or from other sources in the near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5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Based on our planned operations,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38"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Until such time as we can generate significant revenue from commercialization of our products, if ever, we will continue to require substantial additional capital to develop our proteomics platform and fund operations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failure to raise additional capital, if needed, would have a negative impact on our financial condition and our ability to execute our business plan.</w:t>
      </w:r>
    </w:p>
    <w:p>
      <w:pPr>
        <w:spacing w:after="0" w:line="133"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 the Three Months Ended March 31, 2022 and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three months ended March 31, 2022 and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r>
      <w:tr>
        <w:trPr>
          <w:trHeight w:val="183"/>
        </w:trPr>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(6,253)</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Arial" w:cs="Arial" w:eastAsia="Arial" w:hAnsi="Arial"/>
                <w:sz w:val="18"/>
                <w:szCs w:val="18"/>
                <w:color w:val="auto"/>
                <w:w w:val="98"/>
              </w:rPr>
              <w:t>23,518</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4"/>
              </w:rPr>
              <w:t>(2,069)</w:t>
            </w: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8"/>
              </w:rPr>
              <w:t>15,196</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During the three months ended March 31, 2022, net cash used in operating activities was $12.3 million, primarily resulting from our operating loss of $15.8 million, offset by non-cash charges aggregating $2.9 million, which primarily included $2.1 million of stock-based compensation and $0.5 million amortization of operating lease right-of-use assets. Net cash used in operating activities was increased by net changes in assets and liabilities aggregating $0.5 million, primarily driven by $0.6 million decrease in prepaid expenses and other assets.</w:t>
      </w:r>
    </w:p>
    <w:p>
      <w:pPr>
        <w:spacing w:after="0" w:line="117"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During the three months ended March 31, 2021, net cash used in operating activities was $6.3 million, primarily resulting from our operating loss of $8.4 million, offset by non-cash charges aggregating $2.1 million, which primarily included $1.3 million of stock-based compensation and $0.4 million amortization of operating lease right-of-use assets.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During the three months ended March 31, 2022, net cash provided by investing activities was $15.2 million, primarily resulting from $38.6 million in proceeds from maturities of securities, partially offset by $22.9 million in purchases of securities and $0.5 million in purchases of property and equipment.</w:t>
      </w:r>
    </w:p>
    <w:p>
      <w:pPr>
        <w:spacing w:after="0" w:line="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During the three months ended March 31, 2021, net cash provided by investing activities was $23.5 million, primarily resulting from $24.0 million in proceeds from maturities of securities, partially offset by $0.5 million in purchases of property and equipment.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March 31, 2022, net cash provided by financing activities was $0.2 million of proceeds from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ind w:right="1180" w:firstLine="324"/>
        <w:spacing w:after="0" w:line="438" w:lineRule="auto"/>
        <w:rPr>
          <w:sz w:val="20"/>
          <w:szCs w:val="20"/>
          <w:color w:val="auto"/>
        </w:rPr>
      </w:pPr>
      <w:r>
        <w:rPr>
          <w:rFonts w:ascii="Arial" w:cs="Arial" w:eastAsia="Arial" w:hAnsi="Arial"/>
          <w:sz w:val="18"/>
          <w:szCs w:val="18"/>
          <w:color w:val="auto"/>
        </w:rPr>
        <w:t xml:space="preserve">During the three months ended March 31, 2021, net cash used in financing activities was $2.1 million from payments of offering costs. </w:t>
      </w:r>
      <w:r>
        <w:rPr>
          <w:rFonts w:ascii="Arial" w:cs="Arial" w:eastAsia="Arial" w:hAnsi="Arial"/>
          <w:sz w:val="18"/>
          <w:szCs w:val="18"/>
          <w:b w:val="1"/>
          <w:bCs w:val="1"/>
          <w:color w:val="auto"/>
        </w:rPr>
        <w:t>Contractual Obligations and Commitments</w:t>
      </w:r>
    </w:p>
    <w:p>
      <w:pPr>
        <w:spacing w:after="0" w:line="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For a discussion of our contractual obligations and commitments, refer to Part I, Item 1, Note 10, “Commitments and Contingencies,” in our notes to condensed consolidated financial statements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spacing w:after="0" w:line="12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Other than the policies noted in Part I, Item 1, Note 2, “Significant Accounting Policies,” in our notes to condensed consolidated financial statements in this Quarterly Report on Form 10-Q, there have been no material changes to our critical accounting policies and estimates as compared to those disclosed in our audited financial statements as of and for the years ended December 31,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4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3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320" w:top="1440" w:right="559" w:bottom="1440" w:gutter="0" w:footer="0" w:header="0"/>
        </w:sectPr>
      </w:pPr>
    </w:p>
    <w:bookmarkStart w:id="33" w:name="page34"/>
    <w:bookmarkEnd w:id="3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7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market risk exposure is primarily a result of fluctuations in interest rates and inflation. We do not hold or issue financial instruments for trading purposes.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had cash, cash equivalents, short-term and long-term investments of $349.0 million as of March 31, 2022.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securities. As of March 31, 2022, the effect of a hypothetical 1.00% (100 basis point) change in interest rates would have changed the fair value of our marketable securities by $1.0 million. Such change would only be realized if we sold the marketable securities prior to maturity.</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17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1440" w:right="499" w:bottom="1440" w:gutter="0" w:footer="0" w:header="0"/>
        </w:sectPr>
      </w:pPr>
    </w:p>
    <w:bookmarkStart w:id="34" w:name="page35"/>
    <w:bookmarkEnd w:id="3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324"/>
        <w:spacing w:after="0" w:line="218" w:lineRule="exact"/>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March 31, 2022.</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2022 that has materially affected, or is reasonably likely to materially affect, our internal control over financial reporting.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0"/>
          </w:cols>
          <w:pgMar w:left="320" w:top="1440" w:right="419" w:bottom="1440" w:gutter="0" w:footer="0" w:header="0"/>
        </w:sectPr>
      </w:pPr>
    </w:p>
    <w:bookmarkStart w:id="35" w:name="page36"/>
    <w:bookmarkEnd w:id="35"/>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business is subject to numerous risks and uncertainties that you should consider before investing in our company, as more fully described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and uncertainties that make investing in our company risky include, among others: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40" w:firstLine="332"/>
        <w:spacing w:after="0" w:line="277" w:lineRule="auto"/>
        <w:tabs>
          <w:tab w:leader="none" w:pos="6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16" w:lineRule="exact"/>
        <w:rPr>
          <w:rFonts w:ascii="Arial" w:cs="Arial" w:eastAsia="Arial" w:hAnsi="Arial"/>
          <w:sz w:val="18"/>
          <w:szCs w:val="18"/>
          <w:color w:val="auto"/>
        </w:rPr>
      </w:pPr>
    </w:p>
    <w:p>
      <w:pPr>
        <w:ind w:right="240" w:firstLine="332"/>
        <w:spacing w:after="0" w:line="308" w:lineRule="auto"/>
        <w:tabs>
          <w:tab w:leader="none" w:pos="643"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compete successfully with our initial or future products in the highly competitive life sciences technology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dependent upon third parties for certain aspects of the development and commercialization of the Nautilus platform.</w:t>
      </w:r>
    </w:p>
    <w:p>
      <w:pPr>
        <w:spacing w:after="0" w:line="171" w:lineRule="exact"/>
        <w:rPr>
          <w:rFonts w:ascii="Arial" w:cs="Arial" w:eastAsia="Arial" w:hAnsi="Arial"/>
          <w:sz w:val="18"/>
          <w:szCs w:val="18"/>
          <w:color w:val="auto"/>
        </w:rPr>
      </w:pPr>
    </w:p>
    <w:p>
      <w:pPr>
        <w:ind w:right="160" w:firstLine="332"/>
        <w:spacing w:after="0" w:line="277" w:lineRule="auto"/>
        <w:tabs>
          <w:tab w:leader="none" w:pos="6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16" w:lineRule="exact"/>
        <w:rPr>
          <w:rFonts w:ascii="Arial" w:cs="Arial" w:eastAsia="Arial" w:hAnsi="Arial"/>
          <w:sz w:val="18"/>
          <w:szCs w:val="18"/>
          <w:color w:val="auto"/>
        </w:rPr>
      </w:pPr>
    </w:p>
    <w:p>
      <w:pPr>
        <w:ind w:right="860" w:firstLine="332"/>
        <w:spacing w:after="0" w:line="277" w:lineRule="auto"/>
        <w:tabs>
          <w:tab w:leader="none" w:pos="6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16" w:lineRule="exact"/>
        <w:rPr>
          <w:rFonts w:ascii="Arial" w:cs="Arial" w:eastAsia="Arial" w:hAnsi="Arial"/>
          <w:sz w:val="18"/>
          <w:szCs w:val="18"/>
          <w:color w:val="auto"/>
        </w:rPr>
      </w:pPr>
    </w:p>
    <w:p>
      <w:pPr>
        <w:ind w:right="260" w:firstLine="332"/>
        <w:spacing w:after="0" w:line="277" w:lineRule="auto"/>
        <w:tabs>
          <w:tab w:leader="none" w:pos="6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development and commercialization plans.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ind w:right="480" w:firstLine="332"/>
        <w:spacing w:after="0" w:line="342" w:lineRule="auto"/>
        <w:tabs>
          <w:tab w:leader="none" w:pos="643"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1440" w:right="379" w:bottom="1440" w:gutter="0" w:footer="0" w:header="0"/>
        </w:sectPr>
      </w:pPr>
    </w:p>
    <w:bookmarkStart w:id="36" w:name="page37"/>
    <w:bookmarkEnd w:id="36"/>
    <w:p>
      <w:pPr>
        <w:spacing w:after="0" w:line="144" w:lineRule="exact"/>
        <w:rPr>
          <w:sz w:val="20"/>
          <w:szCs w:val="20"/>
          <w:color w:val="auto"/>
        </w:rPr>
      </w:pPr>
    </w:p>
    <w:p>
      <w:pPr>
        <w:ind w:left="620" w:hanging="32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Litigation</w:t>
      </w:r>
    </w:p>
    <w:p>
      <w:pPr>
        <w:spacing w:after="0" w:line="175" w:lineRule="exact"/>
        <w:rPr>
          <w:sz w:val="20"/>
          <w:szCs w:val="20"/>
          <w:color w:val="auto"/>
        </w:rPr>
      </w:pPr>
    </w:p>
    <w:p>
      <w:pPr>
        <w:ind w:left="-40" w:right="40" w:firstLine="332"/>
        <w:spacing w:after="0" w:line="277" w:lineRule="auto"/>
        <w:tabs>
          <w:tab w:leader="none" w:pos="6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become involved in litigation to enforce or defend our intellectual property rights, or to defend ourselves from claims that we infringe the intellectual property rights of others.</w:t>
      </w:r>
    </w:p>
    <w:p>
      <w:pPr>
        <w:spacing w:after="0" w:line="116" w:lineRule="exact"/>
        <w:rPr>
          <w:rFonts w:ascii="Arial" w:cs="Arial" w:eastAsia="Arial" w:hAnsi="Arial"/>
          <w:sz w:val="18"/>
          <w:szCs w:val="18"/>
          <w:color w:val="auto"/>
        </w:rPr>
      </w:pPr>
    </w:p>
    <w:p>
      <w:pPr>
        <w:ind w:left="620" w:hanging="32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face liability and/or negative publicity for any unknown defects or errors in our products.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5" w:lineRule="exact"/>
        <w:rPr>
          <w:sz w:val="20"/>
          <w:szCs w:val="20"/>
          <w:color w:val="auto"/>
        </w:rPr>
      </w:pPr>
    </w:p>
    <w:p>
      <w:pPr>
        <w:ind w:left="620" w:hanging="32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products may, in the future, be subject to regulation by the FDA or other regulatory authorities.</w:t>
      </w:r>
    </w:p>
    <w:p>
      <w:pPr>
        <w:spacing w:after="0" w:line="171" w:lineRule="exact"/>
        <w:rPr>
          <w:rFonts w:ascii="Arial" w:cs="Arial" w:eastAsia="Arial" w:hAnsi="Arial"/>
          <w:sz w:val="18"/>
          <w:szCs w:val="18"/>
          <w:color w:val="auto"/>
        </w:rPr>
      </w:pPr>
    </w:p>
    <w:p>
      <w:pPr>
        <w:ind w:left="-40" w:firstLine="332"/>
        <w:spacing w:after="0" w:line="277" w:lineRule="auto"/>
        <w:tabs>
          <w:tab w:leader="none" w:pos="6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currently subject to, and may in the future become subject to additional, U.S. federal and state laws and regulations, as well as the laws and regulations of other countries, relating to how we collect, store and processes personal information.</w:t>
      </w:r>
    </w:p>
    <w:p>
      <w:pPr>
        <w:spacing w:after="0" w:line="116" w:lineRule="exact"/>
        <w:rPr>
          <w:rFonts w:ascii="Arial" w:cs="Arial" w:eastAsia="Arial" w:hAnsi="Arial"/>
          <w:sz w:val="18"/>
          <w:szCs w:val="18"/>
          <w:color w:val="auto"/>
        </w:rPr>
      </w:pPr>
    </w:p>
    <w:p>
      <w:pPr>
        <w:ind w:left="-40" w:right="660" w:firstLine="332"/>
        <w:spacing w:after="0" w:line="277" w:lineRule="auto"/>
        <w:tabs>
          <w:tab w:leader="none" w:pos="6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16" w:lineRule="exact"/>
        <w:rPr>
          <w:rFonts w:ascii="Arial" w:cs="Arial" w:eastAsia="Arial" w:hAnsi="Arial"/>
          <w:sz w:val="18"/>
          <w:szCs w:val="18"/>
          <w:color w:val="auto"/>
        </w:rPr>
      </w:pPr>
    </w:p>
    <w:p>
      <w:pPr>
        <w:ind w:left="-40" w:right="240" w:firstLine="332"/>
        <w:spacing w:after="0" w:line="277" w:lineRule="auto"/>
        <w:tabs>
          <w:tab w:leader="none" w:pos="6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Environmental and health safety laws, including any failure to comply with such laws, may result in liabilities, expenses and restrictions on our operations.</w:t>
      </w:r>
    </w:p>
    <w:p>
      <w:pPr>
        <w:spacing w:after="0" w:line="116" w:lineRule="exact"/>
        <w:rPr>
          <w:rFonts w:ascii="Arial" w:cs="Arial" w:eastAsia="Arial" w:hAnsi="Arial"/>
          <w:sz w:val="18"/>
          <w:szCs w:val="18"/>
          <w:color w:val="auto"/>
        </w:rPr>
      </w:pPr>
    </w:p>
    <w:p>
      <w:pPr>
        <w:ind w:left="-40" w:right="80" w:firstLine="332"/>
        <w:spacing w:after="0" w:line="277" w:lineRule="auto"/>
        <w:tabs>
          <w:tab w:leader="none" w:pos="6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ind w:left="620" w:hanging="32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a significant disruption in our information technology systems or breaches of data security.</w:t>
      </w:r>
    </w:p>
    <w:p>
      <w:pPr>
        <w:spacing w:after="0" w:line="171" w:lineRule="exact"/>
        <w:rPr>
          <w:rFonts w:ascii="Arial" w:cs="Arial" w:eastAsia="Arial" w:hAnsi="Arial"/>
          <w:sz w:val="18"/>
          <w:szCs w:val="18"/>
          <w:color w:val="auto"/>
        </w:rPr>
      </w:pPr>
    </w:p>
    <w:p>
      <w:pPr>
        <w:ind w:left="-40" w:right="420" w:firstLine="332"/>
        <w:spacing w:after="0" w:line="277" w:lineRule="auto"/>
        <w:tabs>
          <w:tab w:leader="none" w:pos="603"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unable to recruit and retain key executives and scientists, we may not be able to achieve our goals.</w:t>
      </w:r>
    </w:p>
    <w:p>
      <w:pPr>
        <w:spacing w:after="0" w:line="116" w:lineRule="exact"/>
        <w:rPr>
          <w:rFonts w:ascii="Arial" w:cs="Arial" w:eastAsia="Arial" w:hAnsi="Arial"/>
          <w:sz w:val="18"/>
          <w:szCs w:val="18"/>
          <w:color w:val="auto"/>
        </w:rPr>
      </w:pPr>
    </w:p>
    <w:p>
      <w:pPr>
        <w:ind w:left="620" w:hanging="328"/>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operations and financial results could be adversely impacted by the COVID-19 pandemic in the United States and the rest of the world.</w:t>
      </w:r>
    </w:p>
    <w:p>
      <w:pPr>
        <w:spacing w:after="0" w:line="182" w:lineRule="exact"/>
        <w:rPr>
          <w:rFonts w:ascii="Arial" w:cs="Arial" w:eastAsia="Arial" w:hAnsi="Arial"/>
          <w:sz w:val="17"/>
          <w:szCs w:val="17"/>
          <w:color w:val="auto"/>
        </w:rPr>
      </w:pPr>
    </w:p>
    <w:p>
      <w:pPr>
        <w:ind w:left="620" w:hanging="32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supply chain interruptions may negatively impact the development and commercialization of our products.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left="-40" w:right="40" w:firstLine="332"/>
        <w:spacing w:after="0" w:line="277" w:lineRule="auto"/>
        <w:tabs>
          <w:tab w:leader="none" w:pos="6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of and market for our Common Stock may be volatile, which could result in substantial losses for investors and/or an inability to readily trade in our Common Stock.</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ind w:left="620" w:hanging="32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incur significant increased costs and management resources as a result of operating as a public company.</w:t>
      </w:r>
    </w:p>
    <w:p>
      <w:pPr>
        <w:spacing w:after="0" w:line="171" w:lineRule="exact"/>
        <w:rPr>
          <w:rFonts w:ascii="Arial" w:cs="Arial" w:eastAsia="Arial" w:hAnsi="Arial"/>
          <w:sz w:val="18"/>
          <w:szCs w:val="18"/>
          <w:color w:val="auto"/>
        </w:rPr>
      </w:pPr>
    </w:p>
    <w:p>
      <w:pPr>
        <w:ind w:left="-40" w:right="20" w:firstLine="332"/>
        <w:spacing w:after="0" w:line="277" w:lineRule="auto"/>
        <w:tabs>
          <w:tab w:leader="none" w:pos="6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Reports published by analysts, including projections in those reports that differ from our actual results, could adversely affect the price and trading volume of our common shares.</w:t>
      </w:r>
    </w:p>
    <w:p>
      <w:pPr>
        <w:spacing w:after="0" w:line="116" w:lineRule="exact"/>
        <w:rPr>
          <w:rFonts w:ascii="Arial" w:cs="Arial" w:eastAsia="Arial" w:hAnsi="Arial"/>
          <w:sz w:val="18"/>
          <w:szCs w:val="18"/>
          <w:color w:val="auto"/>
        </w:rPr>
      </w:pPr>
    </w:p>
    <w:p>
      <w:pPr>
        <w:ind w:left="-40" w:right="160" w:firstLine="332"/>
        <w:spacing w:after="0" w:line="277" w:lineRule="auto"/>
        <w:tabs>
          <w:tab w:leader="none" w:pos="6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360" w:top="1440" w:right="359" w:bottom="1440" w:gutter="0" w:footer="0" w:header="0"/>
        </w:sectPr>
      </w:pPr>
    </w:p>
    <w:bookmarkStart w:id="37" w:name="page38"/>
    <w:bookmarkEnd w:id="37"/>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$15.8 million and $8.4 million during the three months ended March 31, 2022 and 2021, respectively. As of March 31, 2022, we had an accumulated deficit of $96.4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Quarterly Report on Form 10-Q.</w:t>
      </w:r>
    </w:p>
    <w:p>
      <w:pPr>
        <w:spacing w:after="0" w:line="12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Additionally, in developing our platform technology, we may rely on co-development partners to assist us in the development of certain component technologies in our platform. These partners may not be successful in delivering these component technologies on time, to our specifications, or at all,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25"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92"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this phase, we plan to provide early access program partners with broad-scale analysis and profiling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samples analyzed in its facility and shared via a cloud platform. We do not anticipate that these activities will result in any material revenue. During this phase, we expect to work closely with early access customers to demonstrate a unique value proposition for our Nautilus platform. We expect this second phase to lead into the third phase of broad commercialization by the end of 2023. We do not expect to realize any material revenue prior to the second half of 2023.</w:t>
      </w:r>
    </w:p>
    <w:p>
      <w:pPr>
        <w:spacing w:after="0" w:line="13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3"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2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Even if we are successful in entering into collaborations, the success of such collaborations will depend heavily on the efforts and activities of our collaborators.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Scientific collaborations of the nature we propose to pursue are subject to numerous risks, including that:</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products or may elect not to continue or renew development or</w:t>
      </w:r>
    </w:p>
    <w:p>
      <w:pPr>
        <w:spacing w:after="0" w:line="23" w:lineRule="exact"/>
        <w:rPr>
          <w:rFonts w:ascii="Arial" w:cs="Arial" w:eastAsia="Arial" w:hAnsi="Arial"/>
          <w:sz w:val="18"/>
          <w:szCs w:val="18"/>
          <w:color w:val="auto"/>
        </w:rPr>
      </w:pPr>
    </w:p>
    <w:p>
      <w:pPr>
        <w:ind w:right="320"/>
        <w:spacing w:after="0" w:line="260" w:lineRule="auto"/>
        <w:rPr>
          <w:rFonts w:ascii="Arial" w:cs="Arial" w:eastAsia="Arial" w:hAnsi="Arial"/>
          <w:sz w:val="18"/>
          <w:szCs w:val="18"/>
          <w:color w:val="auto"/>
        </w:rPr>
      </w:pPr>
      <w:r>
        <w:rPr>
          <w:rFonts w:ascii="Arial" w:cs="Arial" w:eastAsia="Arial" w:hAnsi="Arial"/>
          <w:sz w:val="18"/>
          <w:szCs w:val="18"/>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31" w:lineRule="exact"/>
        <w:rPr>
          <w:rFonts w:ascii="Arial" w:cs="Arial" w:eastAsia="Arial" w:hAnsi="Arial"/>
          <w:sz w:val="18"/>
          <w:szCs w:val="18"/>
          <w:color w:val="auto"/>
        </w:rPr>
      </w:pPr>
    </w:p>
    <w:p>
      <w:pPr>
        <w:ind w:right="40" w:firstLine="332"/>
        <w:spacing w:after="0" w:line="277" w:lineRule="auto"/>
        <w:tabs>
          <w:tab w:leader="none" w:pos="6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320" w:top="1440" w:right="419" w:bottom="1440" w:gutter="0" w:footer="0" w:header="0"/>
        </w:sectPr>
      </w:pPr>
    </w:p>
    <w:bookmarkStart w:id="39" w:name="page40"/>
    <w:bookmarkEnd w:id="39"/>
    <w:p>
      <w:pPr>
        <w:spacing w:after="0" w:line="144" w:lineRule="exact"/>
        <w:rPr>
          <w:sz w:val="20"/>
          <w:szCs w:val="20"/>
          <w:color w:val="auto"/>
        </w:rPr>
      </w:pPr>
    </w:p>
    <w:p>
      <w:pPr>
        <w:ind w:right="240" w:firstLine="332"/>
        <w:spacing w:after="0" w:line="277" w:lineRule="auto"/>
        <w:tabs>
          <w:tab w:leader="none" w:pos="6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16" w:lineRule="exact"/>
        <w:rPr>
          <w:rFonts w:ascii="Arial" w:cs="Arial" w:eastAsia="Arial" w:hAnsi="Arial"/>
          <w:sz w:val="18"/>
          <w:szCs w:val="18"/>
          <w:color w:val="auto"/>
        </w:rPr>
      </w:pPr>
    </w:p>
    <w:p>
      <w:pPr>
        <w:ind w:right="100" w:firstLine="332"/>
        <w:spacing w:after="0" w:line="277" w:lineRule="auto"/>
        <w:tabs>
          <w:tab w:leader="none" w:pos="6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16" w:lineRule="exact"/>
        <w:rPr>
          <w:rFonts w:ascii="Arial" w:cs="Arial" w:eastAsia="Arial" w:hAnsi="Arial"/>
          <w:sz w:val="18"/>
          <w:szCs w:val="18"/>
          <w:color w:val="auto"/>
        </w:rPr>
      </w:pPr>
    </w:p>
    <w:p>
      <w:pPr>
        <w:ind w:right="60" w:firstLine="332"/>
        <w:spacing w:after="0" w:line="277" w:lineRule="auto"/>
        <w:tabs>
          <w:tab w:leader="none" w:pos="6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71" w:lineRule="exact"/>
        <w:rPr>
          <w:rFonts w:ascii="Arial" w:cs="Arial" w:eastAsia="Arial" w:hAnsi="Arial"/>
          <w:sz w:val="18"/>
          <w:szCs w:val="18"/>
          <w:color w:val="auto"/>
        </w:rPr>
      </w:pPr>
    </w:p>
    <w:p>
      <w:pPr>
        <w:ind w:right="60" w:firstLine="332"/>
        <w:spacing w:after="0" w:line="263" w:lineRule="auto"/>
        <w:tabs>
          <w:tab w:leader="none" w:pos="6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9" w:lineRule="exact"/>
        <w:rPr>
          <w:rFonts w:ascii="Arial" w:cs="Arial" w:eastAsia="Arial" w:hAnsi="Arial"/>
          <w:sz w:val="18"/>
          <w:szCs w:val="18"/>
          <w:color w:val="auto"/>
        </w:rPr>
      </w:pPr>
    </w:p>
    <w:p>
      <w:pPr>
        <w:ind w:right="580" w:firstLine="332"/>
        <w:spacing w:after="0" w:line="277" w:lineRule="auto"/>
        <w:tabs>
          <w:tab w:leader="none" w:pos="6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16" w:lineRule="exact"/>
        <w:rPr>
          <w:rFonts w:ascii="Arial" w:cs="Arial" w:eastAsia="Arial" w:hAnsi="Arial"/>
          <w:sz w:val="18"/>
          <w:szCs w:val="18"/>
          <w:color w:val="auto"/>
        </w:rPr>
      </w:pPr>
    </w:p>
    <w:p>
      <w:pPr>
        <w:ind w:right="140" w:firstLine="332"/>
        <w:spacing w:after="0" w:line="277" w:lineRule="auto"/>
        <w:tabs>
          <w:tab w:leader="none" w:pos="6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16" w:lineRule="exact"/>
        <w:rPr>
          <w:rFonts w:ascii="Arial" w:cs="Arial" w:eastAsia="Arial" w:hAnsi="Arial"/>
          <w:sz w:val="18"/>
          <w:szCs w:val="18"/>
          <w:color w:val="auto"/>
        </w:rPr>
      </w:pPr>
    </w:p>
    <w:p>
      <w:pPr>
        <w:ind w:right="380" w:firstLine="332"/>
        <w:spacing w:after="0" w:line="277" w:lineRule="auto"/>
        <w:tabs>
          <w:tab w:leader="none" w:pos="6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16"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Even if we are able to complete development of our Nautilus platform, we may not achieve or maintain significant commercial market acceptance.</w:t>
      </w:r>
    </w:p>
    <w:p>
      <w:pPr>
        <w:spacing w:after="0" w:line="206"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2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4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 material factors that will influence our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marketing and engagement initiatives to increase awareness of the capabilities of our Nautilus platform;</w:t>
      </w:r>
    </w:p>
    <w:p>
      <w:pPr>
        <w:spacing w:after="0" w:line="171" w:lineRule="exact"/>
        <w:rPr>
          <w:rFonts w:ascii="Arial" w:cs="Arial" w:eastAsia="Arial" w:hAnsi="Arial"/>
          <w:sz w:val="18"/>
          <w:szCs w:val="18"/>
          <w:color w:val="auto"/>
        </w:rPr>
      </w:pPr>
    </w:p>
    <w:p>
      <w:pPr>
        <w:ind w:right="220" w:firstLine="332"/>
        <w:spacing w:after="0" w:line="277" w:lineRule="auto"/>
        <w:tabs>
          <w:tab w:leader="none" w:pos="6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Nautilus platform to demonstrate reliable performance in intended use applications, in particular, when the platform is used by customers in their own research;</w:t>
      </w:r>
    </w:p>
    <w:p>
      <w:pPr>
        <w:spacing w:after="0" w:line="116" w:lineRule="exact"/>
        <w:rPr>
          <w:rFonts w:ascii="Arial" w:cs="Arial" w:eastAsia="Arial" w:hAnsi="Arial"/>
          <w:sz w:val="18"/>
          <w:szCs w:val="18"/>
          <w:color w:val="auto"/>
        </w:rPr>
      </w:pPr>
    </w:p>
    <w:p>
      <w:pPr>
        <w:ind w:firstLine="332"/>
        <w:spacing w:after="0" w:line="277" w:lineRule="auto"/>
        <w:tabs>
          <w:tab w:leader="none" w:pos="6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ease of use of our Nautilus platform and whether it reliably provides significant advantages over alternative products and technologies;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of adoption of our Nautilus platform by biopharmaceutical companies, laboratories, academic institutions and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develop new products, workflows, and solutions that meet customer requirements;</w:t>
      </w:r>
    </w:p>
    <w:p>
      <w:pPr>
        <w:spacing w:after="0" w:line="171" w:lineRule="exact"/>
        <w:rPr>
          <w:rFonts w:ascii="Arial" w:cs="Arial" w:eastAsia="Arial" w:hAnsi="Arial"/>
          <w:sz w:val="18"/>
          <w:szCs w:val="18"/>
          <w:color w:val="auto"/>
        </w:rPr>
      </w:pPr>
    </w:p>
    <w:p>
      <w:pPr>
        <w:ind w:right="200" w:firstLine="332"/>
        <w:spacing w:after="0" w:line="277" w:lineRule="auto"/>
        <w:tabs>
          <w:tab w:leader="none" w:pos="6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30"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4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component supplies, including with respect to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3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develop these functions successfully, we will face a number of additional risks, including:</w:t>
      </w:r>
    </w:p>
    <w:p>
      <w:pPr>
        <w:spacing w:after="0" w:line="171" w:lineRule="exact"/>
        <w:rPr>
          <w:sz w:val="20"/>
          <w:szCs w:val="20"/>
          <w:color w:val="auto"/>
        </w:rPr>
      </w:pPr>
    </w:p>
    <w:p>
      <w:pPr>
        <w:ind w:right="40" w:firstLine="332"/>
        <w:spacing w:after="0" w:line="263" w:lineRule="auto"/>
        <w:tabs>
          <w:tab w:leader="none" w:pos="6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2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2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0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rely on single source suppliers for certain components and materials used in our Nautilus platform, including our click-reagent modified oligos, glass or silicon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23"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94"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We also compete with a number of emerging companies that are developing proteomic products and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4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enjoy a number of competitive advantages over us, including:</w:t>
      </w:r>
    </w:p>
    <w:p>
      <w:pPr>
        <w:spacing w:after="0" w:line="11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138"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1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2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38" w:lineRule="exact"/>
        <w:rPr>
          <w:sz w:val="20"/>
          <w:szCs w:val="20"/>
          <w:color w:val="auto"/>
        </w:rPr>
      </w:pPr>
    </w:p>
    <w:p>
      <w:pPr>
        <w:ind w:right="660" w:firstLine="324"/>
        <w:spacing w:after="0" w:line="381" w:lineRule="auto"/>
        <w:rPr>
          <w:sz w:val="20"/>
          <w:szCs w:val="20"/>
          <w:color w:val="auto"/>
        </w:rPr>
      </w:pPr>
      <w:r>
        <w:rPr>
          <w:rFonts w:ascii="Arial" w:cs="Arial" w:eastAsia="Arial" w:hAnsi="Arial"/>
          <w:sz w:val="15"/>
          <w:szCs w:val="15"/>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4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are engaged with a number of third party collaborators who assist us in co-development of certain aspects of the Nautilus platform, including, for example, certain affinity reagents and array chip substrates. Our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320" w:top="1440" w:right="419" w:bottom="1440" w:gutter="0" w:footer="0" w:header="0"/>
        </w:sectPr>
      </w:pPr>
    </w:p>
    <w:bookmarkStart w:id="44" w:name="page45"/>
    <w:bookmarkEnd w:id="44"/>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3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pharmaceutical companies as well as by academic institutions and other research institutions. Any reduction in spending could limit demand for our products and adversely affect our business, results of operations, financial condition and prospects.</w:t>
      </w:r>
    </w:p>
    <w:p>
      <w:pPr>
        <w:spacing w:after="0" w:line="13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1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7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3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and development and commercialization activities relating to, our Nautilus platform;</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successfully establish and successfully maintain appropriate collaborations and derive revenue from those collaborations;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our Nautilus platform on our anticipated timeline.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16" w:lineRule="exact"/>
        <w:rPr>
          <w:sz w:val="20"/>
          <w:szCs w:val="20"/>
          <w:color w:val="auto"/>
        </w:rPr>
      </w:pPr>
    </w:p>
    <w:p>
      <w:pPr>
        <w:ind w:right="160" w:firstLine="332"/>
        <w:spacing w:after="0" w:line="277" w:lineRule="auto"/>
        <w:tabs>
          <w:tab w:leader="none" w:pos="6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our Nautilus platform, which may vary significantly from period to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drive adoption of our Nautilus platform in our target markets and our ability to expand into any future target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that economic inflation may have on our costs for manufacturing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w:t>
      </w:r>
    </w:p>
    <w:p>
      <w:pPr>
        <w:spacing w:after="0" w:line="171" w:lineRule="exact"/>
        <w:rPr>
          <w:rFonts w:ascii="Arial" w:cs="Arial" w:eastAsia="Arial" w:hAnsi="Arial"/>
          <w:sz w:val="18"/>
          <w:szCs w:val="18"/>
          <w:color w:val="auto"/>
        </w:rPr>
      </w:pPr>
    </w:p>
    <w:p>
      <w:pPr>
        <w:ind w:right="340" w:firstLine="332"/>
        <w:spacing w:after="0" w:line="277" w:lineRule="auto"/>
        <w:tabs>
          <w:tab w:leader="none" w:pos="6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volume and mix of our sales between consumables, instruments and software, or changes in the manufacturing or sales costs related to our products;</w:t>
      </w:r>
    </w:p>
    <w:p>
      <w:pPr>
        <w:spacing w:after="0" w:line="116" w:lineRule="exact"/>
        <w:rPr>
          <w:rFonts w:ascii="Arial" w:cs="Arial" w:eastAsia="Arial" w:hAnsi="Arial"/>
          <w:sz w:val="18"/>
          <w:szCs w:val="18"/>
          <w:color w:val="auto"/>
        </w:rPr>
      </w:pPr>
    </w:p>
    <w:p>
      <w:pPr>
        <w:ind w:right="180" w:firstLine="332"/>
        <w:spacing w:after="0" w:line="277" w:lineRule="auto"/>
        <w:tabs>
          <w:tab w:leader="none" w:pos="6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when we recognize any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right="40" w:firstLine="332"/>
        <w:spacing w:after="0" w:line="277" w:lineRule="auto"/>
        <w:tabs>
          <w:tab w:leader="none" w:pos="6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16" w:lineRule="exact"/>
        <w:rPr>
          <w:rFonts w:ascii="Arial" w:cs="Arial" w:eastAsia="Arial" w:hAnsi="Arial"/>
          <w:sz w:val="18"/>
          <w:szCs w:val="18"/>
          <w:color w:val="auto"/>
        </w:rPr>
      </w:pPr>
    </w:p>
    <w:p>
      <w:pPr>
        <w:ind w:right="380" w:firstLine="332"/>
        <w:spacing w:after="0" w:line="277" w:lineRule="auto"/>
        <w:tabs>
          <w:tab w:leader="none" w:pos="6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0"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3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are a life sciences technology company with a limited operating history. We have not completed development of our Nautilus platform or any other products and have not generated any revenue to date.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operations to date have been limited to developing our Nautilus 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3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need to raise additional capital to fund our development and commercialization plans.</w:t>
      </w:r>
    </w:p>
    <w:p>
      <w:pPr>
        <w:spacing w:after="0" w:line="171"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Based on our current plans, we believe that our available resources and existing cash, cash equivalents and short-term investments, will be sufficient to meet our anticipated cash requirements for at least 12 months from the date of this Quarterly Report on Form 10-Q. If our available resources and existing cash and cash equivalents and short-term investments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spacing w:after="0" w:line="10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116"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funding development and marketing efforts of our Nautilus platform or any other future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increasing our sales and marketing and other commercialization efforts to drive market adoption of our Nautilus platform, once commercialized;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execution of our development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and timing of our investment in our sales, marketing, and distribution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we may make to our business that affect ongoing operating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we may make in our business or commercialization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4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we may make in our research and development spending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4"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3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1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1440" w:right="379" w:bottom="1440" w:gutter="0" w:footer="0" w:header="0"/>
        </w:sectPr>
      </w:pPr>
    </w:p>
    <w:bookmarkStart w:id="48" w:name="page49"/>
    <w:bookmarkEnd w:id="48"/>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future licensing arrangements with third parties, these patents and applications may not be prosecuted and enforced by such third parties in a manner consistent with the best interests of our business.</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8"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2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9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23"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27"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14" w:lineRule="exact"/>
        <w:rPr>
          <w:sz w:val="20"/>
          <w:szCs w:val="20"/>
          <w:color w:val="auto"/>
        </w:rPr>
      </w:pPr>
    </w:p>
    <w:p>
      <w:pPr>
        <w:ind w:right="760" w:firstLine="324"/>
        <w:spacing w:after="0" w:line="342" w:lineRule="auto"/>
        <w:rPr>
          <w:sz w:val="20"/>
          <w:szCs w:val="20"/>
          <w:color w:val="auto"/>
        </w:rPr>
      </w:pPr>
      <w:r>
        <w:rPr>
          <w:rFonts w:ascii="Arial" w:cs="Arial" w:eastAsia="Arial" w:hAnsi="Arial"/>
          <w:sz w:val="16"/>
          <w:szCs w:val="16"/>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10"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7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3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1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3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addition to pursuing patents on our technology, we takes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31"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3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16"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Nautilus platform for an adequate amount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1440" w:right="379" w:bottom="1440" w:gutter="0" w:footer="0" w:header="0"/>
        </w:sectPr>
      </w:pPr>
    </w:p>
    <w:bookmarkStart w:id="53" w:name="page54"/>
    <w:bookmarkEnd w:id="53"/>
    <w:p>
      <w:pPr>
        <w:spacing w:after="0" w:line="14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27"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12" w:lineRule="exact"/>
        <w:rPr>
          <w:sz w:val="20"/>
          <w:szCs w:val="20"/>
          <w:color w:val="auto"/>
        </w:rPr>
      </w:pPr>
    </w:p>
    <w:p>
      <w:pPr>
        <w:ind w:right="920" w:firstLine="324"/>
        <w:spacing w:after="0" w:line="381" w:lineRule="auto"/>
        <w:rPr>
          <w:sz w:val="20"/>
          <w:szCs w:val="20"/>
          <w:color w:val="auto"/>
        </w:rPr>
      </w:pPr>
      <w:r>
        <w:rPr>
          <w:rFonts w:ascii="Arial" w:cs="Arial" w:eastAsia="Arial" w:hAnsi="Arial"/>
          <w:sz w:val="15"/>
          <w:szCs w:val="15"/>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46"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8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3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4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1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2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right="200" w:firstLine="332"/>
        <w:spacing w:after="0" w:line="277" w:lineRule="auto"/>
        <w:tabs>
          <w:tab w:leader="none" w:pos="6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16" w:lineRule="exact"/>
        <w:rPr>
          <w:rFonts w:ascii="Arial" w:cs="Arial" w:eastAsia="Arial" w:hAnsi="Arial"/>
          <w:sz w:val="18"/>
          <w:szCs w:val="18"/>
          <w:color w:val="auto"/>
        </w:rPr>
      </w:pPr>
    </w:p>
    <w:p>
      <w:pPr>
        <w:ind w:right="180" w:firstLine="332"/>
        <w:spacing w:after="0" w:line="277" w:lineRule="auto"/>
        <w:tabs>
          <w:tab w:leader="none" w:pos="6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make the inventions covered by the issued patent or pending patent application that we license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file patent applications covering certain of our or their inventions;</w:t>
      </w:r>
    </w:p>
    <w:p>
      <w:pPr>
        <w:spacing w:after="0" w:line="171" w:lineRule="exact"/>
        <w:rPr>
          <w:rFonts w:ascii="Arial" w:cs="Arial" w:eastAsia="Arial" w:hAnsi="Arial"/>
          <w:sz w:val="18"/>
          <w:szCs w:val="18"/>
          <w:color w:val="auto"/>
        </w:rPr>
      </w:pPr>
    </w:p>
    <w:p>
      <w:pPr>
        <w:ind w:right="100" w:firstLine="332"/>
        <w:spacing w:after="0" w:line="277" w:lineRule="auto"/>
        <w:tabs>
          <w:tab w:leader="none" w:pos="6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license or own in the future will not lead to issued patents;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82" w:lineRule="exact"/>
        <w:rPr>
          <w:rFonts w:ascii="Arial" w:cs="Arial" w:eastAsia="Arial" w:hAnsi="Arial"/>
          <w:sz w:val="17"/>
          <w:szCs w:val="17"/>
          <w:color w:val="auto"/>
        </w:rPr>
      </w:pPr>
    </w:p>
    <w:p>
      <w:pPr>
        <w:ind w:right="160" w:firstLine="332"/>
        <w:spacing w:after="0" w:line="277" w:lineRule="auto"/>
        <w:tabs>
          <w:tab w:leader="none" w:pos="6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71" w:lineRule="exact"/>
        <w:rPr>
          <w:rFonts w:ascii="Arial" w:cs="Arial" w:eastAsia="Arial" w:hAnsi="Arial"/>
          <w:sz w:val="18"/>
          <w:szCs w:val="18"/>
          <w:color w:val="auto"/>
        </w:rPr>
      </w:pPr>
    </w:p>
    <w:p>
      <w:pPr>
        <w:ind w:right="80" w:firstLine="332"/>
        <w:spacing w:after="0" w:line="277" w:lineRule="auto"/>
        <w:tabs>
          <w:tab w:leader="none" w:pos="6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independently derive, use, commercialize, publish or patent such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ind w:left="340" w:right="720"/>
        <w:spacing w:after="0" w:line="438"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Risks Related to Litigation</w:t>
      </w:r>
    </w:p>
    <w:p>
      <w:pPr>
        <w:spacing w:after="0" w:line="1" w:lineRule="exact"/>
        <w:rPr>
          <w:sz w:val="20"/>
          <w:szCs w:val="20"/>
          <w:color w:val="auto"/>
        </w:rPr>
      </w:pPr>
    </w:p>
    <w:p>
      <w:pPr>
        <w:ind w:right="20" w:firstLine="324"/>
        <w:spacing w:after="0" w:line="340" w:lineRule="auto"/>
        <w:rPr>
          <w:sz w:val="20"/>
          <w:szCs w:val="20"/>
          <w:color w:val="auto"/>
        </w:rPr>
      </w:pPr>
      <w:r>
        <w:rPr>
          <w:rFonts w:ascii="Arial" w:cs="Arial" w:eastAsia="Arial" w:hAnsi="Arial"/>
          <w:sz w:val="15"/>
          <w:szCs w:val="15"/>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7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may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11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16"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07"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our products contain defects, we may experience:</w:t>
      </w:r>
    </w:p>
    <w:p>
      <w:pPr>
        <w:spacing w:after="0" w:line="17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1440" w:right="359" w:bottom="1440" w:gutter="0" w:footer="0" w:header="0"/>
        </w:sectPr>
      </w:pPr>
    </w:p>
    <w:bookmarkStart w:id="57" w:name="page58"/>
    <w:bookmarkEnd w:id="57"/>
    <w:p>
      <w:pPr>
        <w:spacing w:after="0" w:line="14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left="340" w:right="80" w:hanging="8"/>
        <w:spacing w:after="0" w:line="493" w:lineRule="auto"/>
        <w:tabs>
          <w:tab w:leader="none" w:pos="659"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ind w:left="340"/>
        <w:spacing w:after="0"/>
        <w:rPr>
          <w:sz w:val="20"/>
          <w:szCs w:val="20"/>
          <w:color w:val="auto"/>
        </w:rPr>
      </w:pPr>
      <w:r>
        <w:rPr>
          <w:rFonts w:ascii="Arial" w:cs="Arial" w:eastAsia="Arial" w:hAnsi="Arial"/>
          <w:sz w:val="18"/>
          <w:szCs w:val="18"/>
          <w:b w:val="1"/>
          <w:bCs w:val="1"/>
          <w:i w:val="1"/>
          <w:iCs w:val="1"/>
          <w:color w:val="auto"/>
        </w:rPr>
        <w:t>If we are sued for product liability, we could face substantial liabilities that exceed our resources.</w:t>
      </w:r>
    </w:p>
    <w:p>
      <w:pPr>
        <w:spacing w:after="0" w:line="171"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0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3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320" w:top="1440" w:right="379" w:bottom="1440" w:gutter="0" w:footer="0" w:header="0"/>
        </w:sectPr>
      </w:pPr>
    </w:p>
    <w:bookmarkStart w:id="58" w:name="page59"/>
    <w:bookmarkEnd w:id="58"/>
    <w:p>
      <w:pPr>
        <w:spacing w:after="0" w:line="14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1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Once the Brexit transition period ends, for medical device products we intend to market in the U.K., we will be subject to regulatory requirements of the Medicines and Healthcare products Regulatory Agency (the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27" w:lineRule="exact"/>
        <w:rPr>
          <w:sz w:val="20"/>
          <w:szCs w:val="20"/>
          <w:color w:val="auto"/>
        </w:rPr>
      </w:pPr>
    </w:p>
    <w:p>
      <w:pPr>
        <w:ind w:right="120" w:firstLine="324"/>
        <w:spacing w:after="0" w:line="32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8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34"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FDA has historically exercised enforcement discretion in not enforcing the medical device regulations against laboratories offering LDTs. In August 2020,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Although the Biden administration has not taken affirmative steps to rescind this August 2020 announcement, this 2020 policy statement is no longer posted on the HHS website. Legislative and administrative proposals to amend the FDA’s oversight of LDTs have been introduced in recent years, including the Verifying Accurate Leading-edge IVCT Development Act of 2021 (VALID Act). It is unclear how such action as well as future legislation by federal and state governments and changes in FDA regulation will impact the industry, including our business and that of our customers.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32"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2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500" w:firstLine="324"/>
        <w:spacing w:after="0" w:line="259" w:lineRule="auto"/>
        <w:rPr>
          <w:sz w:val="20"/>
          <w:szCs w:val="20"/>
          <w:color w:val="auto"/>
        </w:rPr>
      </w:pPr>
      <w:r>
        <w:rPr>
          <w:rFonts w:ascii="Arial" w:cs="Arial" w:eastAsia="Arial" w:hAnsi="Arial"/>
          <w:sz w:val="18"/>
          <w:szCs w:val="18"/>
          <w:color w:val="auto"/>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 such clinical trials or to obtain regulatory authorization, delays in the commencement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of our product launches or our changes to our current marketing strategy could significantly increase our costs and delay our commercialization plans, which could harm our financial prospects.</w:t>
      </w:r>
    </w:p>
    <w:p>
      <w:pPr>
        <w:spacing w:after="0" w:line="1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24"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that will require ongoing compliance efforts and investment, including Virginia and Colorado.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36"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4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07"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has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25"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b w:val="1"/>
          <w:bCs w:val="1"/>
          <w:i w:val="1"/>
          <w:iCs w:val="1"/>
          <w:color w:val="auto"/>
        </w:rPr>
        <w:t>If we commercialize our Nautilus platform outside of the United States, our international business could expose us to business, regulatory, political, operational, financial, and economic risks associated with doing business outside of the United States.</w:t>
      </w:r>
    </w:p>
    <w:p>
      <w:pPr>
        <w:spacing w:after="0" w:line="70"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7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71" w:lineRule="exact"/>
        <w:rPr>
          <w:rFonts w:ascii="Arial" w:cs="Arial" w:eastAsia="Arial" w:hAnsi="Arial"/>
          <w:sz w:val="18"/>
          <w:szCs w:val="18"/>
          <w:color w:val="auto"/>
        </w:rPr>
      </w:pPr>
    </w:p>
    <w:p>
      <w:pPr>
        <w:ind w:right="420" w:firstLine="332"/>
        <w:spacing w:after="0" w:line="277" w:lineRule="auto"/>
        <w:tabs>
          <w:tab w:leader="none" w:pos="6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foreign currency exchange, longer payment cycles and difficulties in enforcing agreements and collecting receivables through certain foreign legal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systems;</w:t>
      </w:r>
    </w:p>
    <w:p>
      <w:pPr>
        <w:spacing w:after="0" w:line="156"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71" w:lineRule="exact"/>
        <w:rPr>
          <w:rFonts w:ascii="Arial" w:cs="Arial" w:eastAsia="Arial" w:hAnsi="Arial"/>
          <w:sz w:val="18"/>
          <w:szCs w:val="18"/>
          <w:color w:val="auto"/>
        </w:rPr>
      </w:pPr>
    </w:p>
    <w:p>
      <w:pPr>
        <w:ind w:firstLine="332"/>
        <w:spacing w:after="0" w:line="286" w:lineRule="auto"/>
        <w:tabs>
          <w:tab w:leader="none" w:pos="643"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4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if we commercialize our Nautilus platform outside of the United States, we intend to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41" w:lineRule="exact"/>
        <w:rPr>
          <w:sz w:val="20"/>
          <w:szCs w:val="20"/>
          <w:color w:val="auto"/>
        </w:rPr>
      </w:pPr>
    </w:p>
    <w:p>
      <w:pPr>
        <w:ind w:right="60" w:firstLine="324"/>
        <w:spacing w:after="0" w:line="340" w:lineRule="auto"/>
        <w:rPr>
          <w:sz w:val="20"/>
          <w:szCs w:val="20"/>
          <w:color w:val="auto"/>
        </w:rPr>
      </w:pPr>
      <w:r>
        <w:rPr>
          <w:rFonts w:ascii="Arial" w:cs="Arial" w:eastAsia="Arial" w:hAnsi="Arial"/>
          <w:sz w:val="15"/>
          <w:szCs w:val="15"/>
          <w:b w:val="1"/>
          <w:bCs w:val="1"/>
          <w:i w:val="1"/>
          <w:iCs w:val="1"/>
          <w:color w:val="auto"/>
        </w:rPr>
        <w:t>If we expand our development and commercialization activities outside of the United States, we will be subject to an increased risk of inadvertently conducting activities in a manner that violates the U.S. Foreign Corrupt Practices Act and similar laws. If that occurs, we may be subject to civil or criminal penalties which could have a material adverse effect on our business, financial condition, results of operations and growth prospects.</w:t>
      </w:r>
    </w:p>
    <w:p>
      <w:pPr>
        <w:spacing w:after="0" w:line="77"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We are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1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If we choose to establish and expand our commercial operations outside of the United States we will need to comply with non-U.S. regulatory requirements,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12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16"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0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1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b w:val="1"/>
          <w:bCs w:val="1"/>
          <w:i w:val="1"/>
          <w:iCs w:val="1"/>
          <w:color w:val="auto"/>
        </w:rPr>
        <w:t>Demand for our technology could be reduced by legal, social and ethical concerns surrounding the use of genetic information and biological materials.</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11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44"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2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11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March 31, 2022, we had 119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11" w:lineRule="exact"/>
        <w:rPr>
          <w:sz w:val="20"/>
          <w:szCs w:val="20"/>
          <w:color w:val="auto"/>
        </w:rPr>
      </w:pPr>
    </w:p>
    <w:p>
      <w:pPr>
        <w:ind w:right="560" w:firstLine="324"/>
        <w:spacing w:after="0" w:line="263"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are unable to recruit and retain key executives and scientists, we may be unable to achieve our goals.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1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3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13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have limited experience in acquiring other businesses or technologies. We may not be able to successfully integrate acquired personnel, operations and technologies, or effectively manage the combined business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our suppliers in the United States and other countries, and the availability or cost of materials, which would disrupt or delay our receipt of instruments, components and supplies from the third parties we rely on. For instance, “stay-at-home” orders were imposed in California, where our primary research and development facility is located, and in Washington state, where our primary corporate facility is located, that required reductions in capacity or shutdowns of businesses as well as the implementation of social distancing protocols and other plans and measures. During March and April of 2020, the volume of ongoing lab work was reduced, and only critical program work in the lab continued with staggered lab employee work shifts to minimize risk of exposure to COVID-19, which has and may continue to disrupt or delay our ability to conduct development activities. Additionally, our suppliers have also been impacted by the COVID-19 pandemic. For example,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1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To the extent that any governmental authority imposes additional regulatory requirements or changes existing laws, regulations, and policies that apply to our business and operations, such as workplace safety measures, our product development may be delayed, and we may incur further costs in bringing our business and operations into compliance with changing or new laws, regulations, and policies.</w:t>
      </w:r>
    </w:p>
    <w:p>
      <w:pPr>
        <w:spacing w:after="0" w:line="130" w:lineRule="exact"/>
        <w:rPr>
          <w:sz w:val="20"/>
          <w:szCs w:val="20"/>
          <w:color w:val="auto"/>
        </w:rPr>
      </w:pPr>
    </w:p>
    <w:p>
      <w:pPr>
        <w:jc w:val="both"/>
        <w:ind w:right="140" w:firstLine="324"/>
        <w:spacing w:after="0" w:line="255" w:lineRule="auto"/>
        <w:rPr>
          <w:sz w:val="20"/>
          <w:szCs w:val="20"/>
          <w:color w:val="auto"/>
        </w:rPr>
      </w:pPr>
      <w:r>
        <w:rPr>
          <w:rFonts w:ascii="Arial" w:cs="Arial" w:eastAsia="Arial" w:hAnsi="Arial"/>
          <w:sz w:val="18"/>
          <w:szCs w:val="18"/>
          <w:color w:val="auto"/>
        </w:rPr>
        <w:t>While we are currently in the development stage, we expect that substantially all of our revenue will be derived from sales of our Nautilus platform, including our instruments and consumables, to biopharmaceutical companies and academic and research institutions. As we leave the development stage and enter the next stage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Nautilus platform. All of these considerations are impacted by factors beyond our control, such as:</w:t>
      </w:r>
    </w:p>
    <w:p>
      <w:pPr>
        <w:spacing w:after="0" w:line="138"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our Nautilus platform;</w:t>
      </w:r>
    </w:p>
    <w:p>
      <w:pPr>
        <w:spacing w:after="0" w:line="171" w:lineRule="exact"/>
        <w:rPr>
          <w:rFonts w:ascii="Arial" w:cs="Arial" w:eastAsia="Arial" w:hAnsi="Arial"/>
          <w:sz w:val="18"/>
          <w:szCs w:val="18"/>
          <w:color w:val="auto"/>
        </w:rPr>
      </w:pPr>
    </w:p>
    <w:p>
      <w:pPr>
        <w:ind w:right="120" w:firstLine="332"/>
        <w:spacing w:after="0" w:line="286" w:lineRule="auto"/>
        <w:tabs>
          <w:tab w:leader="none" w:pos="6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right="80" w:firstLine="332"/>
        <w:spacing w:after="0" w:line="263" w:lineRule="auto"/>
        <w:tabs>
          <w:tab w:leader="none" w:pos="6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0"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440" w:right="359" w:bottom="1440" w:gutter="0" w:footer="0" w:header="0"/>
        </w:sectPr>
      </w:pPr>
    </w:p>
    <w:bookmarkStart w:id="67" w:name="page68"/>
    <w:bookmarkEnd w:id="67"/>
    <w:p>
      <w:pPr>
        <w:spacing w:after="0" w:line="14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3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Global supply chain interruptions could adversely affect our ability to develop and commercialize our products</w:t>
      </w:r>
      <w:r>
        <w:rPr>
          <w:rFonts w:ascii="Arial" w:cs="Arial" w:eastAsia="Arial" w:hAnsi="Arial"/>
          <w:sz w:val="18"/>
          <w:szCs w:val="18"/>
          <w:b w:val="1"/>
          <w:bCs w:val="1"/>
          <w:color w:val="auto"/>
        </w:rPr>
        <w:t>.</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may be subject to supply chain interruptions. Current or future supply chain interruptions that could be exacerbated by global political tensions, such as the situation in Ukraine, could negatively impact our ability to further develop our products or to manufacture and deliver our products or services, which could negatively impact our timelines and business results. For example, as discussed in the risk factor above entitled “</w:t>
      </w:r>
      <w:r>
        <w:rPr>
          <w:rFonts w:ascii="Arial" w:cs="Arial" w:eastAsia="Arial" w:hAnsi="Arial"/>
          <w:sz w:val="16"/>
          <w:szCs w:val="16"/>
          <w:b w:val="1"/>
          <w:bCs w:val="1"/>
          <w:i w:val="1"/>
          <w:iCs w:val="1"/>
          <w:color w:val="auto"/>
        </w:rPr>
        <w:t>The COVID-19 pandemic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and efforts to reduce its spread have adversely impacted and are expected to continue to materially and adversely impact, our business and operations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and similar delays could impact us if they recur or are exacerbated due to the situation in Ukraine.</w:t>
      </w:r>
    </w:p>
    <w:p>
      <w:pPr>
        <w:spacing w:after="0" w:line="11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1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Our Seattle, Washington, facility houses our corporate executive team and our software development operations, while our San Carlos, California facility houses our research and development team.</w:t>
      </w:r>
    </w:p>
    <w:p>
      <w:pPr>
        <w:spacing w:after="0" w:line="116"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Our facilities in Seattle and San Carlos are vulnerable to natural disasters, public health crises, including the impact of the COVID-19 pandemic, and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1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property and the disruption of our business, this insurance may not be sufficient to cover all of our potential losses and may not continue to be available to us on acceptable terms, or at all.</w:t>
      </w:r>
    </w:p>
    <w:p>
      <w:pPr>
        <w:spacing w:after="0" w:line="11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1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are beyond our control.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market price of our Common Stock may fluctuate due to a variety of factors, including:</w:t>
      </w:r>
    </w:p>
    <w:p>
      <w:pPr>
        <w:spacing w:after="0" w:line="171" w:lineRule="exact"/>
        <w:rPr>
          <w:sz w:val="20"/>
          <w:szCs w:val="20"/>
          <w:color w:val="auto"/>
        </w:rPr>
      </w:pPr>
    </w:p>
    <w:p>
      <w:pPr>
        <w:ind w:right="60" w:firstLine="332"/>
        <w:spacing w:after="0" w:line="277" w:lineRule="auto"/>
        <w:tabs>
          <w:tab w:leader="none" w:pos="6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our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71" w:lineRule="exact"/>
        <w:rPr>
          <w:rFonts w:ascii="Arial" w:cs="Arial" w:eastAsia="Arial" w:hAnsi="Arial"/>
          <w:sz w:val="18"/>
          <w:szCs w:val="18"/>
          <w:color w:val="auto"/>
        </w:rPr>
      </w:pPr>
    </w:p>
    <w:p>
      <w:pPr>
        <w:ind w:right="300" w:firstLine="332"/>
        <w:spacing w:after="0" w:line="277" w:lineRule="auto"/>
        <w:tabs>
          <w:tab w:leader="none" w:pos="6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1440" w:right="359" w:bottom="1440" w:gutter="0" w:footer="0" w:header="0"/>
        </w:sectPr>
      </w:pPr>
    </w:p>
    <w:bookmarkStart w:id="69" w:name="page70"/>
    <w:bookmarkEnd w:id="69"/>
    <w:p>
      <w:pPr>
        <w:spacing w:after="0" w:line="144"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71" w:lineRule="exact"/>
        <w:rPr>
          <w:rFonts w:ascii="Arial" w:cs="Arial" w:eastAsia="Arial" w:hAnsi="Arial"/>
          <w:sz w:val="18"/>
          <w:szCs w:val="18"/>
          <w:color w:val="auto"/>
        </w:rPr>
      </w:pPr>
    </w:p>
    <w:p>
      <w:pPr>
        <w:ind w:right="40" w:firstLine="332"/>
        <w:spacing w:after="0" w:line="263" w:lineRule="auto"/>
        <w:tabs>
          <w:tab w:leader="none" w:pos="6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other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16"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71" w:lineRule="exact"/>
        <w:rPr>
          <w:rFonts w:ascii="Arial" w:cs="Arial" w:eastAsia="Arial" w:hAnsi="Arial"/>
          <w:sz w:val="18"/>
          <w:szCs w:val="18"/>
          <w:color w:val="auto"/>
        </w:rPr>
      </w:pPr>
    </w:p>
    <w:p>
      <w:pPr>
        <w:ind w:right="200" w:firstLine="332"/>
        <w:spacing w:after="0" w:line="277" w:lineRule="auto"/>
        <w:tabs>
          <w:tab w:leader="none" w:pos="6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limited amount of new and analyst coverage;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1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of March 31, 2022, our directors, executive officers, holders of more than 5% of our outstanding shares of Common Stock and their respective affiliates beneficially owned, collectively, approximately 68.2%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03"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b w:val="1"/>
          <w:bCs w:val="1"/>
          <w:i w:val="1"/>
          <w:iCs w:val="1"/>
          <w:color w:val="auto"/>
        </w:rPr>
        <w:t>A significant portion of our total outstanding shares of Common Stock were initially restricted from immediate resale in connection with the closing of the Business Combination but the restrictions have expired and such shares may now be sold into the market. This could cause the market price of our Common Stock to drop significantly, even if our business is doing well.</w:t>
      </w:r>
    </w:p>
    <w:p>
      <w:pPr>
        <w:spacing w:after="0" w:line="13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the completion of the Business Combination, (i) the Nautilus stockholders (excluding Perspective Life Sciences Master Fund Ltd, a Cayman Islands exempted company (the “Perceptive PIPE Investor”), and ARYA Sciences Holdings III, a Cayman Islands exempted limited company (the “Sponsor”)) owned, collectively, approximately 66.4% of our outstanding Common Stock, (ii) ARYA’s initial shareholders, the Sponsor and the Perceptive PIPE Investor owned approximately 10.2% of our outstanding Common Stock and (iii) the PIPE Investors other than the Perceptive PIPE Investor owned approximately 11.7% of our outstanding Common Stock.</w:t>
      </w:r>
    </w:p>
    <w:p>
      <w:pPr>
        <w:spacing w:after="0" w:line="13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Pursuant to the Amended and Restated Registration Rights and Lock-Up Agreement (the “Registration Rights and Lock-Up Agreement”) and our Bylaws, subject to certain exceptions, ARYA’s initial shareholders, the Sponsor, the Perceptive PIPE Investor and the Nautilus stockholders were restricted from selling or transferring any shares of our Common Stock for a period of 180 days from the closing of the Business Combination. However, such restrictions expired on December 6, 2021, and these shares of Common Stock may now be sold into the market. Pursuant to the Registration Rights and Lock-Up Agreement and the Subscription Agreements entered into in connection with the PIPE Financing, we filed resale registration statements to provide for the resale of the shares issued in the PIPE Financing and the shares of our Common Stock held by the parties to the Registration Rights and Lock-Up Agreement. The market price of our Common Stock could decline if the holders of previously restricted shares and/or holders whose shares are registered under such registration statements sell their shares or are perceived by the market as intending to sell their shares.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3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1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0" w:right="359" w:bottom="1440" w:gutter="0" w:footer="0" w:header="0"/>
        </w:sectPr>
      </w:pPr>
    </w:p>
    <w:bookmarkStart w:id="71" w:name="page72"/>
    <w:bookmarkEnd w:id="71"/>
    <w:p>
      <w:pPr>
        <w:spacing w:after="0" w:line="14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w:t>
      </w:r>
    </w:p>
    <w:p>
      <w:pPr>
        <w:spacing w:after="0" w:line="12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1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34" w:lineRule="exact"/>
        <w:rPr>
          <w:sz w:val="20"/>
          <w:szCs w:val="20"/>
          <w:color w:val="auto"/>
        </w:rPr>
      </w:pPr>
    </w:p>
    <w:p>
      <w:pPr>
        <w:ind w:right="240" w:firstLine="332"/>
        <w:spacing w:after="0" w:line="308" w:lineRule="auto"/>
        <w:tabs>
          <w:tab w:leader="none" w:pos="643"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92" w:lineRule="exact"/>
        <w:rPr>
          <w:rFonts w:ascii="Arial" w:cs="Arial" w:eastAsia="Arial" w:hAnsi="Arial"/>
          <w:sz w:val="17"/>
          <w:szCs w:val="17"/>
          <w:color w:val="auto"/>
        </w:rPr>
      </w:pPr>
    </w:p>
    <w:p>
      <w:pPr>
        <w:ind w:right="360" w:firstLine="332"/>
        <w:spacing w:after="0" w:line="277" w:lineRule="auto"/>
        <w:tabs>
          <w:tab w:leader="none" w:pos="6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right="280" w:firstLine="332"/>
        <w:spacing w:after="0" w:line="277" w:lineRule="auto"/>
        <w:tabs>
          <w:tab w:leader="none" w:pos="6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our bylaws require the approval of stockholders holding two-thirds of the voting power of our then outstanding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44"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stockholders are only able to take action at a meeting of stockholders and are not able to take action by written consent for any matter;</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w:t>
      </w:r>
    </w:p>
    <w:p>
      <w:pPr>
        <w:spacing w:after="0" w:line="171" w:lineRule="exact"/>
        <w:rPr>
          <w:rFonts w:ascii="Arial" w:cs="Arial" w:eastAsia="Arial" w:hAnsi="Arial"/>
          <w:sz w:val="18"/>
          <w:szCs w:val="18"/>
          <w:color w:val="auto"/>
        </w:rPr>
      </w:pPr>
    </w:p>
    <w:p>
      <w:pPr>
        <w:ind w:right="320" w:firstLine="332"/>
        <w:spacing w:after="0" w:line="277" w:lineRule="auto"/>
        <w:tabs>
          <w:tab w:leader="none" w:pos="643"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our president or a majority of our board of directors are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rFonts w:ascii="Arial" w:cs="Arial" w:eastAsia="Arial" w:hAnsi="Arial"/>
          <w:sz w:val="18"/>
          <w:szCs w:val="18"/>
          <w:color w:val="auto"/>
        </w:rPr>
      </w:pPr>
    </w:p>
    <w:p>
      <w:pPr>
        <w:ind w:right="140" w:firstLine="332"/>
        <w:spacing w:after="0" w:line="277" w:lineRule="auto"/>
        <w:tabs>
          <w:tab w:leader="none" w:pos="643"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16" w:lineRule="exact"/>
        <w:rPr>
          <w:rFonts w:ascii="Arial" w:cs="Arial" w:eastAsia="Arial" w:hAnsi="Arial"/>
          <w:sz w:val="18"/>
          <w:szCs w:val="18"/>
          <w:color w:val="auto"/>
        </w:rPr>
      </w:pPr>
    </w:p>
    <w:p>
      <w:pPr>
        <w:ind w:right="140" w:firstLine="332"/>
        <w:spacing w:after="0" w:line="277" w:lineRule="auto"/>
        <w:tabs>
          <w:tab w:leader="none" w:pos="64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will incur significant increased costs and management resources as a result of operating as a public company.</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bear all of the internal and external costs of preparing and distributing periodic public reports in compliance with our obligations under the securities laws.</w:t>
      </w:r>
    </w:p>
    <w:p>
      <w:pPr>
        <w:spacing w:after="0" w:line="117"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27" w:lineRule="exact"/>
        <w:rPr>
          <w:sz w:val="20"/>
          <w:szCs w:val="20"/>
          <w:color w:val="auto"/>
        </w:rPr>
      </w:pPr>
    </w:p>
    <w:p>
      <w:pPr>
        <w:ind w:left="340" w:right="60"/>
        <w:spacing w:after="0" w:line="423" w:lineRule="auto"/>
        <w:rPr>
          <w:sz w:val="20"/>
          <w:szCs w:val="20"/>
          <w:color w:val="auto"/>
        </w:rPr>
      </w:pPr>
      <w:r>
        <w:rPr>
          <w:rFonts w:ascii="Arial" w:cs="Arial" w:eastAsia="Arial" w:hAnsi="Arial"/>
          <w:sz w:val="15"/>
          <w:szCs w:val="15"/>
          <w:b w:val="1"/>
          <w:bCs w:val="1"/>
          <w:i w:val="1"/>
          <w:iCs w:val="1"/>
          <w:color w:val="auto"/>
        </w:rPr>
        <w:t xml:space="preserve">We have broad discretion in the use of the net proceeds from the Business Combination and the PIPE Financing and may not use them effectively. </w:t>
      </w:r>
      <w:r>
        <w:rPr>
          <w:rFonts w:ascii="Arial" w:cs="Arial" w:eastAsia="Arial" w:hAnsi="Arial"/>
          <w:sz w:val="15"/>
          <w:szCs w:val="15"/>
          <w:color w:val="auto"/>
        </w:rPr>
        <w:t>We cannot specify with certainty the particular uses of the net proceeds we received from the Business Combination and the PIPE Financing. Our</w:t>
      </w:r>
    </w:p>
    <w:p>
      <w:pPr>
        <w:ind w:right="100"/>
        <w:spacing w:after="0" w:line="277" w:lineRule="auto"/>
        <w:rPr>
          <w:sz w:val="20"/>
          <w:szCs w:val="20"/>
          <w:color w:val="auto"/>
        </w:rPr>
      </w:pPr>
      <w:r>
        <w:rPr>
          <w:rFonts w:ascii="Arial" w:cs="Arial" w:eastAsia="Arial" w:hAnsi="Arial"/>
          <w:sz w:val="17"/>
          <w:szCs w:val="17"/>
          <w:color w:val="auto"/>
        </w:rPr>
        <w:t>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Business Combination and the PIPE Financing in a manner that does not produce income or that loses value.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As of December 31, 2021, we had U.S. federal and state net operating loss carryforwards, or NOLs, of $0.5 million for federal and $9.1 million for state, which if not utilized will expire in 2037. Federal net operating loss carryforwards of $31.6 million that arose after the 2017 tax year will carryforward indefinitely.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the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33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2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11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independent assessment of the effectiveness of our internal controls could detect problems that our management’s assessment might not identify.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Undetected material weaknesses in our internal controls could lead to financial statement restatements and require us to incur the expense of remediation.</w:t>
      </w:r>
    </w:p>
    <w:p>
      <w:pPr>
        <w:spacing w:after="0" w:line="18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131"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92"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3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1440" w:right="359" w:bottom="1440" w:gutter="0" w:footer="0" w:header="0"/>
        </w:sectPr>
      </w:pPr>
    </w:p>
    <w:bookmarkStart w:id="76" w:name="page77"/>
    <w:bookmarkEnd w:id="76"/>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139"/>
          </w:cols>
          <w:pgMar w:left="320" w:top="1440" w:right="1440" w:bottom="1440" w:gutter="0" w:footer="0" w:header="0"/>
        </w:sectPr>
      </w:pPr>
    </w:p>
    <w:bookmarkStart w:id="77" w:name="page78"/>
    <w:bookmarkEnd w:id="7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20" w:type="dxa"/>
            <w:vAlign w:val="bottom"/>
            <w:gridSpan w:val="8"/>
            <w:vMerge w:val="restart"/>
          </w:tcPr>
          <w:p>
            <w:pPr>
              <w:ind w:left="3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62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500" w:type="dxa"/>
            <w:vAlign w:val="bottom"/>
            <w:tcBorders>
              <w:top w:val="single" w:sz="8" w:color="auto"/>
              <w:bottom w:val="single" w:sz="8" w:color="0000FF"/>
            </w:tcBorders>
            <w:gridSpan w:val="3"/>
          </w:tcPr>
          <w:p>
            <w:pPr>
              <w:spacing w:after="0" w:line="184"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Offer Letter between Nautilus Biotechnology, Inc. and Gwen Weld dated March 28, 2022.</w:t>
              </w:r>
            </w:hyperlink>
          </w:p>
        </w:tc>
        <w:tc>
          <w:tcPr>
            <w:tcW w:w="3520" w:type="dxa"/>
            <w:vAlign w:val="bottom"/>
            <w:tcBorders>
              <w:top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9"/>
          </w:tcPr>
          <w:p>
            <w:pPr>
              <w:spacing w:after="0"/>
              <w:rPr>
                <w:rFonts w:ascii="Arial" w:cs="Arial" w:eastAsia="Arial" w:hAnsi="Arial"/>
                <w:sz w:val="18"/>
                <w:szCs w:val="18"/>
                <w:color w:val="0000FF"/>
              </w:rPr>
            </w:pPr>
            <w:hyperlink r:id="rId38">
              <w:r>
                <w:rPr>
                  <w:rFonts w:ascii="Arial" w:cs="Arial" w:eastAsia="Arial" w:hAnsi="Arial"/>
                  <w:sz w:val="18"/>
                  <w:szCs w:val="18"/>
                  <w:color w:val="0000FF"/>
                </w:rPr>
                <w:t>Change in Control and Severance Agreement between Nautilus Biotechnology, Inc. and Gwen Weld dated April 12, 2022.</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6"/>
                <w:szCs w:val="16"/>
                <w:color w:val="auto"/>
              </w:rPr>
              <w:t>31.1*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9"/>
          </w:tcPr>
          <w:p>
            <w:pPr>
              <w:spacing w:after="0"/>
              <w:rPr>
                <w:rFonts w:ascii="Arial" w:cs="Arial" w:eastAsia="Arial" w:hAnsi="Arial"/>
                <w:sz w:val="18"/>
                <w:szCs w:val="18"/>
                <w:color w:val="0000FF"/>
                <w:w w:val="94"/>
              </w:rPr>
            </w:pPr>
            <w:hyperlink r:id="rId39">
              <w:r>
                <w:rPr>
                  <w:rFonts w:ascii="Arial" w:cs="Arial" w:eastAsia="Arial" w:hAnsi="Arial"/>
                  <w:sz w:val="18"/>
                  <w:szCs w:val="18"/>
                  <w:color w:val="0000FF"/>
                  <w:w w:val="94"/>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39">
              <w:r>
                <w:rPr>
                  <w:rFonts w:ascii="Arial" w:cs="Arial" w:eastAsia="Arial" w:hAnsi="Arial"/>
                  <w:sz w:val="18"/>
                  <w:szCs w:val="18"/>
                  <w:color w:val="0000FF"/>
                </w:rPr>
                <w:t>Adopted Pursuant to Section 302 of the Sarbanes-Oxley Act of 2002.</w:t>
              </w:r>
            </w:hyperlink>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6"/>
                <w:szCs w:val="16"/>
                <w:color w:val="auto"/>
              </w:rPr>
              <w:t>31.2*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9"/>
          </w:tcPr>
          <w:p>
            <w:pPr>
              <w:spacing w:after="0"/>
              <w:rPr>
                <w:rFonts w:ascii="Arial" w:cs="Arial" w:eastAsia="Arial" w:hAnsi="Arial"/>
                <w:sz w:val="18"/>
                <w:szCs w:val="18"/>
                <w:color w:val="0000FF"/>
                <w:w w:val="95"/>
              </w:rPr>
            </w:pPr>
            <w:hyperlink r:id="rId40">
              <w:r>
                <w:rPr>
                  <w:rFonts w:ascii="Arial" w:cs="Arial" w:eastAsia="Arial" w:hAnsi="Arial"/>
                  <w:sz w:val="18"/>
                  <w:szCs w:val="18"/>
                  <w:color w:val="0000FF"/>
                  <w:w w:val="95"/>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40">
              <w:r>
                <w:rPr>
                  <w:rFonts w:ascii="Arial" w:cs="Arial" w:eastAsia="Arial" w:hAnsi="Arial"/>
                  <w:sz w:val="18"/>
                  <w:szCs w:val="18"/>
                  <w:color w:val="0000FF"/>
                </w:rPr>
                <w:t>Adopted Pursuant to Section 302 of the Sarbanes-Oxley Act of 2002.</w:t>
              </w:r>
            </w:hyperlink>
          </w:p>
        </w:tc>
        <w:tc>
          <w:tcPr>
            <w:tcW w:w="4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32.1*</w:t>
            </w: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20" w:type="dxa"/>
            <w:vAlign w:val="bottom"/>
            <w:gridSpan w:val="9"/>
          </w:tcPr>
          <w:p>
            <w:pPr>
              <w:spacing w:after="0"/>
              <w:rPr>
                <w:rFonts w:ascii="Arial" w:cs="Arial" w:eastAsia="Arial" w:hAnsi="Arial"/>
                <w:sz w:val="18"/>
                <w:szCs w:val="18"/>
                <w:color w:val="0000FF"/>
                <w:w w:val="94"/>
              </w:rPr>
            </w:pPr>
            <w:hyperlink r:id="rId41">
              <w:r>
                <w:rPr>
                  <w:rFonts w:ascii="Arial" w:cs="Arial" w:eastAsia="Arial" w:hAnsi="Arial"/>
                  <w:sz w:val="18"/>
                  <w:szCs w:val="18"/>
                  <w:color w:val="0000FF"/>
                  <w:w w:val="94"/>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Oxley Act of 2002.</w:t>
              </w:r>
            </w:hyperlink>
          </w:p>
        </w:tc>
        <w:tc>
          <w:tcPr>
            <w:tcW w:w="8220" w:type="dxa"/>
            <w:vAlign w:val="bottom"/>
            <w:tcBorders>
              <w:top w:val="single" w:sz="8" w:color="0000FF"/>
            </w:tcBorders>
            <w:gridSpan w:val="6"/>
          </w:tcPr>
          <w:p>
            <w:pPr>
              <w:spacing w:after="0"/>
              <w:rPr>
                <w:sz w:val="13"/>
                <w:szCs w:val="13"/>
                <w:color w:val="auto"/>
              </w:rPr>
            </w:pPr>
          </w:p>
        </w:tc>
        <w:tc>
          <w:tcPr>
            <w:tcW w:w="4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32.2*</w:t>
            </w: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20" w:type="dxa"/>
            <w:vAlign w:val="bottom"/>
            <w:gridSpan w:val="9"/>
          </w:tcPr>
          <w:p>
            <w:pPr>
              <w:spacing w:after="0"/>
              <w:rPr>
                <w:rFonts w:ascii="Arial" w:cs="Arial" w:eastAsia="Arial" w:hAnsi="Arial"/>
                <w:sz w:val="18"/>
                <w:szCs w:val="18"/>
                <w:color w:val="0000FF"/>
                <w:w w:val="95"/>
              </w:rPr>
            </w:pPr>
            <w:hyperlink r:id="rId42">
              <w:r>
                <w:rPr>
                  <w:rFonts w:ascii="Arial" w:cs="Arial" w:eastAsia="Arial" w:hAnsi="Arial"/>
                  <w:sz w:val="18"/>
                  <w:szCs w:val="18"/>
                  <w:color w:val="0000FF"/>
                  <w:w w:val="95"/>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Oxley Act of 2002.</w:t>
              </w:r>
            </w:hyperlink>
          </w:p>
        </w:tc>
        <w:tc>
          <w:tcPr>
            <w:tcW w:w="8160" w:type="dxa"/>
            <w:vAlign w:val="bottom"/>
            <w:tcBorders>
              <w:top w:val="single" w:sz="8" w:color="0000FF"/>
            </w:tcBorders>
            <w:gridSpan w:val="4"/>
          </w:tcPr>
          <w:p>
            <w:pPr>
              <w:spacing w:after="0"/>
              <w:rPr>
                <w:sz w:val="13"/>
                <w:szCs w:val="13"/>
                <w:color w:val="auto"/>
              </w:rPr>
            </w:pPr>
          </w:p>
        </w:tc>
        <w:tc>
          <w:tcPr>
            <w:tcW w:w="4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7"/>
                <w:szCs w:val="17"/>
                <w:color w:val="auto"/>
              </w:rPr>
            </w:pPr>
          </w:p>
        </w:tc>
        <w:tc>
          <w:tcPr>
            <w:tcW w:w="10020" w:type="dxa"/>
            <w:vAlign w:val="bottom"/>
            <w:gridSpan w:val="9"/>
          </w:tcPr>
          <w:p>
            <w:pPr>
              <w:spacing w:after="0" w:line="196" w:lineRule="exact"/>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0"/>
                <w:szCs w:val="20"/>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220" w:hanging="1194"/>
        <w:spacing w:after="0"/>
        <w:tabs>
          <w:tab w:leader="none" w:pos="1220" w:val="left"/>
        </w:tabs>
        <w:numPr>
          <w:ilvl w:val="0"/>
          <w:numId w:val="50"/>
        </w:numPr>
        <w:rPr>
          <w:rFonts w:ascii="Arial" w:cs="Arial" w:eastAsia="Arial" w:hAnsi="Arial"/>
          <w:sz w:val="16"/>
          <w:szCs w:val="16"/>
          <w:color w:val="auto"/>
        </w:rPr>
      </w:pPr>
      <w:r>
        <w:rPr>
          <w:rFonts w:ascii="Arial" w:cs="Arial" w:eastAsia="Arial" w:hAnsi="Arial"/>
          <w:sz w:val="18"/>
          <w:szCs w:val="18"/>
          <w:color w:val="auto"/>
        </w:rPr>
        <w:t>Cover page Interactive Data File (embedded with the Inline XBRL document)</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 w:lineRule="exact"/>
        <w:rPr>
          <w:sz w:val="20"/>
          <w:szCs w:val="20"/>
          <w:color w:val="auto"/>
        </w:rPr>
      </w:pPr>
    </w:p>
    <w:p>
      <w:pPr>
        <w:ind w:left="340" w:right="100" w:hanging="332"/>
        <w:spacing w:after="0" w:line="276" w:lineRule="auto"/>
        <w:tabs>
          <w:tab w:leader="none" w:pos="124"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840" w:type="dxa"/>
            <w:vAlign w:val="bottom"/>
            <w:gridSpan w:val="2"/>
          </w:tcPr>
          <w:p>
            <w:pPr>
              <w:ind w:left="2020"/>
              <w:spacing w:after="0"/>
              <w:rPr>
                <w:sz w:val="20"/>
                <w:szCs w:val="20"/>
                <w:color w:val="auto"/>
              </w:rPr>
            </w:pPr>
            <w:r>
              <w:rPr>
                <w:rFonts w:ascii="Arial" w:cs="Arial" w:eastAsia="Arial" w:hAnsi="Arial"/>
                <w:sz w:val="18"/>
                <w:szCs w:val="18"/>
                <w:b w:val="1"/>
                <w:bCs w:val="1"/>
                <w:color w:val="auto"/>
              </w:rPr>
              <w:t>NAUTILUS BIOTECHNOLOGY, INC.</w:t>
            </w:r>
          </w:p>
        </w:tc>
      </w:tr>
      <w:tr>
        <w:trPr>
          <w:trHeight w:val="499"/>
        </w:trPr>
        <w:tc>
          <w:tcPr>
            <w:tcW w:w="3380" w:type="dxa"/>
            <w:vAlign w:val="bottom"/>
          </w:tcPr>
          <w:p>
            <w:pPr>
              <w:spacing w:after="0"/>
              <w:rPr>
                <w:sz w:val="20"/>
                <w:szCs w:val="20"/>
                <w:color w:val="auto"/>
              </w:rPr>
            </w:pPr>
            <w:r>
              <w:rPr>
                <w:rFonts w:ascii="Arial" w:cs="Arial" w:eastAsia="Arial" w:hAnsi="Arial"/>
                <w:sz w:val="18"/>
                <w:szCs w:val="18"/>
                <w:color w:val="auto"/>
              </w:rPr>
              <w:t>Date: May 3, 2022</w:t>
            </w:r>
          </w:p>
        </w:tc>
        <w:tc>
          <w:tcPr>
            <w:tcW w:w="7840" w:type="dxa"/>
            <w:vAlign w:val="bottom"/>
            <w:gridSpan w:val="2"/>
          </w:tcPr>
          <w:p>
            <w:pPr>
              <w:ind w:left="2020"/>
              <w:spacing w:after="0"/>
              <w:rPr>
                <w:sz w:val="20"/>
                <w:szCs w:val="20"/>
                <w:color w:val="auto"/>
              </w:rPr>
            </w:pPr>
            <w:r>
              <w:rPr>
                <w:rFonts w:ascii="Arial" w:cs="Arial" w:eastAsia="Arial" w:hAnsi="Arial"/>
                <w:sz w:val="18"/>
                <w:szCs w:val="18"/>
                <w:color w:val="auto"/>
              </w:rPr>
              <w:t>By:  /s/ Sujal Patel</w:t>
            </w:r>
          </w:p>
        </w:tc>
      </w:tr>
      <w:tr>
        <w:trPr>
          <w:trHeight w:val="222"/>
        </w:trPr>
        <w:tc>
          <w:tcPr>
            <w:tcW w:w="33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3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May 3, 2022</w:t>
            </w:r>
          </w:p>
        </w:tc>
        <w:tc>
          <w:tcPr>
            <w:tcW w:w="7840" w:type="dxa"/>
            <w:vAlign w:val="bottom"/>
            <w:gridSpan w:val="2"/>
          </w:tcPr>
          <w:p>
            <w:pPr>
              <w:ind w:left="2020"/>
              <w:spacing w:after="0"/>
              <w:rPr>
                <w:sz w:val="20"/>
                <w:szCs w:val="20"/>
                <w:color w:val="auto"/>
              </w:rPr>
            </w:pPr>
            <w:r>
              <w:rPr>
                <w:rFonts w:ascii="Arial" w:cs="Arial" w:eastAsia="Arial" w:hAnsi="Arial"/>
                <w:sz w:val="18"/>
                <w:szCs w:val="18"/>
                <w:color w:val="auto"/>
              </w:rPr>
              <w:t>By:  /s/ Anna Mowry</w:t>
            </w:r>
          </w:p>
        </w:tc>
      </w:tr>
      <w:tr>
        <w:trPr>
          <w:trHeight w:val="222"/>
        </w:trPr>
        <w:tc>
          <w:tcPr>
            <w:tcW w:w="33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Anna Mowry</w:t>
            </w:r>
          </w:p>
        </w:tc>
      </w:tr>
      <w:tr>
        <w:trPr>
          <w:trHeight w:val="230"/>
        </w:trPr>
        <w:tc>
          <w:tcPr>
            <w:tcW w:w="3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2"/>
    </w:lvl>
  </w:abstractNum>
  <w:abstractNum w:abstractNumId="6">
    <w:nsid w:val="2901D82"/>
    <w:multiLevelType w:val="hybridMultilevel"/>
    <w:lvl w:ilvl="0">
      <w:lvlJc w:val="left"/>
      <w:lvlText w:val="%1."/>
      <w:numFmt w:val="decimal"/>
      <w:start w:val="3"/>
    </w:lvl>
  </w:abstractNum>
  <w:abstractNum w:abstractNumId="7">
    <w:nsid w:val="3A95F874"/>
    <w:multiLevelType w:val="hybridMultilevel"/>
    <w:lvl w:ilvl="0">
      <w:lvlJc w:val="left"/>
      <w:lvlText w:val="%1."/>
      <w:numFmt w:val="decimal"/>
      <w:start w:val="4"/>
    </w:lvl>
  </w:abstractNum>
  <w:abstractNum w:abstractNumId="8">
    <w:nsid w:val="8138641"/>
    <w:multiLevelType w:val="hybridMultilevel"/>
    <w:lvl w:ilvl="0">
      <w:lvlJc w:val="left"/>
      <w:lvlText w:val="%1."/>
      <w:numFmt w:val="decimal"/>
      <w:start w:val="5"/>
    </w:lvl>
  </w:abstractNum>
  <w:abstractNum w:abstractNumId="9">
    <w:nsid w:val="1E7FF521"/>
    <w:multiLevelType w:val="hybridMultilevel"/>
    <w:lvl w:ilvl="0">
      <w:lvlJc w:val="left"/>
      <w:lvlText w:val="%1."/>
      <w:numFmt w:val="decimal"/>
      <w:start w:val="6"/>
    </w:lvl>
  </w:abstractNum>
  <w:abstractNum w:abstractNumId="10">
    <w:nsid w:val="7C3DBD3D"/>
    <w:multiLevelType w:val="hybridMultilevel"/>
    <w:lvl w:ilvl="0">
      <w:lvlJc w:val="left"/>
      <w:lvlText w:val="%1."/>
      <w:numFmt w:val="decimal"/>
      <w:start w:val="7"/>
    </w:lvl>
  </w:abstractNum>
  <w:abstractNum w:abstractNumId="11">
    <w:nsid w:val="737B8DDC"/>
    <w:multiLevelType w:val="hybridMultilevel"/>
    <w:lvl w:ilvl="0">
      <w:lvlJc w:val="left"/>
      <w:lvlText w:val="%1."/>
      <w:numFmt w:val="decimal"/>
      <w:start w:val="8"/>
    </w:lvl>
  </w:abstractNum>
  <w:abstractNum w:abstractNumId="12">
    <w:nsid w:val="6CEAF087"/>
    <w:multiLevelType w:val="hybridMultilevel"/>
    <w:lvl w:ilvl="0">
      <w:lvlJc w:val="left"/>
      <w:lvlText w:val="%1."/>
      <w:numFmt w:val="decimal"/>
      <w:start w:val="9"/>
    </w:lvl>
  </w:abstractNum>
  <w:abstractNum w:abstractNumId="13">
    <w:nsid w:val="22221A70"/>
    <w:multiLevelType w:val="hybridMultilevel"/>
    <w:lvl w:ilvl="0">
      <w:lvlJc w:val="left"/>
      <w:lvlText w:val="%1."/>
      <w:numFmt w:val="decimal"/>
      <w:start w:val="10"/>
    </w:lvl>
  </w:abstractNum>
  <w:abstractNum w:abstractNumId="14">
    <w:nsid w:val="4516DDE9"/>
    <w:multiLevelType w:val="hybridMultilevel"/>
    <w:lvl w:ilvl="0">
      <w:lvlJc w:val="left"/>
      <w:lvlText w:val="%1."/>
      <w:numFmt w:val="decimal"/>
      <w:start w:val="1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04"/>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hyperlink" Target="https://www.sec.gov/Archives/edgar/data/0001808805/000180880522000046/exhibit101-offerletter.htm" TargetMode="External"/><Relationship Id="rId38" Type="http://schemas.openxmlformats.org/officeDocument/2006/relationships/hyperlink" Target="https://www.sec.gov/Archives/edgar/data/0001808805/000180880522000046/exhibit102-changeincontrol.htm" TargetMode="External"/><Relationship Id="rId39" Type="http://schemas.openxmlformats.org/officeDocument/2006/relationships/hyperlink" Target="https://www.sec.gov/Archives/edgar/data/0001808805/000180880522000046/exhibit311-2022q110xq.htm" TargetMode="External"/><Relationship Id="rId40" Type="http://schemas.openxmlformats.org/officeDocument/2006/relationships/hyperlink" Target="https://www.sec.gov/Archives/edgar/data/0001808805/000180880522000046/exhibit312-2022q110xq.htm" TargetMode="External"/><Relationship Id="rId41" Type="http://schemas.openxmlformats.org/officeDocument/2006/relationships/hyperlink" Target="https://www.sec.gov/Archives/edgar/data/0001808805/000180880522000046/exhibit321-2022q110xq.htm" TargetMode="External"/><Relationship Id="rId42" Type="http://schemas.openxmlformats.org/officeDocument/2006/relationships/hyperlink" Target="https://www.sec.gov/Archives/edgar/data/0001808805/000180880522000046/exhibit322-2022q110x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2022-05-03T15:51:29Z</dcterms:created>
  <dcterms:modified xsi:type="dcterms:W3CDTF">2022-05-03T15:51:29Z</dcterms:modified>
</cp:coreProperties>
</file>