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June 14, 2023</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80"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135" w:lineRule="exact"/>
        <w:rPr>
          <w:sz w:val="24"/>
          <w:szCs w:val="24"/>
          <w:color w:val="auto"/>
        </w:rPr>
      </w:pPr>
    </w:p>
    <w:p>
      <w:pPr>
        <w:sectPr>
          <w:pgSz w:w="11900" w:h="16838" w:orient="portrait"/>
          <w:cols w:equalWidth="0" w:num="3">
            <w:col w:w="4520" w:space="720"/>
            <w:col w:w="3000" w:space="720"/>
            <w:col w:w="2280"/>
          </w:cols>
          <w:pgMar w:left="320" w:top="1440" w:right="339" w:bottom="1440" w:gutter="0" w:footer="0" w:header="0"/>
          <w:type w:val="continuous"/>
        </w:sectPr>
      </w:pPr>
    </w:p>
    <w:p>
      <w:pPr>
        <w:ind w:left="1000"/>
        <w:spacing w:after="0"/>
        <w:rPr>
          <w:sz w:val="20"/>
          <w:szCs w:val="20"/>
          <w:color w:val="auto"/>
        </w:rPr>
      </w:pPr>
      <w:r>
        <w:rPr>
          <w:rFonts w:ascii="Arial" w:cs="Arial" w:eastAsia="Arial" w:hAnsi="Arial"/>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57" w:lineRule="exact"/>
        <w:rPr>
          <w:sz w:val="24"/>
          <w:szCs w:val="24"/>
          <w:color w:val="auto"/>
        </w:rPr>
      </w:pPr>
    </w:p>
    <w:p>
      <w:pPr>
        <w:sectPr>
          <w:pgSz w:w="11900" w:h="16838" w:orient="portrait"/>
          <w:cols w:equalWidth="0" w:num="3">
            <w:col w:w="4000" w:space="720"/>
            <w:col w:w="3400" w:space="720"/>
            <w:col w:w="2400"/>
          </w:cols>
          <w:pgMar w:left="320" w:top="1440" w:right="339" w:bottom="1440" w:gutter="0" w:footer="0" w:header="0"/>
          <w:type w:val="continuous"/>
        </w:sectPr>
      </w:pPr>
    </w:p>
    <w:p>
      <w:pPr>
        <w:ind w:left="1300"/>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2">
            <w:col w:w="8080" w:space="720"/>
            <w:col w:w="2440"/>
          </w:cols>
          <w:pgMar w:left="320" w:top="1440" w:right="339" w:bottom="144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2701 Eastlake Avenue East</w:t>
      </w:r>
    </w:p>
    <w:p>
      <w:pPr>
        <w:spacing w:after="0" w:line="11"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Seattle</w:t>
      </w:r>
      <w:r>
        <w:rPr>
          <w:rFonts w:ascii="Arial" w:cs="Arial" w:eastAsia="Arial" w:hAnsi="Arial"/>
          <w:sz w:val="18"/>
          <w:szCs w:val="18"/>
          <w:color w:val="auto"/>
        </w:rPr>
        <w:t>,</w:t>
      </w:r>
      <w:r>
        <w:rPr>
          <w:rFonts w:ascii="Arial" w:cs="Arial" w:eastAsia="Arial" w:hAnsi="Arial"/>
          <w:sz w:val="18"/>
          <w:szCs w:val="18"/>
          <w:b w:val="1"/>
          <w:bCs w:val="1"/>
          <w:color w:val="auto"/>
        </w:rPr>
        <w:t xml:space="preserve"> Washington</w:t>
      </w: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560"/>
        <w:spacing w:after="0"/>
        <w:rPr>
          <w:sz w:val="20"/>
          <w:szCs w:val="20"/>
          <w:color w:val="auto"/>
        </w:rPr>
      </w:pPr>
      <w:r>
        <w:rPr>
          <w:rFonts w:ascii="Arial" w:cs="Arial" w:eastAsia="Arial" w:hAnsi="Arial"/>
          <w:sz w:val="18"/>
          <w:szCs w:val="18"/>
          <w:b w:val="1"/>
          <w:bCs w:val="1"/>
          <w:color w:val="auto"/>
        </w:rPr>
        <w:t>98102</w:t>
      </w:r>
    </w:p>
    <w:p>
      <w:pPr>
        <w:jc w:val="center"/>
        <w:ind w:right="256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40" w:right="339" w:bottom="1440" w:gutter="0" w:footer="0" w:header="0"/>
          <w:type w:val="continuous"/>
        </w:sectPr>
      </w:pP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6" w:lineRule="exact"/>
        <w:rPr>
          <w:sz w:val="24"/>
          <w:szCs w:val="24"/>
          <w:color w:val="auto"/>
        </w:rPr>
      </w:pPr>
    </w:p>
    <w:p>
      <w:pPr>
        <w:ind w:firstLine="648"/>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20" w:hanging="39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0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rPr>
              <w:t>NAUT</w:t>
            </w:r>
          </w:p>
        </w:tc>
        <w:tc>
          <w:tcPr>
            <w:tcW w:w="10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37" w:lineRule="exact"/>
        <w:rPr>
          <w:sz w:val="24"/>
          <w:szCs w:val="24"/>
          <w:color w:val="auto"/>
        </w:rPr>
      </w:pPr>
    </w:p>
    <w:p>
      <w:pPr>
        <w:jc w:val="both"/>
        <w:spacing w:after="0" w:line="30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85" w:lineRule="exact"/>
        <w:rPr>
          <w:sz w:val="24"/>
          <w:szCs w:val="24"/>
          <w:color w:val="auto"/>
        </w:rPr>
      </w:pPr>
    </w:p>
    <w:p>
      <w:pPr>
        <w:jc w:val="both"/>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909955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Nautilus Biotechnology, Inc. (the “Company”) held its 2023 annual meeting of stockholders on June 14, 2023 (the “Annual Meeting”). Of the 124,866,392 shares of the Company’s common stock outstanding as of the record date of April 17, 2023, 109,216,205 shares were represented at the Annual Meeting, either by proxy or by attending the meeting. The matters voted on at the Annual Meeting and the votes cast with respect to each such matter are set forth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65" w:lineRule="exact"/>
        <w:rPr>
          <w:sz w:val="20"/>
          <w:szCs w:val="20"/>
          <w:color w:val="auto"/>
        </w:rPr>
      </w:pPr>
    </w:p>
    <w:p>
      <w:pPr>
        <w:jc w:val="both"/>
        <w:ind w:left="400" w:hanging="399"/>
        <w:spacing w:after="0" w:line="237" w:lineRule="auto"/>
        <w:tabs>
          <w:tab w:leader="none" w:pos="380" w:val="left"/>
        </w:tabs>
        <w:rPr>
          <w:sz w:val="20"/>
          <w:szCs w:val="20"/>
          <w:color w:val="auto"/>
        </w:rPr>
      </w:pPr>
      <w:r>
        <w:rPr>
          <w:rFonts w:ascii="Arial" w:cs="Arial" w:eastAsia="Arial" w:hAnsi="Arial"/>
          <w:sz w:val="18"/>
          <w:szCs w:val="18"/>
          <w:b w:val="1"/>
          <w:bCs w:val="1"/>
          <w:color w:val="auto"/>
        </w:rPr>
        <w:t>1.</w:t>
        <w:tab/>
        <w:t xml:space="preserve">Election of Class II Directors. </w:t>
      </w:r>
      <w:r>
        <w:rPr>
          <w:rFonts w:ascii="Arial" w:cs="Arial" w:eastAsia="Arial" w:hAnsi="Arial"/>
          <w:sz w:val="18"/>
          <w:szCs w:val="18"/>
          <w:color w:val="auto"/>
        </w:rPr>
        <w:t>The following nominees were elected to serve as Class II directors, each to hold office until the Company’s 2026</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or until his respective successor has been duly elected and qualified:</w:t>
      </w:r>
    </w:p>
    <w:p>
      <w:pPr>
        <w:spacing w:after="0" w:line="238" w:lineRule="exact"/>
        <w:rPr>
          <w:sz w:val="20"/>
          <w:szCs w:val="20"/>
          <w:color w:val="auto"/>
        </w:rPr>
      </w:pPr>
    </w:p>
    <w:tbl>
      <w:tblPr>
        <w:tblLayout w:type="fixed"/>
        <w:tblInd w:w="470" w:type="dxa"/>
        <w:tblCellMar>
          <w:top w:w="0" w:type="dxa"/>
          <w:left w:w="0" w:type="dxa"/>
          <w:bottom w:w="0" w:type="dxa"/>
          <w:right w:w="0" w:type="dxa"/>
        </w:tblCellMar>
      </w:tblPr>
      <w:tr>
        <w:trPr>
          <w:trHeight w:val="227"/>
        </w:trPr>
        <w:tc>
          <w:tcPr>
            <w:tcW w:w="3100" w:type="dxa"/>
            <w:vAlign w:val="bottom"/>
            <w:tcBorders>
              <w:top w:val="single" w:sz="8" w:color="auto"/>
              <w:left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Nominee</w:t>
            </w:r>
          </w:p>
        </w:tc>
        <w:tc>
          <w:tcPr>
            <w:tcW w:w="26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b w:val="1"/>
                <w:bCs w:val="1"/>
                <w:color w:val="auto"/>
              </w:rPr>
              <w:t>Votes For</w:t>
            </w:r>
          </w:p>
        </w:tc>
        <w:tc>
          <w:tcPr>
            <w:tcW w:w="38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6"/>
                <w:szCs w:val="16"/>
                <w:b w:val="1"/>
                <w:bCs w:val="1"/>
                <w:color w:val="auto"/>
              </w:rPr>
              <w:t>Votes Withheld</w:t>
            </w:r>
          </w:p>
        </w:tc>
        <w:tc>
          <w:tcPr>
            <w:tcW w:w="42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b w:val="1"/>
                <w:bCs w:val="1"/>
                <w:color w:val="auto"/>
              </w:rPr>
              <w:t>Broker Non-Votes</w:t>
            </w:r>
          </w:p>
        </w:tc>
        <w:tc>
          <w:tcPr>
            <w:tcW w:w="140" w:type="dxa"/>
            <w:vAlign w:val="bottom"/>
            <w:tcBorders>
              <w:top w:val="single" w:sz="8" w:color="auto"/>
              <w:right w:val="single" w:sz="8" w:color="auto"/>
            </w:tcBorders>
            <w:shd w:val="clear" w:color="auto" w:fill="CFF0FC"/>
          </w:tcPr>
          <w:p>
            <w:pPr>
              <w:spacing w:after="0"/>
              <w:rPr>
                <w:sz w:val="19"/>
                <w:szCs w:val="19"/>
                <w:color w:val="auto"/>
              </w:rPr>
            </w:pPr>
          </w:p>
        </w:tc>
      </w:tr>
      <w:tr>
        <w:trPr>
          <w:trHeight w:val="209"/>
        </w:trPr>
        <w:tc>
          <w:tcPr>
            <w:tcW w:w="31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Parag Mallick</w:t>
            </w:r>
          </w:p>
        </w:tc>
        <w:tc>
          <w:tcPr>
            <w:tcW w:w="260" w:type="dxa"/>
            <w:vAlign w:val="bottom"/>
          </w:tcPr>
          <w:p>
            <w:pPr>
              <w:spacing w:after="0"/>
              <w:rPr>
                <w:sz w:val="18"/>
                <w:szCs w:val="18"/>
                <w:color w:val="auto"/>
              </w:rPr>
            </w:pPr>
          </w:p>
        </w:tc>
        <w:tc>
          <w:tcPr>
            <w:tcW w:w="1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94,833,268</w:t>
            </w:r>
          </w:p>
        </w:tc>
        <w:tc>
          <w:tcPr>
            <w:tcW w:w="380" w:type="dxa"/>
            <w:vAlign w:val="bottom"/>
          </w:tcPr>
          <w:p>
            <w:pPr>
              <w:spacing w:after="0"/>
              <w:rPr>
                <w:sz w:val="18"/>
                <w:szCs w:val="18"/>
                <w:color w:val="auto"/>
              </w:rPr>
            </w:pP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717,809</w:t>
            </w:r>
          </w:p>
        </w:tc>
        <w:tc>
          <w:tcPr>
            <w:tcW w:w="420" w:type="dxa"/>
            <w:vAlign w:val="bottom"/>
          </w:tcPr>
          <w:p>
            <w:pPr>
              <w:spacing w:after="0"/>
              <w:rPr>
                <w:sz w:val="18"/>
                <w:szCs w:val="18"/>
                <w:color w:val="auto"/>
              </w:rPr>
            </w:pPr>
          </w:p>
        </w:tc>
        <w:tc>
          <w:tcPr>
            <w:tcW w:w="1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13,665,128</w:t>
            </w:r>
          </w:p>
        </w:tc>
        <w:tc>
          <w:tcPr>
            <w:tcW w:w="140" w:type="dxa"/>
            <w:vAlign w:val="bottom"/>
            <w:tcBorders>
              <w:right w:val="single" w:sz="8" w:color="auto"/>
            </w:tcBorders>
          </w:tcPr>
          <w:p>
            <w:pPr>
              <w:spacing w:after="0"/>
              <w:rPr>
                <w:sz w:val="18"/>
                <w:szCs w:val="18"/>
                <w:color w:val="auto"/>
              </w:rPr>
            </w:pPr>
          </w:p>
        </w:tc>
      </w:tr>
      <w:tr>
        <w:trPr>
          <w:trHeight w:val="209"/>
        </w:trPr>
        <w:tc>
          <w:tcPr>
            <w:tcW w:w="31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Matthew McIlwain</w:t>
            </w:r>
          </w:p>
        </w:tc>
        <w:tc>
          <w:tcPr>
            <w:tcW w:w="260" w:type="dxa"/>
            <w:vAlign w:val="bottom"/>
          </w:tcPr>
          <w:p>
            <w:pPr>
              <w:spacing w:after="0"/>
              <w:rPr>
                <w:sz w:val="18"/>
                <w:szCs w:val="18"/>
                <w:color w:val="auto"/>
              </w:rPr>
            </w:pPr>
          </w:p>
        </w:tc>
        <w:tc>
          <w:tcPr>
            <w:tcW w:w="1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92,148,474</w:t>
            </w:r>
          </w:p>
        </w:tc>
        <w:tc>
          <w:tcPr>
            <w:tcW w:w="380" w:type="dxa"/>
            <w:vAlign w:val="bottom"/>
          </w:tcPr>
          <w:p>
            <w:pPr>
              <w:spacing w:after="0"/>
              <w:rPr>
                <w:sz w:val="18"/>
                <w:szCs w:val="18"/>
                <w:color w:val="auto"/>
              </w:rPr>
            </w:pPr>
          </w:p>
        </w:tc>
        <w:tc>
          <w:tcPr>
            <w:tcW w:w="18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2"/>
              </w:rPr>
              <w:t>3,402,603</w:t>
            </w:r>
          </w:p>
        </w:tc>
        <w:tc>
          <w:tcPr>
            <w:tcW w:w="420" w:type="dxa"/>
            <w:vAlign w:val="bottom"/>
          </w:tcPr>
          <w:p>
            <w:pPr>
              <w:spacing w:after="0"/>
              <w:rPr>
                <w:sz w:val="18"/>
                <w:szCs w:val="18"/>
                <w:color w:val="auto"/>
              </w:rPr>
            </w:pPr>
          </w:p>
        </w:tc>
        <w:tc>
          <w:tcPr>
            <w:tcW w:w="1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13,665,128</w:t>
            </w:r>
          </w:p>
        </w:tc>
        <w:tc>
          <w:tcPr>
            <w:tcW w:w="140" w:type="dxa"/>
            <w:vAlign w:val="bottom"/>
            <w:tcBorders>
              <w:right w:val="single" w:sz="8" w:color="auto"/>
            </w:tcBorders>
          </w:tcPr>
          <w:p>
            <w:pPr>
              <w:spacing w:after="0"/>
              <w:rPr>
                <w:sz w:val="18"/>
                <w:szCs w:val="18"/>
                <w:color w:val="auto"/>
              </w:rPr>
            </w:pPr>
          </w:p>
        </w:tc>
      </w:tr>
      <w:tr>
        <w:trPr>
          <w:trHeight w:val="209"/>
        </w:trPr>
        <w:tc>
          <w:tcPr>
            <w:tcW w:w="31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Farzad Nazem</w:t>
            </w:r>
          </w:p>
        </w:tc>
        <w:tc>
          <w:tcPr>
            <w:tcW w:w="21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95,381,887</w:t>
            </w:r>
          </w:p>
        </w:tc>
        <w:tc>
          <w:tcPr>
            <w:tcW w:w="22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6"/>
                <w:szCs w:val="16"/>
                <w:color w:val="auto"/>
                <w:w w:val="89"/>
              </w:rPr>
              <w:t>169,190</w:t>
            </w:r>
          </w:p>
        </w:tc>
        <w:tc>
          <w:tcPr>
            <w:tcW w:w="228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13,665,128</w:t>
            </w:r>
          </w:p>
        </w:tc>
        <w:tc>
          <w:tcPr>
            <w:tcW w:w="140" w:type="dxa"/>
            <w:vAlign w:val="bottom"/>
            <w:tcBorders>
              <w:bottom w:val="single" w:sz="8" w:color="auto"/>
              <w:right w:val="single" w:sz="8" w:color="auto"/>
            </w:tcBorders>
          </w:tcPr>
          <w:p>
            <w:pPr>
              <w:spacing w:after="0"/>
              <w:rPr>
                <w:sz w:val="18"/>
                <w:szCs w:val="18"/>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2.</w:t>
        <w:tab/>
        <w:t xml:space="preserve">Ratification of Appointment of Independent Registered Public Accounting Firm. </w:t>
      </w:r>
      <w:r>
        <w:rPr>
          <w:rFonts w:ascii="Arial" w:cs="Arial" w:eastAsia="Arial" w:hAnsi="Arial"/>
          <w:sz w:val="17"/>
          <w:szCs w:val="17"/>
          <w:color w:val="auto"/>
        </w:rPr>
        <w:t>The appointment of PricewaterhouseCoopers LLP as the</w:t>
      </w:r>
    </w:p>
    <w:p>
      <w:pPr>
        <w:spacing w:after="0" w:line="14" w:lineRule="exact"/>
        <w:rPr>
          <w:sz w:val="20"/>
          <w:szCs w:val="20"/>
          <w:color w:val="auto"/>
        </w:rPr>
      </w:pPr>
    </w:p>
    <w:p>
      <w:pPr>
        <w:ind w:left="400"/>
        <w:spacing w:after="0" w:line="226" w:lineRule="auto"/>
        <w:rPr>
          <w:sz w:val="20"/>
          <w:szCs w:val="20"/>
          <w:color w:val="auto"/>
        </w:rPr>
      </w:pPr>
      <w:r>
        <w:rPr>
          <w:rFonts w:ascii="Arial" w:cs="Arial" w:eastAsia="Arial" w:hAnsi="Arial"/>
          <w:sz w:val="18"/>
          <w:szCs w:val="18"/>
          <w:color w:val="auto"/>
        </w:rPr>
        <w:t>Company’s independent registered public accounting firm for the fiscal year ending December 31, 2023 was ratified based on the following results of voting: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70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6"/>
                <w:szCs w:val="16"/>
                <w:b w:val="1"/>
                <w:bCs w:val="1"/>
                <w:color w:val="auto"/>
              </w:rPr>
              <w:t>Votes For</w:t>
            </w:r>
          </w:p>
        </w:tc>
        <w:tc>
          <w:tcPr>
            <w:tcW w:w="46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b w:val="1"/>
                <w:bCs w:val="1"/>
                <w:color w:val="auto"/>
              </w:rPr>
              <w:t>Votes Against</w:t>
            </w:r>
          </w:p>
        </w:tc>
        <w:tc>
          <w:tcPr>
            <w:tcW w:w="440" w:type="dxa"/>
            <w:vAlign w:val="bottom"/>
            <w:tcBorders>
              <w:bottom w:val="single" w:sz="8" w:color="CFF0FC"/>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b w:val="1"/>
                <w:bCs w:val="1"/>
                <w:color w:val="auto"/>
              </w:rPr>
              <w:t>Abstentions</w:t>
            </w:r>
          </w:p>
        </w:tc>
        <w:tc>
          <w:tcPr>
            <w:tcW w:w="3960" w:type="dxa"/>
            <w:vAlign w:val="bottom"/>
          </w:tcPr>
          <w:p>
            <w:pPr>
              <w:spacing w:after="0"/>
              <w:rPr>
                <w:sz w:val="18"/>
                <w:szCs w:val="18"/>
                <w:color w:val="auto"/>
              </w:rPr>
            </w:pPr>
          </w:p>
        </w:tc>
      </w:tr>
      <w:tr>
        <w:trPr>
          <w:trHeight w:val="204"/>
        </w:trPr>
        <w:tc>
          <w:tcPr>
            <w:tcW w:w="2160" w:type="dxa"/>
            <w:vAlign w:val="bottom"/>
            <w:gridSpan w:val="2"/>
          </w:tcPr>
          <w:p>
            <w:pPr>
              <w:ind w:left="980"/>
              <w:spacing w:after="0"/>
              <w:rPr>
                <w:sz w:val="20"/>
                <w:szCs w:val="20"/>
                <w:color w:val="auto"/>
              </w:rPr>
            </w:pPr>
            <w:r>
              <w:rPr>
                <w:rFonts w:ascii="Arial" w:cs="Arial" w:eastAsia="Arial" w:hAnsi="Arial"/>
                <w:sz w:val="16"/>
                <w:szCs w:val="16"/>
                <w:color w:val="auto"/>
              </w:rPr>
              <w:t>108,805,235</w:t>
            </w:r>
          </w:p>
        </w:tc>
        <w:tc>
          <w:tcPr>
            <w:tcW w:w="2340" w:type="dxa"/>
            <w:vAlign w:val="bottom"/>
            <w:gridSpan w:val="2"/>
          </w:tcPr>
          <w:p>
            <w:pPr>
              <w:jc w:val="right"/>
              <w:ind w:right="519"/>
              <w:spacing w:after="0"/>
              <w:rPr>
                <w:sz w:val="20"/>
                <w:szCs w:val="20"/>
                <w:color w:val="auto"/>
              </w:rPr>
            </w:pPr>
            <w:r>
              <w:rPr>
                <w:rFonts w:ascii="Arial" w:cs="Arial" w:eastAsia="Arial" w:hAnsi="Arial"/>
                <w:sz w:val="16"/>
                <w:szCs w:val="16"/>
                <w:color w:val="auto"/>
              </w:rPr>
              <w:t>299,293</w:t>
            </w:r>
          </w:p>
        </w:tc>
        <w:tc>
          <w:tcPr>
            <w:tcW w:w="2780" w:type="dxa"/>
            <w:vAlign w:val="bottom"/>
            <w:gridSpan w:val="2"/>
          </w:tcPr>
          <w:p>
            <w:pPr>
              <w:jc w:val="right"/>
              <w:ind w:right="759"/>
              <w:spacing w:after="0"/>
              <w:rPr>
                <w:sz w:val="20"/>
                <w:szCs w:val="20"/>
                <w:color w:val="auto"/>
              </w:rPr>
            </w:pPr>
            <w:r>
              <w:rPr>
                <w:rFonts w:ascii="Arial" w:cs="Arial" w:eastAsia="Arial" w:hAnsi="Arial"/>
                <w:sz w:val="16"/>
                <w:szCs w:val="16"/>
                <w:color w:val="auto"/>
              </w:rPr>
              <w:t>111,677</w:t>
            </w:r>
          </w:p>
        </w:tc>
        <w:tc>
          <w:tcPr>
            <w:tcW w:w="3960" w:type="dxa"/>
            <w:vAlign w:val="bottom"/>
          </w:tcPr>
          <w:p>
            <w:pPr>
              <w:spacing w:after="0"/>
              <w:rPr>
                <w:sz w:val="17"/>
                <w:szCs w:val="17"/>
                <w:color w:val="auto"/>
              </w:rPr>
            </w:pPr>
          </w:p>
        </w:tc>
      </w:tr>
      <w:tr>
        <w:trPr>
          <w:trHeight w:val="1619"/>
        </w:trPr>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June 15, 2023</w:t>
      </w:r>
    </w:p>
    <w:p>
      <w:pPr>
        <w:spacing w:after="0" w:line="28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2023-06-15T16:26:25Z</dcterms:created>
  <dcterms:modified xsi:type="dcterms:W3CDTF">2023-06-15T16:26:25Z</dcterms:modified>
</cp:coreProperties>
</file>