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742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74218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Akinsanya Karen</w:t>
              </w:r>
            </w:hyperlink>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Nautilus Biotechnology,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NAUT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60" w:type="dxa"/>
            <w:vAlign w:val="bottom"/>
            <w:tcBorders>
              <w:bottom w:val="single" w:sz="8" w:color="0000EE"/>
            </w:tcBorders>
          </w:tcPr>
          <w:p>
            <w:pPr>
              <w:spacing w:after="0"/>
              <w:rPr>
                <w:sz w:val="6"/>
                <w:szCs w:val="6"/>
                <w:color w:val="auto"/>
              </w:rPr>
            </w:pPr>
          </w:p>
        </w:tc>
        <w:tc>
          <w:tcPr>
            <w:tcW w:w="14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6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40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60" w:type="dxa"/>
            <w:vAlign w:val="bottom"/>
            <w:tcBorders>
              <w:top w:val="single" w:sz="8" w:color="0000EE"/>
            </w:tcBorders>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40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60" w:type="dxa"/>
            <w:vAlign w:val="bottom"/>
            <w:tcBorders>
              <w:top w:val="single" w:sz="8" w:color="EEEEEE"/>
            </w:tcBorders>
          </w:tcPr>
          <w:p>
            <w:pPr>
              <w:spacing w:after="0"/>
              <w:rPr>
                <w:sz w:val="2"/>
                <w:szCs w:val="2"/>
                <w:color w:val="auto"/>
              </w:rPr>
            </w:pPr>
          </w:p>
        </w:tc>
        <w:tc>
          <w:tcPr>
            <w:tcW w:w="100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5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06/23/2025</w:t>
            </w:r>
          </w:p>
        </w:tc>
        <w:tc>
          <w:tcPr>
            <w:tcW w:w="140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NAUTILUS BIOTECHNOLOGY, INC.</w:t>
            </w:r>
          </w:p>
        </w:tc>
        <w:tc>
          <w:tcPr>
            <w:tcW w:w="2520" w:type="dxa"/>
            <w:vAlign w:val="bottom"/>
            <w:gridSpan w:val="3"/>
            <w:vMerge w:val="continue"/>
          </w:tcPr>
          <w:p>
            <w:pPr>
              <w:spacing w:after="0"/>
              <w:rPr>
                <w:sz w:val="10"/>
                <w:szCs w:val="10"/>
                <w:color w:val="auto"/>
              </w:rPr>
            </w:pPr>
          </w:p>
        </w:tc>
        <w:tc>
          <w:tcPr>
            <w:tcW w:w="140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w w:val="97"/>
              </w:rPr>
              <w:t>2701 EASTLAKE AVENUE EAST</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tcPr>
          <w:p>
            <w:pPr>
              <w:spacing w:after="0"/>
              <w:rPr>
                <w:sz w:val="11"/>
                <w:szCs w:val="11"/>
                <w:color w:val="auto"/>
              </w:rPr>
            </w:pPr>
          </w:p>
        </w:tc>
        <w:tc>
          <w:tcPr>
            <w:tcW w:w="140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6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SEATTLE</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WA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98102</w:t>
            </w:r>
          </w:p>
        </w:tc>
      </w:tr>
      <w:tr>
        <w:trPr>
          <w:trHeight w:val="149"/>
        </w:trPr>
        <w:tc>
          <w:tcPr>
            <w:tcW w:w="20" w:type="dxa"/>
            <w:vAlign w:val="bottom"/>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98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2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1"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r>
      <w:tr>
        <w:trPr>
          <w:trHeight w:val="129"/>
        </w:trPr>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Ownership</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Owned</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(Instr. 4)</w:t>
            </w:r>
          </w:p>
        </w:tc>
      </w:tr>
      <w:tr>
        <w:trPr>
          <w:trHeight w:val="129"/>
        </w:trPr>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Following</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Reported</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(Instr. 4)</w:t>
            </w: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167"/>
        </w:trPr>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29"/>
        </w:trPr>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r>
      <w:tr>
        <w:trPr>
          <w:trHeight w:val="159"/>
        </w:trPr>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r>
      <w:tr>
        <w:trPr>
          <w:trHeight w:val="41"/>
        </w:trPr>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r>
      <w:tr>
        <w:trPr>
          <w:trHeight w:val="181"/>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93"/>
        </w:trPr>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0.6951</w:t>
            </w:r>
          </w:p>
        </w:tc>
        <w:tc>
          <w:tcPr>
            <w:tcW w:w="1080" w:type="dxa"/>
            <w:vAlign w:val="bottom"/>
          </w:tcPr>
          <w:p>
            <w:pPr>
              <w:jc w:val="right"/>
              <w:ind w:right="180"/>
              <w:spacing w:after="0"/>
              <w:rPr>
                <w:sz w:val="20"/>
                <w:szCs w:val="20"/>
                <w:color w:val="auto"/>
              </w:rPr>
            </w:pPr>
            <w:r>
              <w:rPr>
                <w:rFonts w:ascii="Times New Roman" w:cs="Times New Roman" w:eastAsia="Times New Roman" w:hAnsi="Times New Roman"/>
                <w:sz w:val="13"/>
                <w:szCs w:val="13"/>
                <w:color w:val="0000FF"/>
              </w:rPr>
              <w:t>06/23/2025</w:t>
            </w:r>
          </w:p>
        </w:tc>
        <w:tc>
          <w:tcPr>
            <w:tcW w:w="1100" w:type="dxa"/>
            <w:vAlign w:val="bottom"/>
          </w:tcPr>
          <w:p>
            <w:pPr>
              <w:spacing w:after="0"/>
              <w:rPr>
                <w:sz w:val="16"/>
                <w:szCs w:val="16"/>
                <w:color w:val="auto"/>
              </w:rPr>
            </w:pPr>
          </w:p>
        </w:tc>
        <w:tc>
          <w:tcPr>
            <w:tcW w:w="7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45,000</w:t>
            </w:r>
          </w:p>
        </w:tc>
        <w:tc>
          <w:tcPr>
            <w:tcW w:w="280" w:type="dxa"/>
            <w:vAlign w:val="bottom"/>
          </w:tcPr>
          <w:p>
            <w:pPr>
              <w:spacing w:after="0"/>
              <w:rPr>
                <w:sz w:val="16"/>
                <w:szCs w:val="16"/>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06/23/2035</w:t>
            </w: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45,000</w:t>
            </w:r>
          </w:p>
        </w:tc>
        <w:tc>
          <w:tcPr>
            <w:tcW w:w="68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00"/>
              <w:spacing w:after="0"/>
              <w:rPr>
                <w:sz w:val="20"/>
                <w:szCs w:val="20"/>
                <w:color w:val="auto"/>
              </w:rPr>
            </w:pPr>
            <w:r>
              <w:rPr>
                <w:rFonts w:ascii="Times New Roman" w:cs="Times New Roman" w:eastAsia="Times New Roman" w:hAnsi="Times New Roman"/>
                <w:sz w:val="13"/>
                <w:szCs w:val="13"/>
                <w:color w:val="0000FF"/>
              </w:rPr>
              <w:t>45,000</w:t>
            </w:r>
          </w:p>
        </w:tc>
        <w:tc>
          <w:tcPr>
            <w:tcW w:w="72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r>
      <w:tr>
        <w:trPr>
          <w:trHeight w:val="104"/>
        </w:trPr>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ind w:left="16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940" w:type="dxa"/>
            <w:vAlign w:val="bottom"/>
          </w:tcPr>
          <w:p>
            <w:pPr>
              <w:spacing w:after="0"/>
              <w:rPr>
                <w:sz w:val="9"/>
                <w:szCs w:val="9"/>
                <w:color w:val="auto"/>
              </w:rPr>
            </w:pPr>
          </w:p>
        </w:tc>
        <w:tc>
          <w:tcPr>
            <w:tcW w:w="720" w:type="dxa"/>
            <w:vAlign w:val="bottom"/>
          </w:tcPr>
          <w:p>
            <w:pPr>
              <w:spacing w:after="0"/>
              <w:rPr>
                <w:sz w:val="9"/>
                <w:szCs w:val="9"/>
                <w:color w:val="auto"/>
              </w:rPr>
            </w:pPr>
          </w:p>
        </w:tc>
        <w:tc>
          <w:tcPr>
            <w:tcW w:w="760" w:type="dxa"/>
            <w:vAlign w:val="bottom"/>
          </w:tcPr>
          <w:p>
            <w:pPr>
              <w:spacing w:after="0"/>
              <w:rPr>
                <w:sz w:val="9"/>
                <w:szCs w:val="9"/>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16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Subject to reporting person's continuous status as a "Service Provider" (as defined in the the Issuer's 2021 Equity Incentive Plan) through each applicable vesting date, one-twelfth (1/12th) of the shares subject to the Option shall vest on a monthly basis following the date of grant on the same day of the month as such grant date (or on the last day of the month, if there is no corresponding day in such month).</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2"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7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Mathew B. Murphy, as</w:t>
            </w:r>
          </w:p>
        </w:tc>
        <w:tc>
          <w:tcPr>
            <w:tcW w:w="46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06/24/2025</w:t>
            </w:r>
          </w:p>
        </w:tc>
        <w:tc>
          <w:tcPr>
            <w:tcW w:w="0" w:type="dxa"/>
            <w:vAlign w:val="bottom"/>
          </w:tcPr>
          <w:p>
            <w:pPr>
              <w:spacing w:after="0"/>
              <w:rPr>
                <w:sz w:val="1"/>
                <w:szCs w:val="1"/>
                <w:color w:val="auto"/>
              </w:rPr>
            </w:pPr>
          </w:p>
        </w:tc>
      </w:tr>
      <w:tr>
        <w:trPr>
          <w:trHeight w:val="88"/>
        </w:trPr>
        <w:tc>
          <w:tcPr>
            <w:tcW w:w="1120" w:type="dxa"/>
            <w:vAlign w:val="bottom"/>
            <w:vMerge w:val="restart"/>
          </w:tcPr>
          <w:p>
            <w:pPr>
              <w:spacing w:after="0" w:line="186" w:lineRule="exact"/>
              <w:rPr>
                <w:sz w:val="20"/>
                <w:szCs w:val="20"/>
                <w:color w:val="auto"/>
              </w:rPr>
            </w:pPr>
            <w:r>
              <w:rPr>
                <w:rFonts w:ascii="Times New Roman" w:cs="Times New Roman" w:eastAsia="Times New Roman" w:hAnsi="Times New Roman"/>
                <w:sz w:val="17"/>
                <w:szCs w:val="17"/>
                <w:color w:val="0000FF"/>
                <w:w w:val="96"/>
              </w:rPr>
              <w:t>Attorney-in-Fact</w:t>
            </w:r>
          </w:p>
        </w:tc>
        <w:tc>
          <w:tcPr>
            <w:tcW w:w="1080" w:type="dxa"/>
            <w:vAlign w:val="bottom"/>
            <w:gridSpan w:val="2"/>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1120" w:type="dxa"/>
            <w:vAlign w:val="bottom"/>
            <w:tcBorders>
              <w:bottom w:val="single" w:sz="8" w:color="auto"/>
            </w:tcBorders>
            <w:vMerge w:val="continue"/>
          </w:tcPr>
          <w:p>
            <w:pPr>
              <w:spacing w:after="0"/>
              <w:rPr>
                <w:sz w:val="7"/>
                <w:szCs w:val="7"/>
                <w:color w:val="auto"/>
              </w:rPr>
            </w:pPr>
          </w:p>
        </w:tc>
        <w:tc>
          <w:tcPr>
            <w:tcW w:w="1080" w:type="dxa"/>
            <w:vAlign w:val="bottom"/>
            <w:gridSpan w:val="2"/>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97672" TargetMode="External"/><Relationship Id="rId14" Type="http://schemas.openxmlformats.org/officeDocument/2006/relationships/hyperlink" Target="http://www.sec.gov/cgi-bin/browse-edgar?action=getcompany&amp;CIK=000180880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2025-06-25T15:47:36Z</dcterms:created>
  <dcterms:modified xsi:type="dcterms:W3CDTF">2025-06-25T15:47:36Z</dcterms:modified>
</cp:coreProperties>
</file>